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阿克陶县阿克达拉牧场中心幼儿园2024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150ECC">
      <w:r>
        <w:br w:type="page"/>
      </w:r>
    </w:p>
    <w:p w14:paraId="0EDB07FA">
      <w:pPr>
        <w:spacing w:line="640" w:lineRule="exact"/>
        <w:jc w:val="center"/>
        <w:outlineLvl w:val="1"/>
      </w:pPr>
      <w:r>
        <w:rPr>
          <w:rFonts w:ascii="黑体" w:hAnsi="黑体" w:eastAsia="黑体"/>
          <w:sz w:val="32"/>
        </w:rPr>
        <w:t>第一部分 单位概况</w:t>
      </w:r>
    </w:p>
    <w:p w14:paraId="586E91CC">
      <w:pPr>
        <w:spacing w:line="640" w:lineRule="exact"/>
        <w:ind w:firstLine="640"/>
        <w:jc w:val="both"/>
        <w:outlineLvl w:val="2"/>
      </w:pPr>
      <w:r>
        <w:rPr>
          <w:rFonts w:ascii="黑体" w:hAnsi="黑体" w:eastAsia="黑体"/>
          <w:sz w:val="32"/>
        </w:rPr>
        <w:t>一、主要职能</w:t>
      </w:r>
    </w:p>
    <w:p w14:paraId="2EF76749">
      <w:pPr>
        <w:spacing w:line="580" w:lineRule="exact"/>
        <w:ind w:firstLine="640"/>
        <w:jc w:val="both"/>
      </w:pPr>
      <w:r>
        <w:rPr>
          <w:rFonts w:ascii="仿宋_GB2312" w:hAnsi="仿宋_GB2312" w:eastAsia="仿宋_GB2312"/>
          <w:sz w:val="32"/>
        </w:rPr>
        <w:t>1.认真贯彻执行党和国家的有关法律法规、方针、政策，坚持民主管理，依法办园，执行上级主管部门的指标和决定。</w:t>
      </w:r>
    </w:p>
    <w:p w14:paraId="673C7B33">
      <w:pPr>
        <w:spacing w:line="580" w:lineRule="exact"/>
        <w:ind w:firstLine="640"/>
        <w:jc w:val="both"/>
      </w:pPr>
      <w:r>
        <w:rPr>
          <w:rFonts w:ascii="仿宋_GB2312" w:hAnsi="仿宋_GB2312" w:eastAsia="仿宋_GB2312"/>
          <w:sz w:val="32"/>
        </w:rPr>
        <w:t>2.实行保育和教育相结合的原则，对幼儿实施体、智、德、美诸方面全面发展的教育，促进其身心和谐发展。为家长解除后顾之忧，热忱为家长服务。</w:t>
      </w:r>
    </w:p>
    <w:p w14:paraId="5173E8A2">
      <w:pPr>
        <w:spacing w:line="580" w:lineRule="exact"/>
        <w:ind w:firstLine="640"/>
        <w:jc w:val="both"/>
      </w:pPr>
      <w:r>
        <w:rPr>
          <w:rFonts w:ascii="仿宋_GB2312" w:hAnsi="仿宋_GB2312" w:eastAsia="仿宋_GB2312"/>
          <w:sz w:val="32"/>
        </w:rPr>
        <w:t>3.尊重儿童的人格尊严和基本权利，尊重儿童身心发展的特点和规律，为儿童提供健康、丰富的生活和活动环境。合理组织幼儿一日生活活动和其他活动，促进幼儿体智美德等和谐发展，全面实施素质教育。</w:t>
      </w:r>
    </w:p>
    <w:p w14:paraId="0BC32CB1">
      <w:pPr>
        <w:spacing w:line="580" w:lineRule="exact"/>
        <w:ind w:firstLine="640"/>
        <w:jc w:val="both"/>
      </w:pPr>
      <w:r>
        <w:rPr>
          <w:rFonts w:ascii="仿宋_GB2312" w:hAnsi="仿宋_GB2312" w:eastAsia="仿宋_GB2312"/>
          <w:sz w:val="32"/>
        </w:rPr>
        <w:t>4.严格执行幼儿园安全、卫生保健制度，保证幼儿身心健康和生命安全。</w:t>
      </w:r>
    </w:p>
    <w:p w14:paraId="7A0FF28E">
      <w:pPr>
        <w:spacing w:line="580" w:lineRule="exact"/>
        <w:ind w:firstLine="640"/>
        <w:jc w:val="both"/>
      </w:pPr>
      <w:r>
        <w:rPr>
          <w:rFonts w:ascii="仿宋_GB2312" w:hAnsi="仿宋_GB2312" w:eastAsia="仿宋_GB2312"/>
          <w:sz w:val="32"/>
        </w:rPr>
        <w:t>5.充分利用幼儿和社区的资源优势，面向家长开展多种形式的早期教育宣传、指导等服务，促进家庭教育质量的不断提高。</w:t>
      </w:r>
    </w:p>
    <w:p w14:paraId="47368C38">
      <w:pPr>
        <w:spacing w:line="580" w:lineRule="exact"/>
        <w:ind w:firstLine="640"/>
        <w:jc w:val="both"/>
      </w:pPr>
      <w:r>
        <w:rPr>
          <w:rFonts w:ascii="仿宋_GB2312" w:hAnsi="仿宋_GB2312" w:eastAsia="仿宋_GB2312"/>
          <w:sz w:val="32"/>
        </w:rPr>
        <w:t>6.贯彻幼儿教育法规、传播科学教育理念。</w:t>
      </w:r>
    </w:p>
    <w:p w14:paraId="0F1F40D4">
      <w:pPr>
        <w:spacing w:line="640" w:lineRule="exact"/>
        <w:ind w:firstLine="640"/>
        <w:jc w:val="both"/>
        <w:outlineLvl w:val="2"/>
      </w:pPr>
      <w:r>
        <w:rPr>
          <w:rFonts w:ascii="黑体" w:hAnsi="黑体" w:eastAsia="黑体"/>
          <w:sz w:val="32"/>
        </w:rPr>
        <w:t>二、机构设置及人员情况</w:t>
      </w:r>
    </w:p>
    <w:p w14:paraId="6F89C256">
      <w:pPr>
        <w:spacing w:line="580" w:lineRule="exact"/>
        <w:ind w:firstLine="640"/>
        <w:jc w:val="both"/>
      </w:pPr>
      <w:r>
        <w:rPr>
          <w:rFonts w:ascii="仿宋_GB2312" w:hAnsi="仿宋_GB2312" w:eastAsia="仿宋_GB2312"/>
          <w:sz w:val="32"/>
        </w:rPr>
        <w:t>阿克陶县阿克达拉牧场中心幼儿园2024年度，实有人数27人，其中：在职人员12人，增加0人；离休人员0人，增加0人；退休人员15人</w:t>
      </w:r>
      <w:bookmarkStart w:id="0" w:name="_GoBack"/>
      <w:r>
        <w:rPr>
          <w:rFonts w:ascii="仿宋_GB2312" w:hAnsi="仿宋_GB2312" w:eastAsia="仿宋_GB2312"/>
          <w:sz w:val="32"/>
        </w:rPr>
        <w:t>,</w:t>
      </w:r>
      <w:bookmarkEnd w:id="0"/>
      <w:r>
        <w:rPr>
          <w:rFonts w:ascii="仿宋_GB2312" w:hAnsi="仿宋_GB2312" w:eastAsia="仿宋_GB2312"/>
          <w:sz w:val="32"/>
        </w:rPr>
        <w:t>增加2人。</w:t>
      </w:r>
    </w:p>
    <w:p w14:paraId="0BE50CA0">
      <w:pPr>
        <w:spacing w:line="580" w:lineRule="exact"/>
        <w:ind w:firstLine="640"/>
        <w:jc w:val="both"/>
      </w:pPr>
      <w:r>
        <w:rPr>
          <w:rFonts w:ascii="仿宋_GB2312" w:hAnsi="仿宋_GB2312" w:eastAsia="仿宋_GB2312"/>
          <w:sz w:val="32"/>
        </w:rPr>
        <w:t>阿克陶县阿克达拉牧场中心幼儿园无下属预算单位，下设4个科室，分别是：党建办、安全办、后勤办、教务教研办。</w:t>
      </w:r>
    </w:p>
    <w:p w14:paraId="5D1AA4C3">
      <w:r>
        <w:br w:type="page"/>
      </w:r>
    </w:p>
    <w:p w14:paraId="57D52031">
      <w:pPr>
        <w:spacing w:line="240" w:lineRule="auto"/>
        <w:jc w:val="center"/>
        <w:outlineLvl w:val="1"/>
      </w:pPr>
      <w:r>
        <w:rPr>
          <w:rFonts w:ascii="黑体" w:hAnsi="黑体" w:eastAsia="黑体"/>
          <w:sz w:val="32"/>
        </w:rPr>
        <w:t>第二部分 部门决算情况说明</w:t>
      </w:r>
    </w:p>
    <w:p w14:paraId="3453E057">
      <w:pPr>
        <w:spacing w:line="640" w:lineRule="exact"/>
        <w:ind w:firstLine="640"/>
        <w:jc w:val="both"/>
        <w:outlineLvl w:val="2"/>
      </w:pPr>
      <w:r>
        <w:rPr>
          <w:rFonts w:ascii="黑体" w:hAnsi="黑体" w:eastAsia="黑体"/>
          <w:sz w:val="32"/>
        </w:rPr>
        <w:t>一、收入支出决算总体情况说明</w:t>
      </w:r>
    </w:p>
    <w:p w14:paraId="31C4174F">
      <w:pPr>
        <w:spacing w:line="580" w:lineRule="exact"/>
        <w:ind w:firstLine="640"/>
        <w:jc w:val="both"/>
      </w:pPr>
      <w:r>
        <w:rPr>
          <w:rFonts w:ascii="仿宋_GB2312" w:hAnsi="仿宋_GB2312" w:eastAsia="仿宋_GB2312"/>
          <w:b/>
          <w:sz w:val="32"/>
        </w:rPr>
        <w:t>2024年度收入总计269.64万元，</w:t>
      </w:r>
      <w:r>
        <w:rPr>
          <w:rFonts w:ascii="仿宋_GB2312" w:hAnsi="仿宋_GB2312" w:eastAsia="仿宋_GB2312"/>
          <w:b w:val="0"/>
          <w:sz w:val="32"/>
        </w:rPr>
        <w:t>其中：本年收入合计269.64万元，使用非财政拨款结余（含专用结余）0.00万元，年初结转和结余0.00万元。</w:t>
      </w:r>
    </w:p>
    <w:p w14:paraId="6ED19CC1">
      <w:pPr>
        <w:spacing w:line="580" w:lineRule="exact"/>
        <w:ind w:firstLine="640"/>
        <w:jc w:val="both"/>
      </w:pPr>
      <w:r>
        <w:rPr>
          <w:rFonts w:ascii="仿宋_GB2312" w:hAnsi="仿宋_GB2312" w:eastAsia="仿宋_GB2312"/>
          <w:b/>
          <w:sz w:val="32"/>
        </w:rPr>
        <w:t>2024年度支出总计269.64万元，</w:t>
      </w:r>
      <w:r>
        <w:rPr>
          <w:rFonts w:ascii="仿宋_GB2312" w:hAnsi="仿宋_GB2312" w:eastAsia="仿宋_GB2312"/>
          <w:b w:val="0"/>
          <w:sz w:val="32"/>
        </w:rPr>
        <w:t>其中：本年支出合计269.64万元，结余分配0.00万元，年末结转和结余0.00万元。</w:t>
      </w:r>
    </w:p>
    <w:p w14:paraId="7BF3B6F6">
      <w:pPr>
        <w:spacing w:line="580" w:lineRule="exact"/>
        <w:ind w:firstLine="640"/>
        <w:jc w:val="both"/>
      </w:pPr>
      <w:r>
        <w:rPr>
          <w:rFonts w:ascii="仿宋_GB2312" w:hAnsi="仿宋_GB2312" w:eastAsia="仿宋_GB2312"/>
          <w:b w:val="0"/>
          <w:sz w:val="32"/>
        </w:rPr>
        <w:t>收入支出总体与上年相比，减少1.67万元，下降0.62%，主要原因是：本年在校学前儿童数量减少，相应学前三年免费保障资金减少。</w:t>
      </w:r>
    </w:p>
    <w:p w14:paraId="30930673">
      <w:pPr>
        <w:spacing w:line="640" w:lineRule="exact"/>
        <w:ind w:firstLine="640"/>
        <w:jc w:val="both"/>
        <w:outlineLvl w:val="2"/>
      </w:pPr>
      <w:r>
        <w:rPr>
          <w:rFonts w:ascii="黑体" w:hAnsi="黑体" w:eastAsia="黑体"/>
          <w:sz w:val="32"/>
        </w:rPr>
        <w:t>二、收入决算情况说明</w:t>
      </w:r>
    </w:p>
    <w:p w14:paraId="61CF5C2F">
      <w:pPr>
        <w:spacing w:line="580" w:lineRule="exact"/>
        <w:ind w:firstLine="640"/>
        <w:jc w:val="both"/>
      </w:pPr>
      <w:r>
        <w:rPr>
          <w:rFonts w:ascii="仿宋_GB2312" w:hAnsi="仿宋_GB2312" w:eastAsia="仿宋_GB2312"/>
          <w:b/>
          <w:sz w:val="32"/>
        </w:rPr>
        <w:t>本年收入269.64万元，</w:t>
      </w:r>
      <w:r>
        <w:rPr>
          <w:rFonts w:ascii="仿宋_GB2312" w:hAnsi="仿宋_GB2312" w:eastAsia="仿宋_GB2312"/>
          <w:b w:val="0"/>
          <w:sz w:val="32"/>
        </w:rPr>
        <w:t>其中：财政拨款收入269.64万元，占100.00%；上级补助收入0.00万元，占0.00%；事业收入0.00万元，占0.00%；经营收入0.00万元，占0.00%；附属单位上缴收入0.00万元，占0.00%；其他收入0.00万元，占0.00%。</w:t>
      </w:r>
    </w:p>
    <w:p w14:paraId="3E4FC7ED">
      <w:pPr>
        <w:spacing w:line="640" w:lineRule="exact"/>
        <w:ind w:firstLine="640"/>
        <w:jc w:val="both"/>
        <w:outlineLvl w:val="2"/>
      </w:pPr>
      <w:r>
        <w:rPr>
          <w:rFonts w:ascii="黑体" w:hAnsi="黑体" w:eastAsia="黑体"/>
          <w:sz w:val="32"/>
        </w:rPr>
        <w:t>三、支出决算情况说明</w:t>
      </w:r>
    </w:p>
    <w:p w14:paraId="483621C4">
      <w:pPr>
        <w:spacing w:line="580" w:lineRule="exact"/>
        <w:ind w:firstLine="640"/>
        <w:jc w:val="both"/>
      </w:pPr>
      <w:r>
        <w:rPr>
          <w:rFonts w:ascii="仿宋_GB2312" w:hAnsi="仿宋_GB2312" w:eastAsia="仿宋_GB2312"/>
          <w:b/>
          <w:sz w:val="32"/>
        </w:rPr>
        <w:t>本年支出269.64万元，</w:t>
      </w:r>
      <w:r>
        <w:rPr>
          <w:rFonts w:ascii="仿宋_GB2312" w:hAnsi="仿宋_GB2312" w:eastAsia="仿宋_GB2312"/>
          <w:b w:val="0"/>
          <w:sz w:val="32"/>
        </w:rPr>
        <w:t>其中：基本支出265.52万元，占98.47%；项目支出4.13万元，占1.53%；上缴上级支出0.00万元，占0.00%；经营支出0.00万元，占0.00%；对附属单位补助支出0.00万元，占0.00%。</w:t>
      </w:r>
    </w:p>
    <w:p w14:paraId="180C75D6">
      <w:pPr>
        <w:spacing w:line="640" w:lineRule="exact"/>
        <w:ind w:firstLine="640"/>
        <w:jc w:val="both"/>
        <w:outlineLvl w:val="2"/>
      </w:pPr>
      <w:r>
        <w:rPr>
          <w:rFonts w:ascii="黑体" w:hAnsi="黑体" w:eastAsia="黑体"/>
          <w:sz w:val="32"/>
        </w:rPr>
        <w:t>四、财政拨款收入支出决算总体情况说明</w:t>
      </w:r>
    </w:p>
    <w:p w14:paraId="427A793A">
      <w:pPr>
        <w:spacing w:line="580" w:lineRule="exact"/>
        <w:ind w:firstLine="640"/>
        <w:jc w:val="both"/>
      </w:pPr>
      <w:r>
        <w:rPr>
          <w:rFonts w:ascii="仿宋_GB2312" w:hAnsi="仿宋_GB2312" w:eastAsia="仿宋_GB2312"/>
          <w:b/>
          <w:sz w:val="32"/>
        </w:rPr>
        <w:t>2024年度财政拨款收入总计269.64万元，</w:t>
      </w:r>
      <w:r>
        <w:rPr>
          <w:rFonts w:ascii="仿宋_GB2312" w:hAnsi="仿宋_GB2312" w:eastAsia="仿宋_GB2312"/>
          <w:b w:val="0"/>
          <w:sz w:val="32"/>
        </w:rPr>
        <w:t>其中：年初财政拨款结转和结余0.00万元，本年财政拨款收入269.64万元。</w:t>
      </w:r>
      <w:r>
        <w:rPr>
          <w:rFonts w:ascii="仿宋_GB2312" w:hAnsi="仿宋_GB2312" w:eastAsia="仿宋_GB2312"/>
          <w:b/>
          <w:sz w:val="32"/>
        </w:rPr>
        <w:t>财政拨款支出总计269.64万元，</w:t>
      </w:r>
      <w:r>
        <w:rPr>
          <w:rFonts w:ascii="仿宋_GB2312" w:hAnsi="仿宋_GB2312" w:eastAsia="仿宋_GB2312"/>
          <w:b w:val="0"/>
          <w:sz w:val="32"/>
        </w:rPr>
        <w:t>其中：年末财政拨款结转和结余0.00万元，本年财政拨款支出269.64万元。</w:t>
      </w:r>
    </w:p>
    <w:p w14:paraId="22D10BC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减少1.67万元，下降0.62%，主要原因是：本年在校学前儿童数量减少，相应学前三年免费保障资金减少。</w:t>
      </w:r>
      <w:r>
        <w:rPr>
          <w:rFonts w:ascii="仿宋_GB2312" w:hAnsi="仿宋_GB2312" w:eastAsia="仿宋_GB2312"/>
          <w:b/>
          <w:sz w:val="32"/>
        </w:rPr>
        <w:t>与年初预算相比，</w:t>
      </w:r>
      <w:r>
        <w:rPr>
          <w:rFonts w:ascii="仿宋_GB2312" w:hAnsi="仿宋_GB2312" w:eastAsia="仿宋_GB2312"/>
          <w:b w:val="0"/>
          <w:sz w:val="32"/>
        </w:rPr>
        <w:t>年初预算数275.39万元，决算数269.64万元，预决算差异率-2.09%，主要原因是：本年在校学前儿童数量减少，年中调减学前三年免费保障资金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66A167F">
      <w:pPr>
        <w:spacing w:line="640" w:lineRule="exact"/>
        <w:ind w:firstLine="640"/>
        <w:jc w:val="both"/>
        <w:outlineLvl w:val="2"/>
      </w:pPr>
      <w:r>
        <w:rPr>
          <w:rFonts w:ascii="黑体" w:hAnsi="黑体" w:eastAsia="黑体"/>
          <w:sz w:val="32"/>
        </w:rPr>
        <w:t>五、一般公共预算财政拨款支出决算情况说明</w:t>
      </w:r>
    </w:p>
    <w:p w14:paraId="11EC04D3">
      <w:pPr>
        <w:spacing w:line="640" w:lineRule="exact"/>
        <w:ind w:firstLine="640"/>
        <w:jc w:val="both"/>
        <w:outlineLvl w:val="3"/>
      </w:pPr>
      <w:r>
        <w:rPr>
          <w:rFonts w:ascii="楷体_GB2312" w:hAnsi="楷体_GB2312" w:eastAsia="楷体_GB2312"/>
          <w:b/>
          <w:sz w:val="32"/>
        </w:rPr>
        <w:t>（一）一般公共预算财政拨款支出决算总体情况</w:t>
      </w:r>
    </w:p>
    <w:p w14:paraId="6C478CC5">
      <w:pPr>
        <w:spacing w:line="580" w:lineRule="exact"/>
        <w:ind w:firstLine="640"/>
        <w:jc w:val="both"/>
      </w:pPr>
      <w:r>
        <w:rPr>
          <w:rFonts w:ascii="仿宋_GB2312" w:hAnsi="仿宋_GB2312" w:eastAsia="仿宋_GB2312"/>
          <w:b/>
          <w:sz w:val="32"/>
        </w:rPr>
        <w:t>2024年度一般公共预算财政拨款支出269.64万元，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减少1.67万元，下降0.62%，主要原因是：本年在校学前儿童数量减少，相应学前三年免费保障资金减少。</w:t>
      </w:r>
      <w:r>
        <w:rPr>
          <w:rFonts w:ascii="仿宋_GB2312" w:hAnsi="仿宋_GB2312" w:eastAsia="仿宋_GB2312"/>
          <w:b/>
          <w:sz w:val="32"/>
        </w:rPr>
        <w:t>与年初预算相比,</w:t>
      </w:r>
      <w:r>
        <w:rPr>
          <w:rFonts w:ascii="仿宋_GB2312" w:hAnsi="仿宋_GB2312" w:eastAsia="仿宋_GB2312"/>
          <w:b w:val="0"/>
          <w:sz w:val="32"/>
        </w:rPr>
        <w:t>年初预算数275.39万元，决算数269.64万元，预决算差异率-2.09%，主要原因是：本年在校学前儿童数量减少，年中调减学前三年免费保障资金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9ED4557">
      <w:pPr>
        <w:spacing w:line="640" w:lineRule="exact"/>
        <w:ind w:firstLine="640"/>
        <w:jc w:val="both"/>
        <w:outlineLvl w:val="3"/>
      </w:pPr>
      <w:r>
        <w:rPr>
          <w:rFonts w:ascii="楷体_GB2312" w:hAnsi="楷体_GB2312" w:eastAsia="楷体_GB2312"/>
          <w:b/>
          <w:sz w:val="32"/>
        </w:rPr>
        <w:t>（二）一般公共预算财政拨款支出决算结构情况</w:t>
      </w:r>
    </w:p>
    <w:p w14:paraId="083DBC8D">
      <w:pPr>
        <w:spacing w:line="580" w:lineRule="exact"/>
        <w:ind w:firstLine="640"/>
        <w:jc w:val="both"/>
      </w:pPr>
      <w:r>
        <w:rPr>
          <w:rFonts w:ascii="仿宋_GB2312" w:hAnsi="仿宋_GB2312" w:eastAsia="仿宋_GB2312"/>
          <w:b w:val="0"/>
          <w:sz w:val="32"/>
        </w:rPr>
        <w:t>1.教育支出(类)269.64万元,占100.00%。</w:t>
      </w:r>
    </w:p>
    <w:p w14:paraId="30424650">
      <w:pPr>
        <w:spacing w:line="640" w:lineRule="exact"/>
        <w:ind w:firstLine="640"/>
        <w:jc w:val="both"/>
        <w:outlineLvl w:val="3"/>
      </w:pPr>
      <w:r>
        <w:rPr>
          <w:rFonts w:ascii="楷体_GB2312" w:hAnsi="楷体_GB2312" w:eastAsia="楷体_GB2312"/>
          <w:b/>
          <w:sz w:val="32"/>
        </w:rPr>
        <w:t>（三）一般公共预算财政拨款支出决算具体情况</w:t>
      </w:r>
    </w:p>
    <w:p w14:paraId="6AE21C5D">
      <w:pPr>
        <w:spacing w:line="580" w:lineRule="exact"/>
        <w:ind w:firstLine="640"/>
        <w:jc w:val="both"/>
      </w:pPr>
      <w:r>
        <w:rPr>
          <w:rFonts w:ascii="仿宋_GB2312" w:hAnsi="仿宋_GB2312" w:eastAsia="仿宋_GB2312"/>
          <w:b w:val="0"/>
          <w:sz w:val="32"/>
        </w:rPr>
        <w:t>1.教育支出(类)普通教育(款)学前教育(项):支出决算数为269.64万元，比上年决算减少1.02万元，下降0.38%,主要原因是：本年在校学前儿童数量减少，相应学前三年免费保障资金减少。</w:t>
      </w:r>
    </w:p>
    <w:p w14:paraId="662425C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0.64万元，下降100.00%,主要原因是：本年功能科目调整，养老保险缴费上年度单独列支，本年调整至主科目列支，导致经费较上年减少。</w:t>
      </w:r>
    </w:p>
    <w:p w14:paraId="7C56B9AB">
      <w:pPr>
        <w:spacing w:line="640" w:lineRule="exact"/>
        <w:ind w:firstLine="640"/>
        <w:jc w:val="both"/>
        <w:outlineLvl w:val="2"/>
      </w:pPr>
      <w:r>
        <w:rPr>
          <w:rFonts w:ascii="黑体" w:hAnsi="黑体" w:eastAsia="黑体"/>
          <w:sz w:val="32"/>
        </w:rPr>
        <w:t>六、一般公共预算财政拨款基本支出决算情况说明</w:t>
      </w:r>
    </w:p>
    <w:p w14:paraId="58CCF373">
      <w:pPr>
        <w:spacing w:line="580" w:lineRule="exact"/>
        <w:ind w:firstLine="640"/>
        <w:jc w:val="both"/>
      </w:pPr>
      <w:r>
        <w:rPr>
          <w:rFonts w:ascii="仿宋_GB2312" w:hAnsi="仿宋_GB2312" w:eastAsia="仿宋_GB2312"/>
          <w:b w:val="0"/>
          <w:sz w:val="32"/>
        </w:rPr>
        <w:t>2024年度一般公共预算财政拨款基本支出265.52万元，其中：</w:t>
      </w:r>
      <w:r>
        <w:rPr>
          <w:rFonts w:ascii="仿宋_GB2312" w:hAnsi="仿宋_GB2312" w:eastAsia="仿宋_GB2312"/>
          <w:b/>
          <w:sz w:val="32"/>
        </w:rPr>
        <w:t>人员经费265.52万元，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7FAC722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D7E516D">
      <w:pPr>
        <w:spacing w:line="640" w:lineRule="exact"/>
        <w:ind w:firstLine="640"/>
        <w:jc w:val="both"/>
        <w:outlineLvl w:val="2"/>
      </w:pPr>
      <w:r>
        <w:rPr>
          <w:rFonts w:ascii="黑体" w:hAnsi="黑体" w:eastAsia="黑体"/>
          <w:sz w:val="32"/>
        </w:rPr>
        <w:t>七、政府性基金预算财政拨款收入支出决算情况说明</w:t>
      </w:r>
    </w:p>
    <w:p w14:paraId="1D69231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9B1373">
      <w:pPr>
        <w:spacing w:line="640" w:lineRule="exact"/>
        <w:ind w:firstLine="640"/>
        <w:jc w:val="both"/>
        <w:outlineLvl w:val="2"/>
      </w:pPr>
      <w:r>
        <w:rPr>
          <w:rFonts w:ascii="黑体" w:hAnsi="黑体" w:eastAsia="黑体"/>
          <w:sz w:val="32"/>
        </w:rPr>
        <w:t>八、国有资本经营预算财政拨款收入支出决算情况说明</w:t>
      </w:r>
    </w:p>
    <w:p w14:paraId="20189A3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2DEBB5">
      <w:pPr>
        <w:spacing w:line="640" w:lineRule="exact"/>
        <w:ind w:firstLine="640"/>
        <w:jc w:val="both"/>
        <w:outlineLvl w:val="2"/>
      </w:pPr>
      <w:r>
        <w:rPr>
          <w:rFonts w:ascii="黑体" w:hAnsi="黑体" w:eastAsia="黑体"/>
          <w:sz w:val="32"/>
        </w:rPr>
        <w:t>九、财政拨款“三公”经费支出决算情况说明</w:t>
      </w:r>
    </w:p>
    <w:p w14:paraId="37D4E48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9890CBF">
      <w:pPr>
        <w:spacing w:line="580" w:lineRule="exact"/>
        <w:ind w:firstLine="640"/>
        <w:jc w:val="both"/>
      </w:pPr>
      <w:r>
        <w:rPr>
          <w:rFonts w:ascii="仿宋_GB2312" w:hAnsi="仿宋_GB2312" w:eastAsia="仿宋_GB2312"/>
          <w:b/>
          <w:sz w:val="32"/>
        </w:rPr>
        <w:t>具体情况如下：</w:t>
      </w:r>
    </w:p>
    <w:p w14:paraId="631063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450FC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27816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43FD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5D0502">
      <w:pPr>
        <w:spacing w:line="640" w:lineRule="exact"/>
        <w:ind w:firstLine="640"/>
        <w:jc w:val="both"/>
        <w:outlineLvl w:val="2"/>
      </w:pPr>
      <w:r>
        <w:rPr>
          <w:rFonts w:ascii="黑体" w:hAnsi="黑体" w:eastAsia="黑体"/>
          <w:sz w:val="32"/>
        </w:rPr>
        <w:t>十、其他重要事项的情况说明</w:t>
      </w:r>
    </w:p>
    <w:p w14:paraId="1BEE1E3C">
      <w:pPr>
        <w:spacing w:line="640" w:lineRule="exact"/>
        <w:ind w:firstLine="640"/>
        <w:jc w:val="both"/>
        <w:outlineLvl w:val="3"/>
      </w:pPr>
      <w:r>
        <w:rPr>
          <w:rFonts w:ascii="楷体_GB2312" w:hAnsi="楷体_GB2312" w:eastAsia="楷体_GB2312"/>
          <w:b/>
          <w:sz w:val="32"/>
        </w:rPr>
        <w:t>（一）机关运行经费及公用经费支出情况</w:t>
      </w:r>
    </w:p>
    <w:p w14:paraId="71125353">
      <w:pPr>
        <w:spacing w:line="580" w:lineRule="exact"/>
        <w:ind w:firstLine="640"/>
        <w:jc w:val="both"/>
      </w:pPr>
      <w:r>
        <w:rPr>
          <w:rFonts w:ascii="仿宋_GB2312" w:hAnsi="仿宋_GB2312" w:eastAsia="仿宋_GB2312"/>
          <w:b w:val="0"/>
          <w:sz w:val="32"/>
        </w:rPr>
        <w:t>2024年度阿克陶县阿克达拉牧场中心幼儿园（事业单位）公用经费支出0.00万元，比上年增加0.00万元，增长0.00%，主要原因是：2023年与2024年均未安排公用经费支出。</w:t>
      </w:r>
    </w:p>
    <w:p w14:paraId="1F07EEF6">
      <w:pPr>
        <w:spacing w:line="640" w:lineRule="exact"/>
        <w:ind w:firstLine="640"/>
        <w:jc w:val="both"/>
        <w:outlineLvl w:val="3"/>
      </w:pPr>
      <w:r>
        <w:rPr>
          <w:rFonts w:ascii="楷体_GB2312" w:hAnsi="楷体_GB2312" w:eastAsia="楷体_GB2312"/>
          <w:b/>
          <w:sz w:val="32"/>
        </w:rPr>
        <w:t>（二）政府采购情况</w:t>
      </w:r>
    </w:p>
    <w:p w14:paraId="555A03A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7FCC1F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6186196">
      <w:pPr>
        <w:spacing w:line="640" w:lineRule="exact"/>
        <w:ind w:firstLine="640"/>
        <w:jc w:val="both"/>
        <w:outlineLvl w:val="3"/>
      </w:pPr>
      <w:r>
        <w:rPr>
          <w:rFonts w:ascii="楷体_GB2312" w:hAnsi="楷体_GB2312" w:eastAsia="楷体_GB2312"/>
          <w:b/>
          <w:sz w:val="32"/>
        </w:rPr>
        <w:t>（三）国有资产占用情况说明</w:t>
      </w:r>
    </w:p>
    <w:p w14:paraId="7995715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064D2B1">
      <w:pPr>
        <w:spacing w:line="640" w:lineRule="exact"/>
        <w:ind w:firstLine="640"/>
        <w:jc w:val="both"/>
        <w:outlineLvl w:val="2"/>
      </w:pPr>
      <w:r>
        <w:rPr>
          <w:rFonts w:ascii="黑体" w:hAnsi="黑体" w:eastAsia="黑体"/>
          <w:sz w:val="32"/>
        </w:rPr>
        <w:t>十一、预算绩效的情况说明</w:t>
      </w:r>
    </w:p>
    <w:p w14:paraId="70B135C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269.64万元，实际执行总额269.64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BB7A1B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20FEC0">
        <w:tblPrEx>
          <w:tblCellMar>
            <w:top w:w="0" w:type="dxa"/>
            <w:left w:w="108" w:type="dxa"/>
            <w:bottom w:w="0" w:type="dxa"/>
            <w:right w:w="108" w:type="dxa"/>
          </w:tblCellMar>
        </w:tblPrEx>
        <w:tc>
          <w:tcPr>
            <w:tcW w:w="8840" w:type="dxa"/>
            <w:gridSpan w:val="8"/>
            <w:vAlign w:val="center"/>
          </w:tcPr>
          <w:p w14:paraId="4D9307FF">
            <w:pPr>
              <w:jc w:val="center"/>
            </w:pPr>
            <w:r>
              <w:rPr>
                <w:rFonts w:ascii="宋体" w:hAnsi="宋体" w:eastAsia="宋体"/>
                <w:sz w:val="24"/>
              </w:rPr>
              <w:t>单位整体支出绩效自评表</w:t>
            </w:r>
          </w:p>
        </w:tc>
      </w:tr>
      <w:tr w14:paraId="05E1917D">
        <w:tblPrEx>
          <w:tblCellMar>
            <w:top w:w="0" w:type="dxa"/>
            <w:left w:w="108" w:type="dxa"/>
            <w:bottom w:w="0" w:type="dxa"/>
            <w:right w:w="108" w:type="dxa"/>
          </w:tblCellMar>
        </w:tblPrEx>
        <w:tc>
          <w:tcPr>
            <w:tcW w:w="8840" w:type="dxa"/>
            <w:gridSpan w:val="8"/>
            <w:vAlign w:val="center"/>
          </w:tcPr>
          <w:p w14:paraId="42FEEA5D">
            <w:pPr>
              <w:jc w:val="center"/>
            </w:pPr>
            <w:r>
              <w:rPr>
                <w:rFonts w:ascii="宋体" w:hAnsi="宋体" w:eastAsia="宋体"/>
                <w:sz w:val="24"/>
              </w:rPr>
              <w:t>（2024年度）</w:t>
            </w:r>
          </w:p>
        </w:tc>
      </w:tr>
      <w:tr w14:paraId="39D98C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357A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53E1C">
            <w:pPr>
              <w:jc w:val="center"/>
            </w:pPr>
            <w:r>
              <w:rPr>
                <w:rFonts w:ascii="宋体" w:hAnsi="宋体" w:eastAsia="宋体"/>
                <w:sz w:val="16"/>
              </w:rPr>
              <w:t>阿克陶县阿克达拉牧场中心幼儿园</w:t>
            </w:r>
          </w:p>
        </w:tc>
      </w:tr>
      <w:tr w14:paraId="0E1E56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6D86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6135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C590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E82D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522F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306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2B74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AD59F">
            <w:pPr>
              <w:jc w:val="center"/>
            </w:pPr>
            <w:r>
              <w:rPr>
                <w:rFonts w:ascii="宋体" w:hAnsi="宋体" w:eastAsia="宋体"/>
                <w:sz w:val="16"/>
              </w:rPr>
              <w:t>得分</w:t>
            </w:r>
          </w:p>
        </w:tc>
      </w:tr>
      <w:tr w14:paraId="055772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7860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79DA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0D361">
            <w:pPr>
              <w:jc w:val="center"/>
            </w:pPr>
            <w:r>
              <w:rPr>
                <w:rFonts w:ascii="宋体" w:hAnsi="宋体" w:eastAsia="宋体"/>
                <w:sz w:val="16"/>
              </w:rPr>
              <w:t>274.72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0B1CE">
            <w:pPr>
              <w:jc w:val="center"/>
            </w:pPr>
            <w:r>
              <w:rPr>
                <w:rFonts w:ascii="宋体" w:hAnsi="宋体" w:eastAsia="宋体"/>
                <w:sz w:val="16"/>
              </w:rPr>
              <w:t>269.64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C6050">
            <w:pPr>
              <w:jc w:val="center"/>
            </w:pPr>
            <w:r>
              <w:rPr>
                <w:rFonts w:ascii="宋体" w:hAnsi="宋体" w:eastAsia="宋体"/>
                <w:sz w:val="16"/>
              </w:rPr>
              <w:t>269.64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01A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2F0F5">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5BDC7">
            <w:pPr>
              <w:jc w:val="center"/>
            </w:pPr>
            <w:r>
              <w:rPr>
                <w:rFonts w:ascii="宋体" w:hAnsi="宋体" w:eastAsia="宋体"/>
                <w:sz w:val="16"/>
              </w:rPr>
              <w:t>10</w:t>
            </w:r>
          </w:p>
        </w:tc>
      </w:tr>
      <w:tr w14:paraId="01844C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73F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8734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47B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BBF6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E36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107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EB7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1491E">
            <w:pPr>
              <w:jc w:val="center"/>
            </w:pPr>
            <w:r>
              <w:rPr>
                <w:rFonts w:ascii="宋体" w:hAnsi="宋体" w:eastAsia="宋体"/>
                <w:sz w:val="16"/>
              </w:rPr>
              <w:t>—</w:t>
            </w:r>
          </w:p>
        </w:tc>
      </w:tr>
      <w:tr w14:paraId="349010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1FD8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1B65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29851">
            <w:pPr>
              <w:jc w:val="center"/>
            </w:pPr>
            <w:r>
              <w:rPr>
                <w:rFonts w:ascii="宋体" w:hAnsi="宋体" w:eastAsia="宋体"/>
                <w:sz w:val="16"/>
              </w:rPr>
              <w:t>274.72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AFA91">
            <w:pPr>
              <w:jc w:val="center"/>
            </w:pPr>
            <w:r>
              <w:rPr>
                <w:rFonts w:ascii="宋体" w:hAnsi="宋体" w:eastAsia="宋体"/>
                <w:sz w:val="16"/>
              </w:rPr>
              <w:t>269.64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A1EB6">
            <w:pPr>
              <w:jc w:val="center"/>
            </w:pPr>
            <w:r>
              <w:rPr>
                <w:rFonts w:ascii="宋体" w:hAnsi="宋体" w:eastAsia="宋体"/>
                <w:sz w:val="16"/>
              </w:rPr>
              <w:t>269.64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EC6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B0E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0B1C1">
            <w:pPr>
              <w:jc w:val="center"/>
            </w:pPr>
            <w:r>
              <w:rPr>
                <w:rFonts w:ascii="宋体" w:hAnsi="宋体" w:eastAsia="宋体"/>
                <w:sz w:val="16"/>
              </w:rPr>
              <w:t>—</w:t>
            </w:r>
          </w:p>
        </w:tc>
      </w:tr>
      <w:tr w14:paraId="08E4A4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06FC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7454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E4F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459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0E7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F68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043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7A090">
            <w:pPr>
              <w:jc w:val="center"/>
            </w:pPr>
            <w:r>
              <w:rPr>
                <w:rFonts w:ascii="宋体" w:hAnsi="宋体" w:eastAsia="宋体"/>
                <w:sz w:val="16"/>
              </w:rPr>
              <w:t>—</w:t>
            </w:r>
          </w:p>
        </w:tc>
      </w:tr>
      <w:tr w14:paraId="3C733A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0BA2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96EBE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41AF18">
            <w:pPr>
              <w:jc w:val="center"/>
            </w:pPr>
            <w:r>
              <w:rPr>
                <w:rFonts w:ascii="宋体" w:hAnsi="宋体" w:eastAsia="宋体"/>
                <w:sz w:val="16"/>
              </w:rPr>
              <w:t>实际完成情况</w:t>
            </w:r>
          </w:p>
        </w:tc>
      </w:tr>
      <w:tr w14:paraId="7F83B0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AC41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AFBD98">
            <w:pPr>
              <w:jc w:val="both"/>
            </w:pPr>
            <w:r>
              <w:rPr>
                <w:rFonts w:ascii="宋体" w:hAnsi="宋体" w:eastAsia="宋体"/>
                <w:sz w:val="16"/>
              </w:rPr>
              <w:t>确保在职人员的工资、津贴、补贴、社保、医保、公积金等以及离退休人员的工资等人员保障性经费能够依规、按时、足额发放或缴纳，提升部门人员工作积极性和服务质量；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幼儿国家通用语言文字的掌握和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365E31">
            <w:pPr>
              <w:jc w:val="both"/>
            </w:pPr>
            <w:r>
              <w:rPr>
                <w:rFonts w:ascii="宋体" w:hAnsi="宋体" w:eastAsia="宋体"/>
                <w:sz w:val="16"/>
              </w:rPr>
              <w:t>确保了在职人员12人的工资、津贴、补贴、社保、医保、公积金等以及离退休人员的工资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FB67B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A131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B331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5192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2775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16FA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D198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80DF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6E4AF">
            <w:pPr>
              <w:jc w:val="center"/>
            </w:pPr>
            <w:r>
              <w:rPr>
                <w:rFonts w:ascii="宋体" w:hAnsi="宋体" w:eastAsia="宋体"/>
                <w:sz w:val="16"/>
              </w:rPr>
              <w:t>得分</w:t>
            </w:r>
          </w:p>
        </w:tc>
      </w:tr>
      <w:tr w14:paraId="215423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6284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6E9E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EB939">
            <w:pPr>
              <w:jc w:val="center"/>
            </w:pPr>
            <w:r>
              <w:rPr>
                <w:rFonts w:ascii="宋体" w:hAnsi="宋体" w:eastAsia="宋体"/>
                <w:sz w:val="16"/>
              </w:rPr>
              <w:t>人员工资福利支出保障在职人员人数（人)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61148">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27C5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B9E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0E86D">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6BC9D">
            <w:pPr>
              <w:jc w:val="center"/>
            </w:pPr>
            <w:r>
              <w:rPr>
                <w:rFonts w:ascii="宋体" w:hAnsi="宋体" w:eastAsia="宋体"/>
                <w:sz w:val="16"/>
              </w:rPr>
              <w:t>10</w:t>
            </w:r>
          </w:p>
        </w:tc>
      </w:tr>
      <w:tr w14:paraId="0765E0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A5801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BCD1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4509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3C8DF">
            <w:pPr>
              <w:jc w:val="center"/>
            </w:pPr>
            <w:r>
              <w:rPr>
                <w:rFonts w:ascii="宋体" w:hAnsi="宋体" w:eastAsia="宋体"/>
                <w:sz w:val="16"/>
              </w:rPr>
              <w:t>&lt;=271.71万元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DD41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486F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4E655">
            <w:pPr>
              <w:jc w:val="center"/>
            </w:pPr>
            <w:r>
              <w:rPr>
                <w:rFonts w:ascii="宋体" w:hAnsi="宋体" w:eastAsia="宋体"/>
                <w:sz w:val="16"/>
              </w:rPr>
              <w:t>=265.52万元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F5A11">
            <w:pPr>
              <w:jc w:val="center"/>
            </w:pPr>
            <w:r>
              <w:rPr>
                <w:rFonts w:ascii="宋体" w:hAnsi="宋体" w:eastAsia="宋体"/>
                <w:sz w:val="16"/>
              </w:rPr>
              <w:t>9.77</w:t>
            </w:r>
          </w:p>
        </w:tc>
      </w:tr>
      <w:tr w14:paraId="06D357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20FF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612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2E28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0465C">
            <w:pPr>
              <w:jc w:val="center"/>
            </w:pPr>
            <w:r>
              <w:rPr>
                <w:rFonts w:ascii="宋体" w:hAnsi="宋体" w:eastAsia="宋体"/>
                <w:sz w:val="16"/>
              </w:rPr>
              <w:t>&lt;=3.01万元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ABB1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ECE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D5692">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8B5E6">
            <w:pPr>
              <w:jc w:val="center"/>
            </w:pPr>
            <w:r>
              <w:rPr>
                <w:rFonts w:ascii="宋体" w:hAnsi="宋体" w:eastAsia="宋体"/>
                <w:sz w:val="16"/>
              </w:rPr>
              <w:t>0</w:t>
            </w:r>
          </w:p>
        </w:tc>
      </w:tr>
      <w:tr w14:paraId="424F05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3A5B8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276B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A01D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37B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EE292">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FA2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A98F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D3EA2">
            <w:pPr>
              <w:jc w:val="center"/>
            </w:pPr>
            <w:r>
              <w:rPr>
                <w:rFonts w:ascii="宋体" w:hAnsi="宋体" w:eastAsia="宋体"/>
                <w:sz w:val="16"/>
              </w:rPr>
              <w:t>10</w:t>
            </w:r>
          </w:p>
        </w:tc>
      </w:tr>
      <w:tr w14:paraId="22FF31A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07806">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663A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B0F54">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A2FA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2A8E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D72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2871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DE680">
            <w:pPr>
              <w:jc w:val="center"/>
            </w:pPr>
            <w:r>
              <w:rPr>
                <w:rFonts w:ascii="宋体" w:hAnsi="宋体" w:eastAsia="宋体"/>
                <w:sz w:val="16"/>
              </w:rPr>
              <w:t>10</w:t>
            </w:r>
          </w:p>
        </w:tc>
      </w:tr>
      <w:tr w14:paraId="72DC01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6F84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F44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46C74">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24EA6">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AF45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30A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6A85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80794">
            <w:pPr>
              <w:jc w:val="center"/>
            </w:pPr>
            <w:r>
              <w:rPr>
                <w:rFonts w:ascii="宋体" w:hAnsi="宋体" w:eastAsia="宋体"/>
                <w:sz w:val="16"/>
              </w:rPr>
              <w:t>10</w:t>
            </w:r>
          </w:p>
        </w:tc>
      </w:tr>
      <w:tr w14:paraId="0148A9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68E4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C692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FBDA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A135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C3C7F">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94D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0D71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91DC3">
            <w:pPr>
              <w:jc w:val="center"/>
            </w:pPr>
            <w:r>
              <w:rPr>
                <w:rFonts w:ascii="宋体" w:hAnsi="宋体" w:eastAsia="宋体"/>
                <w:sz w:val="16"/>
              </w:rPr>
              <w:t>10</w:t>
            </w:r>
          </w:p>
        </w:tc>
      </w:tr>
      <w:tr w14:paraId="3C2376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6D01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5716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4073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FFB7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DF594">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C8E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16A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DD39B">
            <w:pPr>
              <w:jc w:val="center"/>
            </w:pPr>
            <w:r>
              <w:rPr>
                <w:rFonts w:ascii="宋体" w:hAnsi="宋体" w:eastAsia="宋体"/>
                <w:sz w:val="16"/>
              </w:rPr>
              <w:t>10</w:t>
            </w:r>
          </w:p>
        </w:tc>
      </w:tr>
      <w:tr w14:paraId="4884BD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64D7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577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DDF02">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9AD7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F42CB">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87A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F84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FD59B">
            <w:pPr>
              <w:jc w:val="center"/>
            </w:pPr>
            <w:r>
              <w:rPr>
                <w:rFonts w:ascii="宋体" w:hAnsi="宋体" w:eastAsia="宋体"/>
                <w:sz w:val="16"/>
              </w:rPr>
              <w:t>10</w:t>
            </w:r>
          </w:p>
        </w:tc>
      </w:tr>
    </w:tbl>
    <w:p w14:paraId="6547F2AA">
      <w:r>
        <w:br w:type="page"/>
      </w:r>
    </w:p>
    <w:p w14:paraId="6FF84073">
      <w:pPr>
        <w:spacing w:line="640" w:lineRule="exact"/>
        <w:ind w:firstLine="640"/>
        <w:jc w:val="both"/>
        <w:outlineLvl w:val="2"/>
      </w:pPr>
      <w:r>
        <w:rPr>
          <w:rFonts w:ascii="黑体" w:hAnsi="黑体" w:eastAsia="黑体"/>
          <w:sz w:val="32"/>
        </w:rPr>
        <w:t>十二、其他需说明的事项</w:t>
      </w:r>
    </w:p>
    <w:p w14:paraId="7D71D1A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1932443">
      <w:r>
        <w:br w:type="page"/>
      </w:r>
    </w:p>
    <w:p w14:paraId="69321A31">
      <w:pPr>
        <w:spacing w:line="240" w:lineRule="auto"/>
        <w:jc w:val="center"/>
        <w:outlineLvl w:val="1"/>
      </w:pPr>
      <w:r>
        <w:rPr>
          <w:rFonts w:ascii="黑体" w:hAnsi="黑体" w:eastAsia="黑体"/>
          <w:sz w:val="32"/>
        </w:rPr>
        <w:t>第三部分 专业名词解释</w:t>
      </w:r>
    </w:p>
    <w:p w14:paraId="0364065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01595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D984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3B99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3F28A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7095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8F10B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A4D0E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199E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74417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7BFA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2805D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BBD9C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02170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360E19">
      <w:r>
        <w:br w:type="page"/>
      </w:r>
    </w:p>
    <w:p w14:paraId="4C0FB4AD">
      <w:pPr>
        <w:spacing w:line="240" w:lineRule="auto"/>
        <w:jc w:val="center"/>
        <w:outlineLvl w:val="1"/>
      </w:pPr>
      <w:r>
        <w:rPr>
          <w:rFonts w:ascii="黑体" w:hAnsi="黑体" w:eastAsia="黑体"/>
          <w:sz w:val="32"/>
        </w:rPr>
        <w:t>第四部分 部门决算报表（见附表）</w:t>
      </w:r>
    </w:p>
    <w:p w14:paraId="0467F094">
      <w:pPr>
        <w:spacing w:line="240" w:lineRule="auto"/>
        <w:ind w:firstLine="640"/>
        <w:jc w:val="both"/>
      </w:pPr>
      <w:r>
        <w:rPr>
          <w:rFonts w:ascii="仿宋_GB2312" w:hAnsi="仿宋_GB2312" w:eastAsia="仿宋_GB2312"/>
          <w:b w:val="0"/>
          <w:sz w:val="32"/>
        </w:rPr>
        <w:t>一、《收入支出决算总表》</w:t>
      </w:r>
    </w:p>
    <w:p w14:paraId="50776DA6">
      <w:pPr>
        <w:spacing w:line="240" w:lineRule="auto"/>
        <w:ind w:firstLine="640"/>
        <w:jc w:val="both"/>
      </w:pPr>
      <w:r>
        <w:rPr>
          <w:rFonts w:ascii="仿宋_GB2312" w:hAnsi="仿宋_GB2312" w:eastAsia="仿宋_GB2312"/>
          <w:b w:val="0"/>
          <w:sz w:val="32"/>
        </w:rPr>
        <w:t>二、《收入决算表》</w:t>
      </w:r>
    </w:p>
    <w:p w14:paraId="6DE00235">
      <w:pPr>
        <w:spacing w:line="240" w:lineRule="auto"/>
        <w:ind w:firstLine="640"/>
        <w:jc w:val="both"/>
      </w:pPr>
      <w:r>
        <w:rPr>
          <w:rFonts w:ascii="仿宋_GB2312" w:hAnsi="仿宋_GB2312" w:eastAsia="仿宋_GB2312"/>
          <w:b w:val="0"/>
          <w:sz w:val="32"/>
        </w:rPr>
        <w:t>三、《支出决算表》</w:t>
      </w:r>
    </w:p>
    <w:p w14:paraId="2F0DDB5B">
      <w:pPr>
        <w:spacing w:line="240" w:lineRule="auto"/>
        <w:ind w:firstLine="640"/>
        <w:jc w:val="both"/>
      </w:pPr>
      <w:r>
        <w:rPr>
          <w:rFonts w:ascii="仿宋_GB2312" w:hAnsi="仿宋_GB2312" w:eastAsia="仿宋_GB2312"/>
          <w:b w:val="0"/>
          <w:sz w:val="32"/>
        </w:rPr>
        <w:t>四、《财政拨款收入支出决算总表》</w:t>
      </w:r>
    </w:p>
    <w:p w14:paraId="5791BD49">
      <w:pPr>
        <w:spacing w:line="240" w:lineRule="auto"/>
        <w:ind w:firstLine="640"/>
        <w:jc w:val="both"/>
      </w:pPr>
      <w:r>
        <w:rPr>
          <w:rFonts w:ascii="仿宋_GB2312" w:hAnsi="仿宋_GB2312" w:eastAsia="仿宋_GB2312"/>
          <w:b w:val="0"/>
          <w:sz w:val="32"/>
        </w:rPr>
        <w:t>五、《一般公共预算财政拨款支出决算表》</w:t>
      </w:r>
    </w:p>
    <w:p w14:paraId="709ECECC">
      <w:pPr>
        <w:spacing w:line="240" w:lineRule="auto"/>
        <w:ind w:firstLine="640"/>
        <w:jc w:val="both"/>
      </w:pPr>
      <w:r>
        <w:rPr>
          <w:rFonts w:ascii="仿宋_GB2312" w:hAnsi="仿宋_GB2312" w:eastAsia="仿宋_GB2312"/>
          <w:b w:val="0"/>
          <w:sz w:val="32"/>
        </w:rPr>
        <w:t>六、《一般公共预算财政拨款基本支出决算表》</w:t>
      </w:r>
    </w:p>
    <w:p w14:paraId="178063D8">
      <w:pPr>
        <w:spacing w:line="240" w:lineRule="auto"/>
        <w:ind w:firstLine="640"/>
        <w:jc w:val="both"/>
      </w:pPr>
      <w:r>
        <w:rPr>
          <w:rFonts w:ascii="仿宋_GB2312" w:hAnsi="仿宋_GB2312" w:eastAsia="仿宋_GB2312"/>
          <w:b w:val="0"/>
          <w:sz w:val="32"/>
        </w:rPr>
        <w:t>七、《政府性基金预算财政拨款收入支出决算表》</w:t>
      </w:r>
    </w:p>
    <w:p w14:paraId="256D9D09">
      <w:pPr>
        <w:spacing w:line="240" w:lineRule="auto"/>
        <w:ind w:firstLine="640"/>
        <w:jc w:val="both"/>
      </w:pPr>
      <w:r>
        <w:rPr>
          <w:rFonts w:ascii="仿宋_GB2312" w:hAnsi="仿宋_GB2312" w:eastAsia="仿宋_GB2312"/>
          <w:b w:val="0"/>
          <w:sz w:val="32"/>
        </w:rPr>
        <w:t>八、《国有资本经营预算财政拨款收入支出决算表》</w:t>
      </w:r>
    </w:p>
    <w:p w14:paraId="2C613A75">
      <w:pPr>
        <w:spacing w:line="240" w:lineRule="auto"/>
        <w:ind w:firstLine="640"/>
        <w:jc w:val="both"/>
      </w:pPr>
      <w:r>
        <w:rPr>
          <w:rFonts w:ascii="仿宋_GB2312" w:hAnsi="仿宋_GB2312" w:eastAsia="仿宋_GB2312"/>
          <w:b w:val="0"/>
          <w:sz w:val="32"/>
        </w:rPr>
        <w:t>九、《财政拨款“三公”经费支出决算表》</w:t>
      </w:r>
    </w:p>
    <w:p w14:paraId="681E88BB">
      <w:pPr>
        <w:spacing w:line="240" w:lineRule="auto"/>
        <w:ind w:firstLine="640"/>
        <w:jc w:val="both"/>
      </w:pPr>
    </w:p>
    <w:p w14:paraId="3E16A4A5">
      <w:pPr>
        <w:spacing w:line="240" w:lineRule="auto"/>
        <w:ind w:firstLine="640"/>
        <w:jc w:val="both"/>
      </w:pPr>
    </w:p>
    <w:p w14:paraId="089CE1C7">
      <w:pPr>
        <w:spacing w:line="240" w:lineRule="auto"/>
        <w:ind w:firstLine="640"/>
        <w:jc w:val="both"/>
      </w:pPr>
    </w:p>
    <w:p w14:paraId="76981AF4">
      <w:pPr>
        <w:spacing w:line="240" w:lineRule="auto"/>
        <w:ind w:firstLine="640"/>
        <w:jc w:val="both"/>
      </w:pPr>
    </w:p>
    <w:p w14:paraId="4724C32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3C9070-AC8A-48B3-94FE-1BDE06E381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A33EDE9-18B6-4476-84C5-CC5DD2D6C95D}"/>
  </w:font>
  <w:font w:name="仿宋_GB2312">
    <w:altName w:val="仿宋"/>
    <w:panose1 w:val="02010609030101010101"/>
    <w:charset w:val="86"/>
    <w:family w:val="modern"/>
    <w:pitch w:val="default"/>
    <w:sig w:usb0="00000000" w:usb1="00000000" w:usb2="00000000" w:usb3="00000000" w:csb0="00040000" w:csb1="00000000"/>
    <w:embedRegular r:id="rId3" w:fontKey="{8B048EE0-B7BF-4C3D-8CD2-56F4888D6DCA}"/>
  </w:font>
  <w:font w:name="楷体_GB2312">
    <w:altName w:val="楷体"/>
    <w:panose1 w:val="02010609030101010101"/>
    <w:charset w:val="86"/>
    <w:family w:val="auto"/>
    <w:pitch w:val="default"/>
    <w:sig w:usb0="00000000" w:usb1="00000000" w:usb2="00000000" w:usb3="00000000" w:csb0="00040000" w:csb1="00000000"/>
    <w:embedRegular r:id="rId4" w:fontKey="{1BCBADEA-25DB-474B-8690-276DA41C280B}"/>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7D591A"/>
    <w:rsid w:val="4B4C0111"/>
    <w:rsid w:val="4BB23021"/>
    <w:rsid w:val="4F3F074E"/>
    <w:rsid w:val="50DB5F45"/>
    <w:rsid w:val="52F92565"/>
    <w:rsid w:val="543D17CB"/>
    <w:rsid w:val="55DA564E"/>
    <w:rsid w:val="56E07045"/>
    <w:rsid w:val="583059FA"/>
    <w:rsid w:val="587E6212"/>
    <w:rsid w:val="598F612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3672</Words>
  <Characters>4202</Characters>
  <Lines>0</Lines>
  <Paragraphs>0</Paragraphs>
  <TotalTime>2</TotalTime>
  <ScaleCrop>false</ScaleCrop>
  <LinksUpToDate>false</LinksUpToDate>
  <CharactersWithSpaces>4210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