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5A28FF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阿克陶县克孜勒陶镇中心小学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2B39A8">
      <w:r>
        <w:br w:type="page"/>
      </w:r>
    </w:p>
    <w:p w14:paraId="45B3A383">
      <w:pPr>
        <w:spacing w:line="640" w:lineRule="exact"/>
        <w:jc w:val="center"/>
        <w:outlineLvl w:val="1"/>
      </w:pPr>
      <w:r>
        <w:rPr>
          <w:rFonts w:ascii="黑体" w:hAnsi="黑体" w:eastAsia="黑体"/>
          <w:sz w:val="32"/>
        </w:rPr>
        <w:t>第一部分 单位概况</w:t>
      </w:r>
    </w:p>
    <w:p w14:paraId="7FF73DAD">
      <w:pPr>
        <w:spacing w:line="640" w:lineRule="exact"/>
        <w:ind w:firstLine="640"/>
        <w:jc w:val="both"/>
        <w:outlineLvl w:val="2"/>
      </w:pPr>
      <w:r>
        <w:rPr>
          <w:rFonts w:ascii="黑体" w:hAnsi="黑体" w:eastAsia="黑体"/>
          <w:sz w:val="32"/>
        </w:rPr>
        <w:t>一、主要职能</w:t>
      </w:r>
    </w:p>
    <w:p w14:paraId="2C814228">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实施小学义务教育，促进基础教育发展，为适龄儿童提供保育和教育服务。</w:t>
      </w:r>
    </w:p>
    <w:p w14:paraId="5D622C5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遵守国家的法律、法规、依法办学。</w:t>
      </w:r>
    </w:p>
    <w:p w14:paraId="777355B1">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贯彻国家的教育方针，执行国家教育教学标准，组织实施教育教学活动，保证教育教学质量。</w:t>
      </w:r>
    </w:p>
    <w:p w14:paraId="1135CF91">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对受教育者进行学籍管理，实施奖励或处分，维护受教育者的合法权益。</w:t>
      </w:r>
    </w:p>
    <w:p w14:paraId="4BFDEB4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对教师及职工进行</w:t>
      </w:r>
      <w:r>
        <w:rPr>
          <w:rFonts w:hint="eastAsia" w:ascii="仿宋_GB2312" w:hAnsi="仿宋_GB2312" w:eastAsia="仿宋_GB2312"/>
          <w:sz w:val="32"/>
          <w:lang w:eastAsia="zh-CN"/>
        </w:rPr>
        <w:t>教育</w:t>
      </w:r>
      <w:r>
        <w:rPr>
          <w:rFonts w:ascii="仿宋_GB2312" w:hAnsi="仿宋_GB2312" w:eastAsia="仿宋_GB2312"/>
          <w:sz w:val="32"/>
        </w:rPr>
        <w:t>管理，维护教师和职工的合法权益。</w:t>
      </w:r>
    </w:p>
    <w:p w14:paraId="6646B0E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依法接受监督，拒绝任何组织和个人对学校正常教育教学活动的非法干涉。</w:t>
      </w:r>
    </w:p>
    <w:p w14:paraId="42520C60">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完成自治州</w:t>
      </w:r>
      <w:r>
        <w:rPr>
          <w:rFonts w:hint="eastAsia" w:ascii="仿宋_GB2312" w:hAnsi="仿宋_GB2312" w:eastAsia="仿宋_GB2312"/>
          <w:sz w:val="32"/>
          <w:lang w:eastAsia="zh-CN"/>
        </w:rPr>
        <w:t>人民政府</w:t>
      </w:r>
      <w:r>
        <w:rPr>
          <w:rFonts w:ascii="仿宋_GB2312" w:hAnsi="仿宋_GB2312" w:eastAsia="仿宋_GB2312"/>
          <w:sz w:val="32"/>
        </w:rPr>
        <w:t>交办的其他工作。</w:t>
      </w:r>
    </w:p>
    <w:p w14:paraId="497B8842">
      <w:pPr>
        <w:spacing w:line="640" w:lineRule="exact"/>
        <w:ind w:firstLine="640"/>
        <w:jc w:val="both"/>
        <w:outlineLvl w:val="2"/>
      </w:pPr>
      <w:r>
        <w:rPr>
          <w:rFonts w:ascii="黑体" w:hAnsi="黑体" w:eastAsia="黑体"/>
          <w:sz w:val="32"/>
        </w:rPr>
        <w:t>二、机构设置及人员情况</w:t>
      </w:r>
    </w:p>
    <w:p w14:paraId="2C22D481">
      <w:pPr>
        <w:spacing w:line="580" w:lineRule="exact"/>
        <w:ind w:firstLine="640"/>
        <w:jc w:val="both"/>
      </w:pPr>
      <w:r>
        <w:rPr>
          <w:rFonts w:ascii="仿宋_GB2312" w:hAnsi="仿宋_GB2312" w:eastAsia="仿宋_GB2312"/>
          <w:sz w:val="32"/>
        </w:rPr>
        <w:t>阿克陶县克孜勒陶镇中心小学2024年度，实有人数97人，其中：在职人员52人，减少2人；离休人员0人，增加0人；退休人员45人</w:t>
      </w:r>
      <w:bookmarkStart w:id="0" w:name="_GoBack"/>
      <w:r>
        <w:rPr>
          <w:rFonts w:ascii="仿宋_GB2312" w:hAnsi="仿宋_GB2312" w:eastAsia="仿宋_GB2312"/>
          <w:sz w:val="32"/>
        </w:rPr>
        <w:t>,</w:t>
      </w:r>
      <w:bookmarkEnd w:id="0"/>
      <w:r>
        <w:rPr>
          <w:rFonts w:ascii="仿宋_GB2312" w:hAnsi="仿宋_GB2312" w:eastAsia="仿宋_GB2312"/>
          <w:sz w:val="32"/>
        </w:rPr>
        <w:t>减少2人。</w:t>
      </w:r>
    </w:p>
    <w:p w14:paraId="5924DC54">
      <w:pPr>
        <w:spacing w:line="580" w:lineRule="exact"/>
        <w:ind w:firstLine="640"/>
        <w:jc w:val="both"/>
      </w:pPr>
      <w:r>
        <w:rPr>
          <w:rFonts w:ascii="仿宋_GB2312" w:hAnsi="仿宋_GB2312" w:eastAsia="仿宋_GB2312"/>
          <w:sz w:val="32"/>
        </w:rPr>
        <w:t>阿克陶县克孜勒陶镇中心小学无下属预算单位，下设8个科室，分别是：党建办、校办、教务科、德育办公室、财务室、安全办公室、后勤办公室、保健室。</w:t>
      </w:r>
    </w:p>
    <w:p w14:paraId="3A36752F">
      <w:r>
        <w:br w:type="page"/>
      </w:r>
    </w:p>
    <w:p w14:paraId="2E432A9B">
      <w:pPr>
        <w:spacing w:line="240" w:lineRule="auto"/>
        <w:jc w:val="center"/>
        <w:outlineLvl w:val="1"/>
      </w:pPr>
      <w:r>
        <w:rPr>
          <w:rFonts w:ascii="黑体" w:hAnsi="黑体" w:eastAsia="黑体"/>
          <w:sz w:val="32"/>
        </w:rPr>
        <w:t>第二部分 部门决算情况说明</w:t>
      </w:r>
    </w:p>
    <w:p w14:paraId="501CDCC0">
      <w:pPr>
        <w:spacing w:line="640" w:lineRule="exact"/>
        <w:ind w:firstLine="640"/>
        <w:jc w:val="both"/>
        <w:outlineLvl w:val="2"/>
      </w:pPr>
      <w:r>
        <w:rPr>
          <w:rFonts w:ascii="黑体" w:hAnsi="黑体" w:eastAsia="黑体"/>
          <w:sz w:val="32"/>
        </w:rPr>
        <w:t>一、收入支出决算总体情况说明</w:t>
      </w:r>
    </w:p>
    <w:p w14:paraId="72AD5FF7">
      <w:pPr>
        <w:spacing w:line="580" w:lineRule="exact"/>
        <w:ind w:firstLine="640"/>
        <w:jc w:val="both"/>
      </w:pPr>
      <w:r>
        <w:rPr>
          <w:rFonts w:ascii="仿宋_GB2312" w:hAnsi="仿宋_GB2312" w:eastAsia="仿宋_GB2312"/>
          <w:b/>
          <w:sz w:val="32"/>
        </w:rPr>
        <w:t>2024年度收入总计1,221.96万元，</w:t>
      </w:r>
      <w:r>
        <w:rPr>
          <w:rFonts w:ascii="仿宋_GB2312" w:hAnsi="仿宋_GB2312" w:eastAsia="仿宋_GB2312"/>
          <w:b w:val="0"/>
          <w:sz w:val="32"/>
        </w:rPr>
        <w:t>其中：本年收入合计1,221.59万元，使用非财政拨款结余（含专用结余）0.00万元，年初结转和结余0.37万元。</w:t>
      </w:r>
    </w:p>
    <w:p w14:paraId="35DDD01F">
      <w:pPr>
        <w:spacing w:line="580" w:lineRule="exact"/>
        <w:ind w:firstLine="640"/>
        <w:jc w:val="both"/>
      </w:pPr>
      <w:r>
        <w:rPr>
          <w:rFonts w:ascii="仿宋_GB2312" w:hAnsi="仿宋_GB2312" w:eastAsia="仿宋_GB2312"/>
          <w:b/>
          <w:sz w:val="32"/>
        </w:rPr>
        <w:t>2024年度支出总计1,221.96万元，</w:t>
      </w:r>
      <w:r>
        <w:rPr>
          <w:rFonts w:ascii="仿宋_GB2312" w:hAnsi="仿宋_GB2312" w:eastAsia="仿宋_GB2312"/>
          <w:b w:val="0"/>
          <w:sz w:val="32"/>
        </w:rPr>
        <w:t>其中：本年支出合计1,221.59万元，结余分配0.00万元，年末结转和结余0.37万元。</w:t>
      </w:r>
    </w:p>
    <w:p w14:paraId="09ED6E8D">
      <w:pPr>
        <w:spacing w:line="580" w:lineRule="exact"/>
        <w:ind w:firstLine="640"/>
        <w:jc w:val="both"/>
      </w:pPr>
      <w:r>
        <w:rPr>
          <w:rFonts w:ascii="仿宋_GB2312" w:hAnsi="仿宋_GB2312" w:eastAsia="仿宋_GB2312"/>
          <w:b w:val="0"/>
          <w:sz w:val="32"/>
        </w:rPr>
        <w:t>收入支出总体与上年相比，减少121.19万元，下降9.02%，主要原因是：本年在职人员减少，相关人员经费减少；本年度该学校撤销，只有人员</w:t>
      </w:r>
      <w:r>
        <w:rPr>
          <w:rFonts w:hint="eastAsia" w:ascii="仿宋_GB2312" w:hAnsi="仿宋_GB2312" w:eastAsia="仿宋_GB2312"/>
          <w:b w:val="0"/>
          <w:sz w:val="32"/>
          <w:lang w:val="en-US" w:eastAsia="zh-CN"/>
        </w:rPr>
        <w:t>经费支出</w:t>
      </w:r>
      <w:r>
        <w:rPr>
          <w:rFonts w:ascii="仿宋_GB2312" w:hAnsi="仿宋_GB2312" w:eastAsia="仿宋_GB2312"/>
          <w:b w:val="0"/>
          <w:sz w:val="32"/>
        </w:rPr>
        <w:t>，无公用经费支出。本年减少彩票公益金少年宫项目、城乡义务教育补助经费公用经费、教育项目直达资金-公用经费(特教)等；本年减少</w:t>
      </w:r>
      <w:r>
        <w:rPr>
          <w:rFonts w:hint="eastAsia" w:ascii="仿宋_GB2312" w:hAnsi="仿宋_GB2312" w:eastAsia="仿宋_GB2312"/>
          <w:b w:val="0"/>
          <w:sz w:val="32"/>
          <w:lang w:eastAsia="zh-CN"/>
        </w:rPr>
        <w:t>单位汇算个税</w:t>
      </w:r>
      <w:r>
        <w:rPr>
          <w:rFonts w:ascii="仿宋_GB2312" w:hAnsi="仿宋_GB2312" w:eastAsia="仿宋_GB2312"/>
          <w:b w:val="0"/>
          <w:sz w:val="32"/>
        </w:rPr>
        <w:t>收入。</w:t>
      </w:r>
    </w:p>
    <w:p w14:paraId="3ECB7FB0">
      <w:pPr>
        <w:spacing w:line="640" w:lineRule="exact"/>
        <w:ind w:firstLine="640"/>
        <w:jc w:val="both"/>
        <w:outlineLvl w:val="2"/>
      </w:pPr>
      <w:r>
        <w:rPr>
          <w:rFonts w:ascii="黑体" w:hAnsi="黑体" w:eastAsia="黑体"/>
          <w:sz w:val="32"/>
        </w:rPr>
        <w:t>二、收入决算情况说明</w:t>
      </w:r>
    </w:p>
    <w:p w14:paraId="68A0D006">
      <w:pPr>
        <w:spacing w:line="580" w:lineRule="exact"/>
        <w:ind w:firstLine="640"/>
        <w:jc w:val="both"/>
      </w:pPr>
      <w:r>
        <w:rPr>
          <w:rFonts w:ascii="仿宋_GB2312" w:hAnsi="仿宋_GB2312" w:eastAsia="仿宋_GB2312"/>
          <w:b/>
          <w:sz w:val="32"/>
        </w:rPr>
        <w:t>本年收入1,221.59万元，</w:t>
      </w:r>
      <w:r>
        <w:rPr>
          <w:rFonts w:ascii="仿宋_GB2312" w:hAnsi="仿宋_GB2312" w:eastAsia="仿宋_GB2312"/>
          <w:b w:val="0"/>
          <w:sz w:val="32"/>
        </w:rPr>
        <w:t>其中：财政拨款收入1,221.56万元，占100.00%；上级补助收入0.00万元，占0.00%；事业收入0.00万元，占0.00%；经营收入0.00万元，占0.00%；附属单位上缴收入0.00万元，占0.00%；其他收入0.03万元，占0.002%。</w:t>
      </w:r>
    </w:p>
    <w:p w14:paraId="27F566B3">
      <w:pPr>
        <w:spacing w:line="640" w:lineRule="exact"/>
        <w:ind w:firstLine="640"/>
        <w:jc w:val="both"/>
        <w:outlineLvl w:val="2"/>
      </w:pPr>
      <w:r>
        <w:rPr>
          <w:rFonts w:ascii="黑体" w:hAnsi="黑体" w:eastAsia="黑体"/>
          <w:sz w:val="32"/>
        </w:rPr>
        <w:t>三、支出决算情况说明</w:t>
      </w:r>
    </w:p>
    <w:p w14:paraId="70B47557">
      <w:pPr>
        <w:spacing w:line="580" w:lineRule="exact"/>
        <w:ind w:firstLine="640"/>
        <w:jc w:val="both"/>
      </w:pPr>
      <w:r>
        <w:rPr>
          <w:rFonts w:ascii="仿宋_GB2312" w:hAnsi="仿宋_GB2312" w:eastAsia="仿宋_GB2312"/>
          <w:b/>
          <w:sz w:val="32"/>
        </w:rPr>
        <w:t>本年支出1,221.59万元，</w:t>
      </w:r>
      <w:r>
        <w:rPr>
          <w:rFonts w:ascii="仿宋_GB2312" w:hAnsi="仿宋_GB2312" w:eastAsia="仿宋_GB2312"/>
          <w:b w:val="0"/>
          <w:sz w:val="32"/>
        </w:rPr>
        <w:t>其中：基本支出1,192.38万元，占97.61%；项目支出29.21万元，占2.39%；上缴上级支出0.00万元，占0.00%；经营支出0.00万元，占0.00%；对附属单位补助支出0.00万元，占0.00%。</w:t>
      </w:r>
    </w:p>
    <w:p w14:paraId="6507E84F">
      <w:pPr>
        <w:spacing w:line="640" w:lineRule="exact"/>
        <w:ind w:firstLine="640"/>
        <w:jc w:val="both"/>
        <w:outlineLvl w:val="2"/>
      </w:pPr>
      <w:r>
        <w:rPr>
          <w:rFonts w:ascii="黑体" w:hAnsi="黑体" w:eastAsia="黑体"/>
          <w:sz w:val="32"/>
        </w:rPr>
        <w:t>四、财政拨款收入支出决算总体情况说明</w:t>
      </w:r>
    </w:p>
    <w:p w14:paraId="77BEF893">
      <w:pPr>
        <w:spacing w:line="580" w:lineRule="exact"/>
        <w:ind w:firstLine="640"/>
        <w:jc w:val="both"/>
      </w:pPr>
      <w:r>
        <w:rPr>
          <w:rFonts w:ascii="仿宋_GB2312" w:hAnsi="仿宋_GB2312" w:eastAsia="仿宋_GB2312"/>
          <w:b/>
          <w:sz w:val="32"/>
        </w:rPr>
        <w:t>2024年度财政拨款收入总计1,221.56万元，</w:t>
      </w:r>
      <w:r>
        <w:rPr>
          <w:rFonts w:ascii="仿宋_GB2312" w:hAnsi="仿宋_GB2312" w:eastAsia="仿宋_GB2312"/>
          <w:b w:val="0"/>
          <w:sz w:val="32"/>
        </w:rPr>
        <w:t>其中：年初财政拨款结转和结余0.00万元，本年财政拨款收入1,221.56万元。</w:t>
      </w:r>
      <w:r>
        <w:rPr>
          <w:rFonts w:ascii="仿宋_GB2312" w:hAnsi="仿宋_GB2312" w:eastAsia="仿宋_GB2312"/>
          <w:b/>
          <w:sz w:val="32"/>
        </w:rPr>
        <w:t>财政拨款支出总计1,221.56万元，</w:t>
      </w:r>
      <w:r>
        <w:rPr>
          <w:rFonts w:ascii="仿宋_GB2312" w:hAnsi="仿宋_GB2312" w:eastAsia="仿宋_GB2312"/>
          <w:b w:val="0"/>
          <w:sz w:val="32"/>
        </w:rPr>
        <w:t>其中：年末财政拨款结转和结余0.00万元，本年财政拨款支出1,221.56万元。</w:t>
      </w:r>
    </w:p>
    <w:p w14:paraId="38B67D1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减少95.71万元，下降7.27%，主要原因是：本年在职人员减少，相关人员经费减少；本年度该学校撤销，只有人员</w:t>
      </w:r>
      <w:r>
        <w:rPr>
          <w:rFonts w:hint="eastAsia" w:ascii="仿宋_GB2312" w:hAnsi="仿宋_GB2312" w:eastAsia="仿宋_GB2312"/>
          <w:b w:val="0"/>
          <w:sz w:val="32"/>
          <w:lang w:val="en-US" w:eastAsia="zh-CN"/>
        </w:rPr>
        <w:t>经费</w:t>
      </w:r>
      <w:r>
        <w:rPr>
          <w:rFonts w:ascii="仿宋_GB2312" w:hAnsi="仿宋_GB2312" w:eastAsia="仿宋_GB2312"/>
          <w:b w:val="0"/>
          <w:sz w:val="32"/>
        </w:rPr>
        <w:t>支出，无公用经费支出。本年减少彩票公益金少年宫项目、城乡义务教育补助经费公用经费、教育项目直达资金-公用经费(特教)等</w:t>
      </w:r>
      <w:r>
        <w:rPr>
          <w:rFonts w:hint="eastAsia" w:ascii="仿宋_GB2312" w:hAnsi="仿宋_GB2312" w:eastAsia="仿宋_GB2312"/>
          <w:b w:val="0"/>
          <w:sz w:val="32"/>
          <w:lang w:eastAsia="zh-CN"/>
        </w:rPr>
        <w:t>经费。</w:t>
      </w:r>
      <w:r>
        <w:rPr>
          <w:rFonts w:ascii="仿宋_GB2312" w:hAnsi="仿宋_GB2312" w:eastAsia="仿宋_GB2312"/>
          <w:b/>
          <w:sz w:val="32"/>
        </w:rPr>
        <w:t>与年初预算相比，</w:t>
      </w:r>
      <w:r>
        <w:rPr>
          <w:rFonts w:ascii="仿宋_GB2312" w:hAnsi="仿宋_GB2312" w:eastAsia="仿宋_GB2312"/>
          <w:b w:val="0"/>
          <w:sz w:val="32"/>
        </w:rPr>
        <w:t>年初预算数1,251.60万元，决算数1,221.56万元，预决算差异率-2.40%，主要原因是：本年在职人员减少，年中调减人员经费，导致预决算存在差异。</w:t>
      </w:r>
    </w:p>
    <w:p w14:paraId="6C06A768">
      <w:pPr>
        <w:spacing w:line="640" w:lineRule="exact"/>
        <w:ind w:firstLine="640"/>
        <w:jc w:val="both"/>
        <w:outlineLvl w:val="2"/>
      </w:pPr>
      <w:r>
        <w:rPr>
          <w:rFonts w:ascii="黑体" w:hAnsi="黑体" w:eastAsia="黑体"/>
          <w:sz w:val="32"/>
        </w:rPr>
        <w:t>五、一般公共预算财政拨款支出决算情况说明</w:t>
      </w:r>
    </w:p>
    <w:p w14:paraId="10A69135">
      <w:pPr>
        <w:spacing w:line="640" w:lineRule="exact"/>
        <w:ind w:firstLine="640"/>
        <w:jc w:val="both"/>
        <w:outlineLvl w:val="3"/>
      </w:pPr>
      <w:r>
        <w:rPr>
          <w:rFonts w:ascii="楷体_GB2312" w:hAnsi="楷体_GB2312" w:eastAsia="楷体_GB2312"/>
          <w:b/>
          <w:sz w:val="32"/>
        </w:rPr>
        <w:t>（一）一般公共预算财政拨款支出决算总体情况</w:t>
      </w:r>
    </w:p>
    <w:p w14:paraId="24BF3972">
      <w:pPr>
        <w:spacing w:line="580" w:lineRule="exact"/>
        <w:ind w:firstLine="640"/>
        <w:jc w:val="both"/>
      </w:pPr>
      <w:r>
        <w:rPr>
          <w:rFonts w:ascii="仿宋_GB2312" w:hAnsi="仿宋_GB2312" w:eastAsia="仿宋_GB2312"/>
          <w:b/>
          <w:sz w:val="32"/>
        </w:rPr>
        <w:t>2024年度一般公共预算财政拨款支出1,221.56万元，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减少94.21万元，下降7.16%，主要原因是：本年在职人员减少，相关人员经费减少；本年度该学校撤销，只有人员</w:t>
      </w:r>
      <w:r>
        <w:rPr>
          <w:rFonts w:hint="eastAsia" w:ascii="仿宋_GB2312" w:hAnsi="仿宋_GB2312" w:eastAsia="仿宋_GB2312"/>
          <w:b w:val="0"/>
          <w:sz w:val="32"/>
          <w:lang w:val="en-US" w:eastAsia="zh-CN"/>
        </w:rPr>
        <w:t>经费</w:t>
      </w:r>
      <w:r>
        <w:rPr>
          <w:rFonts w:ascii="仿宋_GB2312" w:hAnsi="仿宋_GB2312" w:eastAsia="仿宋_GB2312"/>
          <w:b w:val="0"/>
          <w:sz w:val="32"/>
        </w:rPr>
        <w:t>支出，无公用经费支出。本年减少城乡义务教育补助经费公用经费、教育项目直达资金-公用经费(特教)等</w:t>
      </w:r>
      <w:r>
        <w:rPr>
          <w:rFonts w:hint="eastAsia" w:ascii="仿宋_GB2312" w:hAnsi="仿宋_GB2312" w:eastAsia="仿宋_GB2312"/>
          <w:b w:val="0"/>
          <w:sz w:val="32"/>
          <w:lang w:eastAsia="zh-CN"/>
        </w:rPr>
        <w:t>资金。</w:t>
      </w:r>
      <w:r>
        <w:rPr>
          <w:rFonts w:ascii="仿宋_GB2312" w:hAnsi="仿宋_GB2312" w:eastAsia="仿宋_GB2312"/>
          <w:b/>
          <w:sz w:val="32"/>
        </w:rPr>
        <w:t>与年初预算相比,</w:t>
      </w:r>
      <w:r>
        <w:rPr>
          <w:rFonts w:ascii="仿宋_GB2312" w:hAnsi="仿宋_GB2312" w:eastAsia="仿宋_GB2312"/>
          <w:b w:val="0"/>
          <w:sz w:val="32"/>
        </w:rPr>
        <w:t>年初预算数1,251.60万元，决算数1,221.56万元，预决算差异率-2.40%，主要原因是：本年在职人员减少，年中调减人员经费，导致预决算存在差异。</w:t>
      </w:r>
    </w:p>
    <w:p w14:paraId="24374B1B">
      <w:pPr>
        <w:spacing w:line="640" w:lineRule="exact"/>
        <w:ind w:firstLine="640"/>
        <w:jc w:val="both"/>
        <w:outlineLvl w:val="3"/>
      </w:pPr>
      <w:r>
        <w:rPr>
          <w:rFonts w:ascii="楷体_GB2312" w:hAnsi="楷体_GB2312" w:eastAsia="楷体_GB2312"/>
          <w:b/>
          <w:sz w:val="32"/>
        </w:rPr>
        <w:t>（二）一般公共预算财政拨款支出决算结构情况</w:t>
      </w:r>
    </w:p>
    <w:p w14:paraId="361B2BB0">
      <w:pPr>
        <w:spacing w:line="580" w:lineRule="exact"/>
        <w:ind w:firstLine="640"/>
        <w:jc w:val="both"/>
      </w:pPr>
      <w:r>
        <w:rPr>
          <w:rFonts w:ascii="仿宋_GB2312" w:hAnsi="仿宋_GB2312" w:eastAsia="仿宋_GB2312"/>
          <w:b w:val="0"/>
          <w:sz w:val="32"/>
        </w:rPr>
        <w:t>1.教育支出(类)1,221.56万元,占100.00%。</w:t>
      </w:r>
    </w:p>
    <w:p w14:paraId="5ECFF991">
      <w:pPr>
        <w:spacing w:line="640" w:lineRule="exact"/>
        <w:ind w:firstLine="640"/>
        <w:jc w:val="both"/>
        <w:outlineLvl w:val="3"/>
      </w:pPr>
      <w:r>
        <w:rPr>
          <w:rFonts w:ascii="楷体_GB2312" w:hAnsi="楷体_GB2312" w:eastAsia="楷体_GB2312"/>
          <w:b/>
          <w:sz w:val="32"/>
        </w:rPr>
        <w:t>（三）一般公共预算财政拨款支出决算具体情况</w:t>
      </w:r>
    </w:p>
    <w:p w14:paraId="189EB459">
      <w:pPr>
        <w:spacing w:line="580" w:lineRule="exact"/>
        <w:ind w:firstLine="640"/>
        <w:jc w:val="both"/>
      </w:pPr>
      <w:r>
        <w:rPr>
          <w:rFonts w:ascii="仿宋_GB2312" w:hAnsi="仿宋_GB2312" w:eastAsia="仿宋_GB2312"/>
          <w:b w:val="0"/>
          <w:sz w:val="32"/>
        </w:rPr>
        <w:t>1.教育支出(类)普通教育(款)小学教育(项):支出决算数为1,221.56万元，比上年决算增加10.87万元，增长0.90%,主要原因是：本年功能科目调整，养老保险缴费上年度单独列支，本年调整至主科目列支，导致经费较上年增加。</w:t>
      </w:r>
    </w:p>
    <w:p w14:paraId="45830CE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105.08万元，下降100.00%,主要原因是：本年功能科目调整，养老保险缴费上年度单独列支，本年调整至主科目列支，导致经费较上年减少。</w:t>
      </w:r>
    </w:p>
    <w:p w14:paraId="2C3CAFCB">
      <w:pPr>
        <w:spacing w:line="640" w:lineRule="exact"/>
        <w:ind w:firstLine="640"/>
        <w:jc w:val="both"/>
        <w:outlineLvl w:val="2"/>
      </w:pPr>
      <w:r>
        <w:rPr>
          <w:rFonts w:ascii="黑体" w:hAnsi="黑体" w:eastAsia="黑体"/>
          <w:sz w:val="32"/>
        </w:rPr>
        <w:t>六、一般公共预算财政拨款基本支出决算情况说明</w:t>
      </w:r>
    </w:p>
    <w:p w14:paraId="063DE455">
      <w:pPr>
        <w:spacing w:line="580" w:lineRule="exact"/>
        <w:ind w:firstLine="640"/>
        <w:jc w:val="both"/>
      </w:pPr>
      <w:r>
        <w:rPr>
          <w:rFonts w:ascii="仿宋_GB2312" w:hAnsi="仿宋_GB2312" w:eastAsia="仿宋_GB2312"/>
          <w:b w:val="0"/>
          <w:sz w:val="32"/>
        </w:rPr>
        <w:t>2024年度一般公共预算财政拨款基本支出1,192.38万元，其中：</w:t>
      </w:r>
      <w:r>
        <w:rPr>
          <w:rFonts w:ascii="仿宋_GB2312" w:hAnsi="仿宋_GB2312" w:eastAsia="仿宋_GB2312"/>
          <w:b/>
          <w:sz w:val="32"/>
        </w:rPr>
        <w:t>人员经费1,192.38万元，</w:t>
      </w:r>
      <w:r>
        <w:rPr>
          <w:rFonts w:ascii="仿宋_GB2312" w:hAnsi="仿宋_GB2312" w:eastAsia="仿宋_GB2312"/>
          <w:b w:val="0"/>
          <w:sz w:val="32"/>
        </w:rPr>
        <w:t>包括：基本工资、津贴补贴、奖金、机关事业单位基本养老保险缴费、职工基本医疗保险缴费、其他社会保障缴费、住房公积金、退休费、抚恤金、生活补助。</w:t>
      </w:r>
    </w:p>
    <w:p w14:paraId="0F231AA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1394755">
      <w:pPr>
        <w:spacing w:line="640" w:lineRule="exact"/>
        <w:ind w:firstLine="640"/>
        <w:jc w:val="both"/>
        <w:outlineLvl w:val="2"/>
      </w:pPr>
      <w:r>
        <w:rPr>
          <w:rFonts w:ascii="黑体" w:hAnsi="黑体" w:eastAsia="黑体"/>
          <w:sz w:val="32"/>
        </w:rPr>
        <w:t>七、政府性基金预算财政拨款收入支出决算情况说明</w:t>
      </w:r>
    </w:p>
    <w:p w14:paraId="37B4C845">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2A77751C">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减少1.50万元，下降100.00%，主要原因是：本年减少彩票公益金少年宫项目。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年初预算数0.00万元，决算数0.00万元，预决算差异率0.00%，主要原因是：本年未安排政府性基金预算。</w:t>
      </w:r>
    </w:p>
    <w:p w14:paraId="4994E524">
      <w:pPr>
        <w:spacing w:line="580" w:lineRule="exact"/>
        <w:ind w:firstLine="640"/>
        <w:jc w:val="both"/>
      </w:pPr>
      <w:r>
        <w:rPr>
          <w:rFonts w:ascii="仿宋_GB2312" w:hAnsi="仿宋_GB2312" w:eastAsia="仿宋_GB2312"/>
          <w:b w:val="0"/>
          <w:sz w:val="32"/>
        </w:rPr>
        <w:t>政府性基金预算财政拨款支出0.00万元。</w:t>
      </w:r>
    </w:p>
    <w:p w14:paraId="15BAE927">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1.其他支出(类)彩票公益金安排的支出(款)用于教育事业的彩票公益金支出(项):支出决算数为0.00万元，比上年决算减少1.50万元，下降100.00%,主要原因是：本年减少彩票公益金少年宫项目。</w:t>
      </w:r>
    </w:p>
    <w:p w14:paraId="6CAB76BC">
      <w:pPr>
        <w:spacing w:line="640" w:lineRule="exact"/>
        <w:ind w:firstLine="640"/>
        <w:jc w:val="both"/>
        <w:outlineLvl w:val="2"/>
      </w:pPr>
      <w:r>
        <w:rPr>
          <w:rFonts w:ascii="黑体" w:hAnsi="黑体" w:eastAsia="黑体"/>
          <w:sz w:val="32"/>
        </w:rPr>
        <w:t>八、国有资本经营预算财政拨款收入支出决算情况说明</w:t>
      </w:r>
    </w:p>
    <w:p w14:paraId="5FD8BDA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1F78545">
      <w:pPr>
        <w:spacing w:line="640" w:lineRule="exact"/>
        <w:ind w:firstLine="640"/>
        <w:jc w:val="both"/>
        <w:outlineLvl w:val="2"/>
      </w:pPr>
      <w:r>
        <w:rPr>
          <w:rFonts w:ascii="黑体" w:hAnsi="黑体" w:eastAsia="黑体"/>
          <w:sz w:val="32"/>
        </w:rPr>
        <w:t>九、财政拨款“三公”经费支出决算情况说明</w:t>
      </w:r>
    </w:p>
    <w:p w14:paraId="3CE4368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4BC31BF">
      <w:pPr>
        <w:spacing w:line="580" w:lineRule="exact"/>
        <w:ind w:firstLine="640"/>
        <w:jc w:val="both"/>
      </w:pPr>
      <w:r>
        <w:rPr>
          <w:rFonts w:ascii="仿宋_GB2312" w:hAnsi="仿宋_GB2312" w:eastAsia="仿宋_GB2312"/>
          <w:b/>
          <w:sz w:val="32"/>
        </w:rPr>
        <w:t>具体情况如下：</w:t>
      </w:r>
    </w:p>
    <w:p w14:paraId="3C840F2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C16354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5352C9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5055A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36F2E20">
      <w:pPr>
        <w:spacing w:line="640" w:lineRule="exact"/>
        <w:ind w:firstLine="640"/>
        <w:jc w:val="both"/>
        <w:outlineLvl w:val="2"/>
      </w:pPr>
      <w:r>
        <w:rPr>
          <w:rFonts w:ascii="黑体" w:hAnsi="黑体" w:eastAsia="黑体"/>
          <w:sz w:val="32"/>
        </w:rPr>
        <w:t>十、其他重要事项的情况说明</w:t>
      </w:r>
    </w:p>
    <w:p w14:paraId="30C132F8">
      <w:pPr>
        <w:spacing w:line="640" w:lineRule="exact"/>
        <w:ind w:firstLine="640"/>
        <w:jc w:val="both"/>
        <w:outlineLvl w:val="3"/>
      </w:pPr>
      <w:r>
        <w:rPr>
          <w:rFonts w:ascii="楷体_GB2312" w:hAnsi="楷体_GB2312" w:eastAsia="楷体_GB2312"/>
          <w:b/>
          <w:sz w:val="32"/>
        </w:rPr>
        <w:t>（一）机关运行经费及公用经费支出情况</w:t>
      </w:r>
    </w:p>
    <w:p w14:paraId="6596BD0F">
      <w:pPr>
        <w:spacing w:line="580" w:lineRule="exact"/>
        <w:ind w:firstLine="640"/>
        <w:jc w:val="both"/>
      </w:pPr>
      <w:r>
        <w:rPr>
          <w:rFonts w:ascii="仿宋_GB2312" w:hAnsi="仿宋_GB2312" w:eastAsia="仿宋_GB2312"/>
          <w:b w:val="0"/>
          <w:sz w:val="32"/>
        </w:rPr>
        <w:t>2024年度阿克陶县克孜勒陶镇中心小学（事业单位）公用经费支出0.00万元，比上年增加0.00万元，增长0.00%，主要原因是：2023年与2024年均未安排公用经费支出。</w:t>
      </w:r>
    </w:p>
    <w:p w14:paraId="4E26BCB2">
      <w:pPr>
        <w:spacing w:line="640" w:lineRule="exact"/>
        <w:ind w:firstLine="640"/>
        <w:jc w:val="both"/>
        <w:outlineLvl w:val="3"/>
      </w:pPr>
      <w:r>
        <w:rPr>
          <w:rFonts w:ascii="楷体_GB2312" w:hAnsi="楷体_GB2312" w:eastAsia="楷体_GB2312"/>
          <w:b/>
          <w:sz w:val="32"/>
        </w:rPr>
        <w:t>（二）政府采购情况</w:t>
      </w:r>
    </w:p>
    <w:p w14:paraId="7C4AC0C7">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BE771A7">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4849D0A">
      <w:pPr>
        <w:spacing w:line="640" w:lineRule="exact"/>
        <w:ind w:firstLine="640"/>
        <w:jc w:val="both"/>
        <w:outlineLvl w:val="3"/>
      </w:pPr>
      <w:r>
        <w:rPr>
          <w:rFonts w:ascii="楷体_GB2312" w:hAnsi="楷体_GB2312" w:eastAsia="楷体_GB2312"/>
          <w:b/>
          <w:sz w:val="32"/>
        </w:rPr>
        <w:t>（三）国有资产占用情况说明</w:t>
      </w:r>
    </w:p>
    <w:p w14:paraId="5D9BDA9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5277FC2">
      <w:pPr>
        <w:spacing w:line="640" w:lineRule="exact"/>
        <w:ind w:firstLine="640"/>
        <w:jc w:val="both"/>
        <w:outlineLvl w:val="2"/>
      </w:pPr>
      <w:r>
        <w:rPr>
          <w:rFonts w:ascii="黑体" w:hAnsi="黑体" w:eastAsia="黑体"/>
          <w:sz w:val="32"/>
        </w:rPr>
        <w:t>十一、预算绩效的情况说明</w:t>
      </w:r>
    </w:p>
    <w:p w14:paraId="2692FCA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1,221.96万元，实际执行总额1,221.59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25D6790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D0BCE52">
        <w:tblPrEx>
          <w:tblCellMar>
            <w:top w:w="0" w:type="dxa"/>
            <w:left w:w="108" w:type="dxa"/>
            <w:bottom w:w="0" w:type="dxa"/>
            <w:right w:w="108" w:type="dxa"/>
          </w:tblCellMar>
        </w:tblPrEx>
        <w:tc>
          <w:tcPr>
            <w:tcW w:w="8840" w:type="dxa"/>
            <w:gridSpan w:val="8"/>
            <w:vAlign w:val="center"/>
          </w:tcPr>
          <w:p w14:paraId="2224CD8A">
            <w:pPr>
              <w:jc w:val="center"/>
            </w:pPr>
            <w:r>
              <w:rPr>
                <w:rFonts w:ascii="宋体" w:hAnsi="宋体" w:eastAsia="宋体"/>
                <w:sz w:val="24"/>
              </w:rPr>
              <w:t>单位整体支出绩效自评表</w:t>
            </w:r>
          </w:p>
        </w:tc>
      </w:tr>
      <w:tr w14:paraId="7E04655C">
        <w:tblPrEx>
          <w:tblCellMar>
            <w:top w:w="0" w:type="dxa"/>
            <w:left w:w="108" w:type="dxa"/>
            <w:bottom w:w="0" w:type="dxa"/>
            <w:right w:w="108" w:type="dxa"/>
          </w:tblCellMar>
        </w:tblPrEx>
        <w:tc>
          <w:tcPr>
            <w:tcW w:w="8840" w:type="dxa"/>
            <w:gridSpan w:val="8"/>
            <w:vAlign w:val="center"/>
          </w:tcPr>
          <w:p w14:paraId="4BA75BEA">
            <w:pPr>
              <w:jc w:val="center"/>
            </w:pPr>
            <w:r>
              <w:rPr>
                <w:rFonts w:ascii="宋体" w:hAnsi="宋体" w:eastAsia="宋体"/>
                <w:sz w:val="24"/>
              </w:rPr>
              <w:t>（2024年度）</w:t>
            </w:r>
          </w:p>
        </w:tc>
      </w:tr>
      <w:tr w14:paraId="3B19F77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4BCE9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C19D2F">
            <w:pPr>
              <w:jc w:val="center"/>
            </w:pPr>
            <w:r>
              <w:rPr>
                <w:rFonts w:ascii="宋体" w:hAnsi="宋体" w:eastAsia="宋体"/>
                <w:sz w:val="16"/>
              </w:rPr>
              <w:t>阿克陶县克孜勒陶镇中心小学</w:t>
            </w:r>
          </w:p>
        </w:tc>
      </w:tr>
      <w:tr w14:paraId="18D03DC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1055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FE657">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0BF4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BC5F4">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97EBB">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618A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D4B1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EA63F">
            <w:pPr>
              <w:jc w:val="center"/>
            </w:pPr>
            <w:r>
              <w:rPr>
                <w:rFonts w:ascii="宋体" w:hAnsi="宋体" w:eastAsia="宋体"/>
                <w:sz w:val="16"/>
              </w:rPr>
              <w:t>得分</w:t>
            </w:r>
          </w:p>
        </w:tc>
      </w:tr>
      <w:tr w14:paraId="7AB2F9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8488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9706D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02AB6">
            <w:pPr>
              <w:jc w:val="center"/>
            </w:pPr>
            <w:r>
              <w:rPr>
                <w:rFonts w:ascii="宋体" w:hAnsi="宋体" w:eastAsia="宋体"/>
                <w:sz w:val="16"/>
              </w:rPr>
              <w:t>1,236.25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D5721">
            <w:pPr>
              <w:jc w:val="center"/>
            </w:pPr>
            <w:r>
              <w:rPr>
                <w:rFonts w:ascii="宋体" w:hAnsi="宋体" w:eastAsia="宋体"/>
                <w:sz w:val="16"/>
              </w:rPr>
              <w:t>1,221.96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386FD">
            <w:pPr>
              <w:jc w:val="center"/>
            </w:pPr>
            <w:r>
              <w:rPr>
                <w:rFonts w:ascii="宋体" w:hAnsi="宋体" w:eastAsia="宋体"/>
                <w:sz w:val="16"/>
              </w:rPr>
              <w:t>1,221.59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4FE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CA3A0">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7646F">
            <w:pPr>
              <w:jc w:val="center"/>
            </w:pPr>
            <w:r>
              <w:rPr>
                <w:rFonts w:ascii="宋体" w:hAnsi="宋体" w:eastAsia="宋体"/>
                <w:sz w:val="16"/>
              </w:rPr>
              <w:t>9.99</w:t>
            </w:r>
          </w:p>
        </w:tc>
      </w:tr>
      <w:tr w14:paraId="5062E2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35EE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CCDE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7F92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91F9C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6E20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E0A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54B7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8611D">
            <w:pPr>
              <w:jc w:val="center"/>
            </w:pPr>
            <w:r>
              <w:rPr>
                <w:rFonts w:ascii="宋体" w:hAnsi="宋体" w:eastAsia="宋体"/>
                <w:sz w:val="16"/>
              </w:rPr>
              <w:t>—</w:t>
            </w:r>
          </w:p>
        </w:tc>
      </w:tr>
      <w:tr w14:paraId="04CFA8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442C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D0E4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7B415">
            <w:pPr>
              <w:jc w:val="center"/>
            </w:pPr>
            <w:r>
              <w:rPr>
                <w:rFonts w:ascii="宋体" w:hAnsi="宋体" w:eastAsia="宋体"/>
                <w:sz w:val="16"/>
              </w:rPr>
              <w:t>1,236.25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0485B">
            <w:pPr>
              <w:jc w:val="center"/>
            </w:pPr>
            <w:r>
              <w:rPr>
                <w:rFonts w:ascii="宋体" w:hAnsi="宋体" w:eastAsia="宋体"/>
                <w:sz w:val="16"/>
              </w:rPr>
              <w:t>1,221.96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A2AD7">
            <w:pPr>
              <w:jc w:val="center"/>
            </w:pPr>
            <w:r>
              <w:rPr>
                <w:rFonts w:ascii="宋体" w:hAnsi="宋体" w:eastAsia="宋体"/>
                <w:sz w:val="16"/>
              </w:rPr>
              <w:t>1,221.59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6DC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5B82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64340">
            <w:pPr>
              <w:jc w:val="center"/>
            </w:pPr>
            <w:r>
              <w:rPr>
                <w:rFonts w:ascii="宋体" w:hAnsi="宋体" w:eastAsia="宋体"/>
                <w:sz w:val="16"/>
              </w:rPr>
              <w:t>—</w:t>
            </w:r>
          </w:p>
        </w:tc>
      </w:tr>
      <w:tr w14:paraId="402E6F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EF30E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135A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E45C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9A79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AB9E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A7D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4FB0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79B46">
            <w:pPr>
              <w:jc w:val="center"/>
            </w:pPr>
            <w:r>
              <w:rPr>
                <w:rFonts w:ascii="宋体" w:hAnsi="宋体" w:eastAsia="宋体"/>
                <w:sz w:val="16"/>
              </w:rPr>
              <w:t>—</w:t>
            </w:r>
          </w:p>
        </w:tc>
      </w:tr>
      <w:tr w14:paraId="3C25A24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DE87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EEBD9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8096C6">
            <w:pPr>
              <w:jc w:val="center"/>
            </w:pPr>
            <w:r>
              <w:rPr>
                <w:rFonts w:ascii="宋体" w:hAnsi="宋体" w:eastAsia="宋体"/>
                <w:sz w:val="16"/>
              </w:rPr>
              <w:t>实际完成情况</w:t>
            </w:r>
          </w:p>
        </w:tc>
      </w:tr>
      <w:tr w14:paraId="201537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F5AAD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EA9225">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C31224">
            <w:pPr>
              <w:jc w:val="both"/>
            </w:pPr>
            <w:r>
              <w:rPr>
                <w:rFonts w:ascii="宋体" w:hAnsi="宋体" w:eastAsia="宋体"/>
                <w:sz w:val="16"/>
              </w:rPr>
              <w:t>人员工资福利支出预算保障人数52人，提升部门人员工作积极性和服务质量依规、按时、足额发放或缴纳。为科学配置教育资源,加快推动全县城乡教育一体化高质量，在统筹考虑城乡人口流动、学龄人口变化基础上，经县委编委会 2024 年第3 次会议研究，决定撤销阿克陶县克孜勒陶镇中心小学36 名教师进行分流安置。但在编教职工工资关系在克孜勒陶镇中心小学发放发展。</w:t>
            </w:r>
          </w:p>
        </w:tc>
      </w:tr>
      <w:tr w14:paraId="6AB2EEB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A552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FF47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56A1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095A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4CFB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CD6D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10D08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876AD">
            <w:pPr>
              <w:jc w:val="center"/>
            </w:pPr>
            <w:r>
              <w:rPr>
                <w:rFonts w:ascii="宋体" w:hAnsi="宋体" w:eastAsia="宋体"/>
                <w:sz w:val="16"/>
              </w:rPr>
              <w:t>得分</w:t>
            </w:r>
          </w:p>
        </w:tc>
      </w:tr>
      <w:tr w14:paraId="0E1F0C6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79D48">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A3D6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6C47B">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38DAC">
            <w:pPr>
              <w:jc w:val="center"/>
            </w:pPr>
            <w:r>
              <w:rPr>
                <w:rFonts w:ascii="宋体" w:hAnsi="宋体" w:eastAsia="宋体"/>
                <w:sz w:val="16"/>
              </w:rPr>
              <w:t>&gt;=54人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B6A77">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0BDD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C7A12">
            <w:pPr>
              <w:jc w:val="center"/>
            </w:pPr>
            <w:r>
              <w:rPr>
                <w:rFonts w:ascii="宋体" w:hAnsi="宋体" w:eastAsia="宋体"/>
                <w:sz w:val="16"/>
              </w:rPr>
              <w: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400BB">
            <w:pPr>
              <w:jc w:val="center"/>
            </w:pPr>
            <w:r>
              <w:rPr>
                <w:rFonts w:ascii="宋体" w:hAnsi="宋体" w:eastAsia="宋体"/>
                <w:sz w:val="16"/>
              </w:rPr>
              <w:t>9.63</w:t>
            </w:r>
          </w:p>
        </w:tc>
      </w:tr>
      <w:tr w14:paraId="2AEE89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AA2A6"/>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B495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7D7A68">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58C99">
            <w:pPr>
              <w:jc w:val="center"/>
            </w:pPr>
            <w:r>
              <w:rPr>
                <w:rFonts w:ascii="宋体" w:hAnsi="宋体" w:eastAsia="宋体"/>
                <w:sz w:val="16"/>
              </w:rPr>
              <w:t>&lt;=1221.94万元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ED90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17A7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89168">
            <w:pPr>
              <w:jc w:val="center"/>
            </w:pPr>
            <w:r>
              <w:rPr>
                <w:rFonts w:ascii="宋体" w:hAnsi="宋体" w:eastAsia="宋体"/>
                <w:sz w:val="16"/>
              </w:rPr>
              <w:t>1192.38万元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C6501">
            <w:pPr>
              <w:jc w:val="center"/>
            </w:pPr>
            <w:r>
              <w:rPr>
                <w:rFonts w:ascii="宋体" w:hAnsi="宋体" w:eastAsia="宋体"/>
                <w:sz w:val="16"/>
              </w:rPr>
              <w:t>9.76</w:t>
            </w:r>
          </w:p>
        </w:tc>
      </w:tr>
      <w:tr w14:paraId="041C620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B9CC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4660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AA6D1">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0CDE9">
            <w:pPr>
              <w:jc w:val="center"/>
            </w:pPr>
            <w:r>
              <w:rPr>
                <w:rFonts w:ascii="宋体" w:hAnsi="宋体" w:eastAsia="宋体"/>
                <w:sz w:val="16"/>
              </w:rPr>
              <w:t>&lt;=14.31万元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7D51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6A18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9F137">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3AC9B">
            <w:pPr>
              <w:jc w:val="center"/>
            </w:pPr>
            <w:r>
              <w:rPr>
                <w:rFonts w:ascii="宋体" w:hAnsi="宋体" w:eastAsia="宋体"/>
                <w:sz w:val="16"/>
              </w:rPr>
              <w:t>0</w:t>
            </w:r>
          </w:p>
        </w:tc>
      </w:tr>
      <w:tr w14:paraId="732C456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C1255">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F8C1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72BAE">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D611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2BFB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6DB5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6F2B5">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136710">
            <w:pPr>
              <w:jc w:val="center"/>
            </w:pPr>
            <w:r>
              <w:rPr>
                <w:rFonts w:ascii="宋体" w:hAnsi="宋体" w:eastAsia="宋体"/>
                <w:sz w:val="16"/>
              </w:rPr>
              <w:t>0</w:t>
            </w:r>
          </w:p>
        </w:tc>
      </w:tr>
      <w:tr w14:paraId="773FD82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BA5B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E551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93B83">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4BB98">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6536D">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2EB3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D4A74">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EAB6F">
            <w:pPr>
              <w:jc w:val="center"/>
            </w:pPr>
            <w:r>
              <w:rPr>
                <w:rFonts w:ascii="宋体" w:hAnsi="宋体" w:eastAsia="宋体"/>
                <w:sz w:val="16"/>
              </w:rPr>
              <w:t>0</w:t>
            </w:r>
          </w:p>
        </w:tc>
      </w:tr>
      <w:tr w14:paraId="3EF064F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8A664">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615C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3C8B4">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55ED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E1E62">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0E42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3C90D">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6CAF4">
            <w:pPr>
              <w:jc w:val="center"/>
            </w:pPr>
            <w:r>
              <w:rPr>
                <w:rFonts w:ascii="宋体" w:hAnsi="宋体" w:eastAsia="宋体"/>
                <w:sz w:val="16"/>
              </w:rPr>
              <w:t>0</w:t>
            </w:r>
          </w:p>
        </w:tc>
      </w:tr>
      <w:tr w14:paraId="478C08E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12035">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B71E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555DF0">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7B472">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D02E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8D2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BCB20">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DCE15">
            <w:pPr>
              <w:jc w:val="center"/>
            </w:pPr>
            <w:r>
              <w:rPr>
                <w:rFonts w:ascii="宋体" w:hAnsi="宋体" w:eastAsia="宋体"/>
                <w:sz w:val="16"/>
              </w:rPr>
              <w:t>0</w:t>
            </w:r>
          </w:p>
        </w:tc>
      </w:tr>
      <w:tr w14:paraId="7F63D2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1A10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CFAF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3CA3D">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CED8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A0425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ED65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2FDAB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5EFDC">
            <w:pPr>
              <w:jc w:val="center"/>
            </w:pPr>
            <w:r>
              <w:rPr>
                <w:rFonts w:ascii="宋体" w:hAnsi="宋体" w:eastAsia="宋体"/>
                <w:sz w:val="16"/>
              </w:rPr>
              <w:t>10</w:t>
            </w:r>
          </w:p>
        </w:tc>
      </w:tr>
    </w:tbl>
    <w:p w14:paraId="707B7296">
      <w:r>
        <w:br w:type="page"/>
      </w:r>
    </w:p>
    <w:p w14:paraId="53624789">
      <w:pPr>
        <w:spacing w:line="640" w:lineRule="exact"/>
        <w:ind w:firstLine="640"/>
        <w:jc w:val="both"/>
        <w:outlineLvl w:val="2"/>
      </w:pPr>
      <w:r>
        <w:rPr>
          <w:rFonts w:ascii="黑体" w:hAnsi="黑体" w:eastAsia="黑体"/>
          <w:sz w:val="32"/>
        </w:rPr>
        <w:t>十二、其他需说明的事项</w:t>
      </w:r>
    </w:p>
    <w:p w14:paraId="48600C06">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0264777">
      <w:r>
        <w:br w:type="page"/>
      </w:r>
    </w:p>
    <w:p w14:paraId="23F80ED2">
      <w:pPr>
        <w:spacing w:line="240" w:lineRule="auto"/>
        <w:jc w:val="center"/>
        <w:outlineLvl w:val="1"/>
      </w:pPr>
      <w:r>
        <w:rPr>
          <w:rFonts w:ascii="黑体" w:hAnsi="黑体" w:eastAsia="黑体"/>
          <w:sz w:val="32"/>
        </w:rPr>
        <w:t>第三部分 专业名词解释</w:t>
      </w:r>
    </w:p>
    <w:p w14:paraId="1524E96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BB9AC2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C8B590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D113C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88DBC9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F3FB61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8E1FAA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7D5312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45F81E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C075C5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66C7F8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26D576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80C6E5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C0F72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AF6475">
      <w:r>
        <w:br w:type="page"/>
      </w:r>
    </w:p>
    <w:p w14:paraId="7FB590D5">
      <w:pPr>
        <w:spacing w:line="240" w:lineRule="auto"/>
        <w:jc w:val="center"/>
        <w:outlineLvl w:val="1"/>
      </w:pPr>
      <w:r>
        <w:rPr>
          <w:rFonts w:ascii="黑体" w:hAnsi="黑体" w:eastAsia="黑体"/>
          <w:sz w:val="32"/>
        </w:rPr>
        <w:t>第四部分 部门决算报表（见附表）</w:t>
      </w:r>
    </w:p>
    <w:p w14:paraId="36D571C3">
      <w:pPr>
        <w:spacing w:line="240" w:lineRule="auto"/>
        <w:ind w:firstLine="640"/>
        <w:jc w:val="both"/>
      </w:pPr>
      <w:r>
        <w:rPr>
          <w:rFonts w:ascii="仿宋_GB2312" w:hAnsi="仿宋_GB2312" w:eastAsia="仿宋_GB2312"/>
          <w:b w:val="0"/>
          <w:sz w:val="32"/>
        </w:rPr>
        <w:t>一、《收入支出决算总表》</w:t>
      </w:r>
    </w:p>
    <w:p w14:paraId="312691FC">
      <w:pPr>
        <w:spacing w:line="240" w:lineRule="auto"/>
        <w:ind w:firstLine="640"/>
        <w:jc w:val="both"/>
      </w:pPr>
      <w:r>
        <w:rPr>
          <w:rFonts w:ascii="仿宋_GB2312" w:hAnsi="仿宋_GB2312" w:eastAsia="仿宋_GB2312"/>
          <w:b w:val="0"/>
          <w:sz w:val="32"/>
        </w:rPr>
        <w:t>二、《收入决算表》</w:t>
      </w:r>
    </w:p>
    <w:p w14:paraId="57019BFE">
      <w:pPr>
        <w:spacing w:line="240" w:lineRule="auto"/>
        <w:ind w:firstLine="640"/>
        <w:jc w:val="both"/>
      </w:pPr>
      <w:r>
        <w:rPr>
          <w:rFonts w:ascii="仿宋_GB2312" w:hAnsi="仿宋_GB2312" w:eastAsia="仿宋_GB2312"/>
          <w:b w:val="0"/>
          <w:sz w:val="32"/>
        </w:rPr>
        <w:t>三、《支出决算表》</w:t>
      </w:r>
    </w:p>
    <w:p w14:paraId="1558501D">
      <w:pPr>
        <w:spacing w:line="240" w:lineRule="auto"/>
        <w:ind w:firstLine="640"/>
        <w:jc w:val="both"/>
      </w:pPr>
      <w:r>
        <w:rPr>
          <w:rFonts w:ascii="仿宋_GB2312" w:hAnsi="仿宋_GB2312" w:eastAsia="仿宋_GB2312"/>
          <w:b w:val="0"/>
          <w:sz w:val="32"/>
        </w:rPr>
        <w:t>四、《财政拨款收入支出决算总表》</w:t>
      </w:r>
    </w:p>
    <w:p w14:paraId="4049E818">
      <w:pPr>
        <w:spacing w:line="240" w:lineRule="auto"/>
        <w:ind w:firstLine="640"/>
        <w:jc w:val="both"/>
      </w:pPr>
      <w:r>
        <w:rPr>
          <w:rFonts w:ascii="仿宋_GB2312" w:hAnsi="仿宋_GB2312" w:eastAsia="仿宋_GB2312"/>
          <w:b w:val="0"/>
          <w:sz w:val="32"/>
        </w:rPr>
        <w:t>五、《一般公共预算财政拨款支出决算表》</w:t>
      </w:r>
    </w:p>
    <w:p w14:paraId="689E0FBA">
      <w:pPr>
        <w:spacing w:line="240" w:lineRule="auto"/>
        <w:ind w:firstLine="640"/>
        <w:jc w:val="both"/>
      </w:pPr>
      <w:r>
        <w:rPr>
          <w:rFonts w:ascii="仿宋_GB2312" w:hAnsi="仿宋_GB2312" w:eastAsia="仿宋_GB2312"/>
          <w:b w:val="0"/>
          <w:sz w:val="32"/>
        </w:rPr>
        <w:t>六、《一般公共预算财政拨款基本支出决算表》</w:t>
      </w:r>
    </w:p>
    <w:p w14:paraId="4A7138BC">
      <w:pPr>
        <w:spacing w:line="240" w:lineRule="auto"/>
        <w:ind w:firstLine="640"/>
        <w:jc w:val="both"/>
      </w:pPr>
      <w:r>
        <w:rPr>
          <w:rFonts w:ascii="仿宋_GB2312" w:hAnsi="仿宋_GB2312" w:eastAsia="仿宋_GB2312"/>
          <w:b w:val="0"/>
          <w:sz w:val="32"/>
        </w:rPr>
        <w:t>七、《政府性基金预算财政拨款收入支出决算表》</w:t>
      </w:r>
    </w:p>
    <w:p w14:paraId="38BEFFF5">
      <w:pPr>
        <w:spacing w:line="240" w:lineRule="auto"/>
        <w:ind w:firstLine="640"/>
        <w:jc w:val="both"/>
      </w:pPr>
      <w:r>
        <w:rPr>
          <w:rFonts w:ascii="仿宋_GB2312" w:hAnsi="仿宋_GB2312" w:eastAsia="仿宋_GB2312"/>
          <w:b w:val="0"/>
          <w:sz w:val="32"/>
        </w:rPr>
        <w:t>八、《国有资本经营预算财政拨款收入支出决算表》</w:t>
      </w:r>
    </w:p>
    <w:p w14:paraId="30A63EA2">
      <w:pPr>
        <w:spacing w:line="240" w:lineRule="auto"/>
        <w:ind w:firstLine="640"/>
        <w:jc w:val="both"/>
      </w:pPr>
      <w:r>
        <w:rPr>
          <w:rFonts w:ascii="仿宋_GB2312" w:hAnsi="仿宋_GB2312" w:eastAsia="仿宋_GB2312"/>
          <w:b w:val="0"/>
          <w:sz w:val="32"/>
        </w:rPr>
        <w:t>九、《财政拨款“三公”经费支出决算表》</w:t>
      </w:r>
    </w:p>
    <w:p w14:paraId="2193E8DA">
      <w:pPr>
        <w:spacing w:line="240" w:lineRule="auto"/>
        <w:ind w:firstLine="640"/>
        <w:jc w:val="both"/>
      </w:pPr>
    </w:p>
    <w:p w14:paraId="4C51FD09">
      <w:pPr>
        <w:spacing w:line="240" w:lineRule="auto"/>
        <w:ind w:firstLine="640"/>
        <w:jc w:val="both"/>
      </w:pPr>
    </w:p>
    <w:p w14:paraId="7E49D945">
      <w:pPr>
        <w:spacing w:line="240" w:lineRule="auto"/>
        <w:ind w:firstLine="640"/>
        <w:jc w:val="both"/>
      </w:pPr>
    </w:p>
    <w:p w14:paraId="159E61DA">
      <w:pPr>
        <w:spacing w:line="240" w:lineRule="auto"/>
        <w:ind w:firstLine="640"/>
        <w:jc w:val="both"/>
      </w:pPr>
    </w:p>
    <w:p w14:paraId="7AA11FD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7F6CB1"/>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D556E0"/>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A1164B"/>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5804</Words>
  <Characters>6582</Characters>
  <Lines>0</Lines>
  <Paragraphs>0</Paragraphs>
  <TotalTime>15</TotalTime>
  <ScaleCrop>false</ScaleCrop>
  <LinksUpToDate>false</LinksUpToDate>
  <CharactersWithSpaces>6596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2025-09-15T08:52:02Z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