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阿克陶县小白杨小学2024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3F01CA5">
      <w:r>
        <w:br w:type="page"/>
      </w:r>
    </w:p>
    <w:p w14:paraId="62F8BD34">
      <w:pPr>
        <w:spacing w:line="640" w:lineRule="exact"/>
        <w:jc w:val="center"/>
        <w:outlineLvl w:val="1"/>
      </w:pPr>
      <w:r>
        <w:rPr>
          <w:rFonts w:ascii="黑体" w:hAnsi="黑体" w:eastAsia="黑体"/>
          <w:sz w:val="32"/>
        </w:rPr>
        <w:t>第一部分 单位概况</w:t>
      </w:r>
    </w:p>
    <w:p w14:paraId="664E7362">
      <w:pPr>
        <w:spacing w:line="640" w:lineRule="exact"/>
        <w:ind w:firstLine="640"/>
        <w:jc w:val="both"/>
        <w:outlineLvl w:val="2"/>
      </w:pPr>
      <w:r>
        <w:rPr>
          <w:rFonts w:ascii="黑体" w:hAnsi="黑体" w:eastAsia="黑体"/>
          <w:sz w:val="32"/>
        </w:rPr>
        <w:t>一、主要职能</w:t>
      </w:r>
    </w:p>
    <w:p w14:paraId="4579CC0C">
      <w:pPr>
        <w:spacing w:line="580" w:lineRule="exact"/>
        <w:ind w:firstLine="640"/>
        <w:jc w:val="both"/>
      </w:pPr>
      <w:r>
        <w:rPr>
          <w:rFonts w:ascii="仿宋_GB2312" w:hAnsi="仿宋_GB2312" w:eastAsia="仿宋_GB2312"/>
          <w:sz w:val="32"/>
        </w:rPr>
        <w:t>①实施小学义务教育，促进基础教育发展，为适龄学生提供教育服务。</w:t>
      </w:r>
    </w:p>
    <w:p w14:paraId="09A971BA">
      <w:pPr>
        <w:spacing w:line="580" w:lineRule="exact"/>
        <w:ind w:firstLine="640"/>
        <w:jc w:val="both"/>
      </w:pPr>
      <w:r>
        <w:rPr>
          <w:rFonts w:ascii="仿宋_GB2312" w:hAnsi="仿宋_GB2312" w:eastAsia="仿宋_GB2312"/>
          <w:sz w:val="32"/>
        </w:rPr>
        <w:t>②遵守国家的法律、法规、依法办学。</w:t>
      </w:r>
    </w:p>
    <w:p w14:paraId="26487952">
      <w:pPr>
        <w:spacing w:line="580" w:lineRule="exact"/>
        <w:ind w:firstLine="640"/>
        <w:jc w:val="both"/>
      </w:pPr>
      <w:r>
        <w:rPr>
          <w:rFonts w:ascii="仿宋_GB2312" w:hAnsi="仿宋_GB2312" w:eastAsia="仿宋_GB2312"/>
          <w:sz w:val="32"/>
        </w:rPr>
        <w:t>③贯彻国家的教育方针，执行国家教育教学标准，组织实施教育教学活动，保证教育教学质量。</w:t>
      </w:r>
    </w:p>
    <w:p w14:paraId="0C417F6C">
      <w:pPr>
        <w:spacing w:line="580" w:lineRule="exact"/>
        <w:ind w:firstLine="640"/>
        <w:jc w:val="both"/>
      </w:pPr>
      <w:r>
        <w:rPr>
          <w:rFonts w:ascii="仿宋_GB2312" w:hAnsi="仿宋_GB2312" w:eastAsia="仿宋_GB2312"/>
          <w:sz w:val="32"/>
        </w:rPr>
        <w:t>④对受教育者进行学籍管理，实施奖励或处分，维护受教育者的合法权益。</w:t>
      </w:r>
    </w:p>
    <w:p w14:paraId="331B5E6D">
      <w:pPr>
        <w:spacing w:line="580" w:lineRule="exact"/>
        <w:ind w:firstLine="640"/>
        <w:jc w:val="both"/>
      </w:pPr>
      <w:r>
        <w:rPr>
          <w:rFonts w:ascii="仿宋_GB2312" w:hAnsi="仿宋_GB2312" w:eastAsia="仿宋_GB2312"/>
          <w:sz w:val="32"/>
        </w:rPr>
        <w:t>⑤对教师及职工进行教育和管理，维护教师和职工的合法权益。</w:t>
      </w:r>
    </w:p>
    <w:p w14:paraId="226EDFB3">
      <w:pPr>
        <w:spacing w:line="580" w:lineRule="exact"/>
        <w:ind w:firstLine="640"/>
        <w:jc w:val="both"/>
      </w:pPr>
      <w:r>
        <w:rPr>
          <w:rFonts w:ascii="仿宋_GB2312" w:hAnsi="仿宋_GB2312" w:eastAsia="仿宋_GB2312"/>
          <w:sz w:val="32"/>
        </w:rPr>
        <w:t>⑥依法接受监督，拒绝任何组织和个人对学校正常教育教学活动的非法干涉。</w:t>
      </w:r>
    </w:p>
    <w:p w14:paraId="2FFE4E46">
      <w:pPr>
        <w:spacing w:line="580" w:lineRule="exact"/>
        <w:ind w:firstLine="640"/>
        <w:jc w:val="both"/>
      </w:pPr>
      <w:r>
        <w:rPr>
          <w:rFonts w:ascii="仿宋_GB2312" w:hAnsi="仿宋_GB2312" w:eastAsia="仿宋_GB2312"/>
          <w:sz w:val="32"/>
        </w:rPr>
        <w:t>⑦完成自治州</w:t>
      </w:r>
      <w:r>
        <w:rPr>
          <w:rFonts w:hint="eastAsia" w:ascii="仿宋_GB2312" w:hAnsi="仿宋_GB2312" w:eastAsia="仿宋_GB2312"/>
          <w:sz w:val="32"/>
          <w:lang w:eastAsia="zh-CN"/>
        </w:rPr>
        <w:t>人民政府</w:t>
      </w:r>
      <w:r>
        <w:rPr>
          <w:rFonts w:ascii="仿宋_GB2312" w:hAnsi="仿宋_GB2312" w:eastAsia="仿宋_GB2312"/>
          <w:sz w:val="32"/>
        </w:rPr>
        <w:t>交办的其他工作。</w:t>
      </w:r>
    </w:p>
    <w:p w14:paraId="574C0FB9">
      <w:pPr>
        <w:spacing w:line="640" w:lineRule="exact"/>
        <w:ind w:firstLine="640"/>
        <w:jc w:val="both"/>
        <w:outlineLvl w:val="2"/>
      </w:pPr>
      <w:r>
        <w:rPr>
          <w:rFonts w:ascii="黑体" w:hAnsi="黑体" w:eastAsia="黑体"/>
          <w:sz w:val="32"/>
        </w:rPr>
        <w:t>二、机构设置及人员情况</w:t>
      </w:r>
    </w:p>
    <w:p w14:paraId="0696BC7B">
      <w:pPr>
        <w:spacing w:line="580" w:lineRule="exact"/>
        <w:ind w:firstLine="640"/>
        <w:jc w:val="both"/>
      </w:pPr>
      <w:r>
        <w:rPr>
          <w:rFonts w:ascii="仿宋_GB2312" w:hAnsi="仿宋_GB2312" w:eastAsia="仿宋_GB2312"/>
          <w:sz w:val="32"/>
        </w:rPr>
        <w:t>阿克陶县小白杨小学2024年度，实有人数211人，其中：在职人员209人，减少1人；离休人员0人，增加0人；退休人员2人,增加2人。</w:t>
      </w:r>
    </w:p>
    <w:p w14:paraId="341E7DC0">
      <w:pPr>
        <w:spacing w:line="580" w:lineRule="exact"/>
        <w:ind w:firstLine="640"/>
        <w:jc w:val="both"/>
      </w:pPr>
      <w:r>
        <w:rPr>
          <w:rFonts w:ascii="仿宋_GB2312" w:hAnsi="仿宋_GB2312" w:eastAsia="仿宋_GB2312"/>
          <w:sz w:val="32"/>
        </w:rPr>
        <w:t>阿克陶县小白杨小学无下属预算单位，下设8个科室，分别是：党建办、校办、教研办、德育办、财务室、保健室、工会办、后勤部。</w:t>
      </w:r>
    </w:p>
    <w:p w14:paraId="6AFC2425">
      <w:r>
        <w:br w:type="page"/>
      </w:r>
    </w:p>
    <w:p w14:paraId="00166444">
      <w:pPr>
        <w:spacing w:line="240" w:lineRule="auto"/>
        <w:jc w:val="center"/>
        <w:outlineLvl w:val="1"/>
      </w:pPr>
      <w:r>
        <w:rPr>
          <w:rFonts w:ascii="黑体" w:hAnsi="黑体" w:eastAsia="黑体"/>
          <w:sz w:val="32"/>
        </w:rPr>
        <w:t>第二部分 部门决算情况说明</w:t>
      </w:r>
    </w:p>
    <w:p w14:paraId="04F1213F">
      <w:pPr>
        <w:spacing w:line="640" w:lineRule="exact"/>
        <w:ind w:firstLine="640"/>
        <w:jc w:val="both"/>
        <w:outlineLvl w:val="2"/>
      </w:pPr>
      <w:r>
        <w:rPr>
          <w:rFonts w:ascii="黑体" w:hAnsi="黑体" w:eastAsia="黑体"/>
          <w:sz w:val="32"/>
        </w:rPr>
        <w:t>一、收入支出决算总体情况说明</w:t>
      </w:r>
    </w:p>
    <w:p w14:paraId="6794CDD3">
      <w:pPr>
        <w:spacing w:line="580" w:lineRule="exact"/>
        <w:ind w:firstLine="640"/>
        <w:jc w:val="both"/>
      </w:pPr>
      <w:r>
        <w:rPr>
          <w:rFonts w:ascii="仿宋_GB2312" w:hAnsi="仿宋_GB2312" w:eastAsia="仿宋_GB2312"/>
          <w:b/>
          <w:sz w:val="32"/>
        </w:rPr>
        <w:t>2024年度收入总计4,639.53万元，</w:t>
      </w:r>
      <w:r>
        <w:rPr>
          <w:rFonts w:ascii="仿宋_GB2312" w:hAnsi="仿宋_GB2312" w:eastAsia="仿宋_GB2312"/>
          <w:b w:val="0"/>
          <w:sz w:val="32"/>
        </w:rPr>
        <w:t>其中：本年收入合计4,633.41万元，使用非财政拨款结余（含专用结余）0.00万元，年初结转和结余6.13万元。</w:t>
      </w:r>
    </w:p>
    <w:p w14:paraId="7CEA575B">
      <w:pPr>
        <w:spacing w:line="580" w:lineRule="exact"/>
        <w:ind w:firstLine="640"/>
        <w:jc w:val="both"/>
      </w:pPr>
      <w:r>
        <w:rPr>
          <w:rFonts w:ascii="仿宋_GB2312" w:hAnsi="仿宋_GB2312" w:eastAsia="仿宋_GB2312"/>
          <w:b/>
          <w:sz w:val="32"/>
        </w:rPr>
        <w:t>2024年度支出总计4,639.53万元，</w:t>
      </w:r>
      <w:r>
        <w:rPr>
          <w:rFonts w:ascii="仿宋_GB2312" w:hAnsi="仿宋_GB2312" w:eastAsia="仿宋_GB2312"/>
          <w:b w:val="0"/>
          <w:sz w:val="32"/>
        </w:rPr>
        <w:t>其中：本年支出合计4,638.85万元，结余分配0.00万元，年末结转和结余0.68万元。</w:t>
      </w:r>
    </w:p>
    <w:p w14:paraId="4BC0899B">
      <w:pPr>
        <w:spacing w:line="580" w:lineRule="exact"/>
        <w:ind w:firstLine="640"/>
        <w:jc w:val="both"/>
      </w:pPr>
      <w:r>
        <w:rPr>
          <w:rFonts w:ascii="仿宋_GB2312" w:hAnsi="仿宋_GB2312" w:eastAsia="仿宋_GB2312"/>
          <w:b w:val="0"/>
          <w:sz w:val="32"/>
        </w:rPr>
        <w:t>收入支出总体与上年相比，减少103.46万元，下降2.18%，主要原因是：本年度</w:t>
      </w:r>
      <w:r>
        <w:rPr>
          <w:rFonts w:hint="eastAsia" w:ascii="仿宋_GB2312" w:hAnsi="仿宋_GB2312" w:eastAsia="仿宋_GB2312"/>
          <w:b w:val="0"/>
          <w:sz w:val="32"/>
          <w:lang w:val="en-US" w:eastAsia="zh-CN"/>
        </w:rPr>
        <w:t>在职人员减少</w:t>
      </w:r>
      <w:r>
        <w:rPr>
          <w:rFonts w:ascii="仿宋_GB2312" w:hAnsi="仿宋_GB2312" w:eastAsia="仿宋_GB2312"/>
          <w:b w:val="0"/>
          <w:sz w:val="32"/>
        </w:rPr>
        <w:t>，工资、社保减少；2024年仅支付当年寄宿生伙食费，2023年支付当年及以前年度（2022年）寄宿生伙食费，导致经费较上年减少。</w:t>
      </w:r>
    </w:p>
    <w:p w14:paraId="3997A2DE">
      <w:pPr>
        <w:spacing w:line="640" w:lineRule="exact"/>
        <w:ind w:firstLine="640"/>
        <w:jc w:val="both"/>
        <w:outlineLvl w:val="2"/>
      </w:pPr>
      <w:r>
        <w:rPr>
          <w:rFonts w:ascii="黑体" w:hAnsi="黑体" w:eastAsia="黑体"/>
          <w:sz w:val="32"/>
        </w:rPr>
        <w:t>二、收入决算情况说明</w:t>
      </w:r>
    </w:p>
    <w:p w14:paraId="2FDC92CC">
      <w:pPr>
        <w:spacing w:line="580" w:lineRule="exact"/>
        <w:ind w:firstLine="640"/>
        <w:jc w:val="both"/>
      </w:pPr>
      <w:r>
        <w:rPr>
          <w:rFonts w:ascii="仿宋_GB2312" w:hAnsi="仿宋_GB2312" w:eastAsia="仿宋_GB2312"/>
          <w:b/>
          <w:sz w:val="32"/>
        </w:rPr>
        <w:t>本年收入4,633.41万元，</w:t>
      </w:r>
      <w:r>
        <w:rPr>
          <w:rFonts w:ascii="仿宋_GB2312" w:hAnsi="仿宋_GB2312" w:eastAsia="仿宋_GB2312"/>
          <w:b w:val="0"/>
          <w:sz w:val="32"/>
        </w:rPr>
        <w:t>其中：财政拨款收入4,633.11万元，占99.99%；上级补助收入0.00万元，占0.00%；事业收入0.00万元，占0.00%；经营收入0.00万元，占0.00%；附属单位上缴收入0.00万元，占0.00%；其他收入0.30万元，占0.006%。</w:t>
      </w:r>
    </w:p>
    <w:p w14:paraId="1D344CD8">
      <w:pPr>
        <w:spacing w:line="640" w:lineRule="exact"/>
        <w:ind w:firstLine="640"/>
        <w:jc w:val="both"/>
        <w:outlineLvl w:val="2"/>
      </w:pPr>
      <w:r>
        <w:rPr>
          <w:rFonts w:ascii="黑体" w:hAnsi="黑体" w:eastAsia="黑体"/>
          <w:sz w:val="32"/>
        </w:rPr>
        <w:t>三、支出决算情况说明</w:t>
      </w:r>
    </w:p>
    <w:p w14:paraId="74B7BE59">
      <w:pPr>
        <w:spacing w:line="580" w:lineRule="exact"/>
        <w:ind w:firstLine="640"/>
        <w:jc w:val="both"/>
      </w:pPr>
      <w:r>
        <w:rPr>
          <w:rFonts w:ascii="仿宋_GB2312" w:hAnsi="仿宋_GB2312" w:eastAsia="仿宋_GB2312"/>
          <w:b/>
          <w:sz w:val="32"/>
        </w:rPr>
        <w:t>本年支出4,638.85万元，</w:t>
      </w:r>
      <w:r>
        <w:rPr>
          <w:rFonts w:ascii="仿宋_GB2312" w:hAnsi="仿宋_GB2312" w:eastAsia="仿宋_GB2312"/>
          <w:b w:val="0"/>
          <w:sz w:val="32"/>
        </w:rPr>
        <w:t>其中：基本支出4,260.95万元，占91.85%；项目支出377.90万元，占8.15%；上缴上级支出0.00万元，占0.00%；经营支出0.00万元，占0.00%；对附属单位补助支出0.00万元，占0.00%。</w:t>
      </w:r>
    </w:p>
    <w:p w14:paraId="0C2717E4">
      <w:pPr>
        <w:spacing w:line="640" w:lineRule="exact"/>
        <w:ind w:firstLine="640"/>
        <w:jc w:val="both"/>
        <w:outlineLvl w:val="2"/>
      </w:pPr>
      <w:r>
        <w:rPr>
          <w:rFonts w:ascii="黑体" w:hAnsi="黑体" w:eastAsia="黑体"/>
          <w:sz w:val="32"/>
        </w:rPr>
        <w:t>四、财政拨款收入支出决算总体情况说明</w:t>
      </w:r>
    </w:p>
    <w:p w14:paraId="40645A6F">
      <w:pPr>
        <w:spacing w:line="580" w:lineRule="exact"/>
        <w:ind w:firstLine="640"/>
        <w:jc w:val="both"/>
      </w:pPr>
      <w:r>
        <w:rPr>
          <w:rFonts w:ascii="仿宋_GB2312" w:hAnsi="仿宋_GB2312" w:eastAsia="仿宋_GB2312"/>
          <w:b/>
          <w:sz w:val="32"/>
        </w:rPr>
        <w:t>2024年度财政拨款收入总计4,633.11万元，</w:t>
      </w:r>
      <w:r>
        <w:rPr>
          <w:rFonts w:ascii="仿宋_GB2312" w:hAnsi="仿宋_GB2312" w:eastAsia="仿宋_GB2312"/>
          <w:b w:val="0"/>
          <w:sz w:val="32"/>
        </w:rPr>
        <w:t>其中：年初财政拨款结转和结余0.00万元，本年财政拨款收入4,633.11万元。</w:t>
      </w:r>
      <w:r>
        <w:rPr>
          <w:rFonts w:ascii="仿宋_GB2312" w:hAnsi="仿宋_GB2312" w:eastAsia="仿宋_GB2312"/>
          <w:b/>
          <w:sz w:val="32"/>
        </w:rPr>
        <w:t>财政拨款支出总计4,633.11万元，</w:t>
      </w:r>
      <w:r>
        <w:rPr>
          <w:rFonts w:ascii="仿宋_GB2312" w:hAnsi="仿宋_GB2312" w:eastAsia="仿宋_GB2312"/>
          <w:b w:val="0"/>
          <w:sz w:val="32"/>
        </w:rPr>
        <w:t>其中：年末财政拨款结转和结余0.00万元，本年财政拨款支出4,633.11万元。</w:t>
      </w:r>
    </w:p>
    <w:p w14:paraId="603436C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减少19.11万元，下降0.41%，主要原因是：本年度</w:t>
      </w:r>
      <w:r>
        <w:rPr>
          <w:rFonts w:hint="eastAsia" w:ascii="仿宋_GB2312" w:hAnsi="仿宋_GB2312" w:eastAsia="仿宋_GB2312"/>
          <w:b w:val="0"/>
          <w:sz w:val="32"/>
          <w:lang w:val="en-US" w:eastAsia="zh-CN"/>
        </w:rPr>
        <w:t>在职人员减少</w:t>
      </w:r>
      <w:r>
        <w:rPr>
          <w:rFonts w:ascii="仿宋_GB2312" w:hAnsi="仿宋_GB2312" w:eastAsia="仿宋_GB2312"/>
          <w:b w:val="0"/>
          <w:sz w:val="32"/>
        </w:rPr>
        <w:t>，工资、社保减少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人员经费减少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年初预算数4,383.73万元，决算数4,633.11万元，预决算差异率5.69%，主要原因是：年</w:t>
      </w:r>
      <w:r>
        <w:rPr>
          <w:rFonts w:hint="eastAsia" w:ascii="仿宋_GB2312" w:hAnsi="仿宋_GB2312" w:eastAsia="仿宋_GB2312"/>
          <w:b w:val="0"/>
          <w:sz w:val="32"/>
          <w:lang w:val="en-US" w:eastAsia="zh-CN"/>
        </w:rPr>
        <w:t>中</w:t>
      </w:r>
      <w:r>
        <w:rPr>
          <w:rFonts w:ascii="仿宋_GB2312" w:hAnsi="仿宋_GB2312" w:eastAsia="仿宋_GB2312"/>
          <w:b w:val="0"/>
          <w:sz w:val="32"/>
        </w:rPr>
        <w:t>追加中央城乡义务教育资金公用经费、自治区城乡义务教育家庭经济困难生生活补助、中央城乡义务教育营养餐等项目经费，导致预决算存在差异。</w:t>
      </w:r>
    </w:p>
    <w:p w14:paraId="520DD535">
      <w:pPr>
        <w:spacing w:line="640" w:lineRule="exact"/>
        <w:ind w:firstLine="640"/>
        <w:jc w:val="both"/>
        <w:outlineLvl w:val="2"/>
      </w:pPr>
      <w:r>
        <w:rPr>
          <w:rFonts w:ascii="黑体" w:hAnsi="黑体" w:eastAsia="黑体"/>
          <w:sz w:val="32"/>
        </w:rPr>
        <w:t>五、一般公共预算财政拨款支出决算情况说明</w:t>
      </w:r>
    </w:p>
    <w:p w14:paraId="42C0D223">
      <w:pPr>
        <w:spacing w:line="640" w:lineRule="exact"/>
        <w:ind w:firstLine="640"/>
        <w:jc w:val="both"/>
        <w:outlineLvl w:val="3"/>
      </w:pPr>
      <w:r>
        <w:rPr>
          <w:rFonts w:ascii="楷体_GB2312" w:hAnsi="楷体_GB2312" w:eastAsia="楷体_GB2312"/>
          <w:b/>
          <w:sz w:val="32"/>
        </w:rPr>
        <w:t>（一）一般公共预算财政拨款支出决算总体情况</w:t>
      </w:r>
    </w:p>
    <w:p w14:paraId="1DBB15E9">
      <w:pPr>
        <w:spacing w:line="580" w:lineRule="exact"/>
        <w:ind w:firstLine="640"/>
        <w:jc w:val="both"/>
      </w:pPr>
      <w:r>
        <w:rPr>
          <w:rFonts w:ascii="仿宋_GB2312" w:hAnsi="仿宋_GB2312" w:eastAsia="仿宋_GB2312"/>
          <w:b/>
          <w:sz w:val="32"/>
        </w:rPr>
        <w:t>2024年度一般公共预算财政拨款支出4,631.61万元，</w:t>
      </w:r>
      <w:r>
        <w:rPr>
          <w:rFonts w:ascii="仿宋_GB2312" w:hAnsi="仿宋_GB2312" w:eastAsia="仿宋_GB2312"/>
          <w:b w:val="0"/>
          <w:sz w:val="32"/>
        </w:rPr>
        <w:t>占本年支出合计的99.84%。</w:t>
      </w:r>
      <w:r>
        <w:rPr>
          <w:rFonts w:ascii="仿宋_GB2312" w:hAnsi="仿宋_GB2312" w:eastAsia="仿宋_GB2312"/>
          <w:b/>
          <w:sz w:val="32"/>
        </w:rPr>
        <w:t>与上年相比，</w:t>
      </w:r>
      <w:r>
        <w:rPr>
          <w:rFonts w:ascii="仿宋_GB2312" w:hAnsi="仿宋_GB2312" w:eastAsia="仿宋_GB2312"/>
          <w:b w:val="0"/>
          <w:sz w:val="32"/>
        </w:rPr>
        <w:t>减少17.82万元，下降0.38%，主要原因是：本年度</w:t>
      </w:r>
      <w:r>
        <w:rPr>
          <w:rFonts w:hint="eastAsia" w:ascii="仿宋_GB2312" w:hAnsi="仿宋_GB2312" w:eastAsia="仿宋_GB2312"/>
          <w:b w:val="0"/>
          <w:sz w:val="32"/>
          <w:lang w:val="en-US" w:eastAsia="zh-CN"/>
        </w:rPr>
        <w:t>在职人员减少</w:t>
      </w:r>
      <w:r>
        <w:rPr>
          <w:rFonts w:ascii="仿宋_GB2312" w:hAnsi="仿宋_GB2312" w:eastAsia="仿宋_GB2312"/>
          <w:b w:val="0"/>
          <w:sz w:val="32"/>
        </w:rPr>
        <w:t>，工资、社保减少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人员经费减少</w:t>
      </w:r>
      <w:bookmarkStart w:id="0" w:name="_GoBack"/>
      <w:bookmarkEnd w:id="0"/>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年初预算数4,383.73万元，决算数4,631.61万元，预决算差异率5.65%，主要原因是：年</w:t>
      </w:r>
      <w:r>
        <w:rPr>
          <w:rFonts w:hint="eastAsia" w:ascii="仿宋_GB2312" w:hAnsi="仿宋_GB2312" w:eastAsia="仿宋_GB2312"/>
          <w:b w:val="0"/>
          <w:sz w:val="32"/>
          <w:lang w:val="en-US" w:eastAsia="zh-CN"/>
        </w:rPr>
        <w:t>中</w:t>
      </w:r>
      <w:r>
        <w:rPr>
          <w:rFonts w:ascii="仿宋_GB2312" w:hAnsi="仿宋_GB2312" w:eastAsia="仿宋_GB2312"/>
          <w:b w:val="0"/>
          <w:sz w:val="32"/>
        </w:rPr>
        <w:t>追加中央城乡义务教育资金公用经费、自治区城乡义务教育家庭经济困难生生活补助、中央城乡义务教育营养餐等项目经费，导致预决算存在差异。</w:t>
      </w:r>
    </w:p>
    <w:p w14:paraId="12F4DDF0">
      <w:pPr>
        <w:spacing w:line="640" w:lineRule="exact"/>
        <w:ind w:firstLine="640"/>
        <w:jc w:val="both"/>
        <w:outlineLvl w:val="3"/>
      </w:pPr>
      <w:r>
        <w:rPr>
          <w:rFonts w:ascii="楷体_GB2312" w:hAnsi="楷体_GB2312" w:eastAsia="楷体_GB2312"/>
          <w:b/>
          <w:sz w:val="32"/>
        </w:rPr>
        <w:t>（二）一般公共预算财政拨款支出决算结构情况</w:t>
      </w:r>
    </w:p>
    <w:p w14:paraId="4D080A7E">
      <w:pPr>
        <w:spacing w:line="580" w:lineRule="exact"/>
        <w:ind w:firstLine="640"/>
        <w:jc w:val="both"/>
      </w:pPr>
      <w:r>
        <w:rPr>
          <w:rFonts w:ascii="仿宋_GB2312" w:hAnsi="仿宋_GB2312" w:eastAsia="仿宋_GB2312"/>
          <w:b w:val="0"/>
          <w:sz w:val="32"/>
        </w:rPr>
        <w:t>1.教育支出(类)4,631.61万元,占100.00%。</w:t>
      </w:r>
    </w:p>
    <w:p w14:paraId="38A49CD8">
      <w:pPr>
        <w:spacing w:line="640" w:lineRule="exact"/>
        <w:ind w:firstLine="640"/>
        <w:jc w:val="both"/>
        <w:outlineLvl w:val="3"/>
      </w:pPr>
      <w:r>
        <w:rPr>
          <w:rFonts w:ascii="楷体_GB2312" w:hAnsi="楷体_GB2312" w:eastAsia="楷体_GB2312"/>
          <w:b/>
          <w:sz w:val="32"/>
        </w:rPr>
        <w:t>（三）一般公共预算财政拨款支出决算具体情况</w:t>
      </w:r>
    </w:p>
    <w:p w14:paraId="56BB4D0F">
      <w:pPr>
        <w:spacing w:line="580" w:lineRule="exact"/>
        <w:ind w:firstLine="640"/>
        <w:jc w:val="both"/>
      </w:pPr>
      <w:r>
        <w:rPr>
          <w:rFonts w:ascii="仿宋_GB2312" w:hAnsi="仿宋_GB2312" w:eastAsia="仿宋_GB2312"/>
          <w:b w:val="0"/>
          <w:sz w:val="32"/>
        </w:rPr>
        <w:t>1.教育支出(类)普通教育(款)小学教育(项):支出决算数为4,631.61万元，比上年决算增加377.73万元，增长8.88%,主要原因是：本年功能科目调整，养老保险缴费上年度单独列支，本年调整至主科目列支，导致经费较上年增加。</w:t>
      </w:r>
    </w:p>
    <w:p w14:paraId="03E4F38F">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395.55万元，下降100.00%,主要原因是：本年功能科目调整，养老保险缴费上年度单独列支，本年调整至主科目列支，导致经费较上年减少。</w:t>
      </w:r>
    </w:p>
    <w:p w14:paraId="452897E5">
      <w:pPr>
        <w:spacing w:line="640" w:lineRule="exact"/>
        <w:ind w:firstLine="640"/>
        <w:jc w:val="both"/>
        <w:outlineLvl w:val="2"/>
      </w:pPr>
      <w:r>
        <w:rPr>
          <w:rFonts w:ascii="黑体" w:hAnsi="黑体" w:eastAsia="黑体"/>
          <w:sz w:val="32"/>
        </w:rPr>
        <w:t>六、一般公共预算财政拨款基本支出决算情况说明</w:t>
      </w:r>
    </w:p>
    <w:p w14:paraId="0129A2C6">
      <w:pPr>
        <w:spacing w:line="580" w:lineRule="exact"/>
        <w:ind w:firstLine="640"/>
        <w:jc w:val="both"/>
      </w:pPr>
      <w:r>
        <w:rPr>
          <w:rFonts w:ascii="仿宋_GB2312" w:hAnsi="仿宋_GB2312" w:eastAsia="仿宋_GB2312"/>
          <w:b w:val="0"/>
          <w:sz w:val="32"/>
        </w:rPr>
        <w:t>2024年度一般公共预算财政拨款基本支出4,260.95万元，其中：</w:t>
      </w:r>
      <w:r>
        <w:rPr>
          <w:rFonts w:ascii="仿宋_GB2312" w:hAnsi="仿宋_GB2312" w:eastAsia="仿宋_GB2312"/>
          <w:b/>
          <w:sz w:val="32"/>
        </w:rPr>
        <w:t>人员经费4,260.95万元，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703A2C9E">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C8F2901">
      <w:pPr>
        <w:spacing w:line="640" w:lineRule="exact"/>
        <w:ind w:firstLine="640"/>
        <w:jc w:val="both"/>
        <w:outlineLvl w:val="2"/>
      </w:pPr>
      <w:r>
        <w:rPr>
          <w:rFonts w:ascii="黑体" w:hAnsi="黑体" w:eastAsia="黑体"/>
          <w:sz w:val="32"/>
        </w:rPr>
        <w:t>七、政府性基金预算财政拨款收入支出决算情况说明</w:t>
      </w:r>
    </w:p>
    <w:p w14:paraId="51E35695">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16542C7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减少1.30万元，下降46.43%，主要原因是：本年未安排体育事业彩票公益金支出项目。</w:t>
      </w:r>
      <w:r>
        <w:rPr>
          <w:rFonts w:ascii="仿宋_GB2312" w:hAnsi="仿宋_GB2312" w:eastAsia="仿宋_GB2312"/>
          <w:b/>
          <w:sz w:val="32"/>
        </w:rPr>
        <w:t>与年初预算相比，</w:t>
      </w:r>
      <w:r>
        <w:rPr>
          <w:rFonts w:ascii="仿宋_GB2312" w:hAnsi="仿宋_GB2312" w:eastAsia="仿宋_GB2312"/>
          <w:b w:val="0"/>
          <w:sz w:val="32"/>
        </w:rPr>
        <w:t>年初预算数0.00万元，决算数1.50万元，预决算差异率100.00%，主要原因是：年</w:t>
      </w:r>
      <w:r>
        <w:rPr>
          <w:rFonts w:hint="eastAsia" w:ascii="仿宋_GB2312" w:hAnsi="仿宋_GB2312" w:eastAsia="仿宋_GB2312"/>
          <w:b w:val="0"/>
          <w:sz w:val="32"/>
          <w:lang w:val="en-US" w:eastAsia="zh-CN"/>
        </w:rPr>
        <w:t>中</w:t>
      </w:r>
      <w:r>
        <w:rPr>
          <w:rFonts w:ascii="仿宋_GB2312" w:hAnsi="仿宋_GB2312" w:eastAsia="仿宋_GB2312"/>
          <w:b w:val="0"/>
          <w:sz w:val="32"/>
        </w:rPr>
        <w:t>追加中央彩票公益金少年宫资金。</w:t>
      </w:r>
    </w:p>
    <w:p w14:paraId="50E06611">
      <w:pPr>
        <w:spacing w:line="580" w:lineRule="exact"/>
        <w:ind w:firstLine="640"/>
        <w:jc w:val="both"/>
      </w:pPr>
      <w:r>
        <w:rPr>
          <w:rFonts w:ascii="仿宋_GB2312" w:hAnsi="仿宋_GB2312" w:eastAsia="仿宋_GB2312"/>
          <w:b w:val="0"/>
          <w:sz w:val="32"/>
        </w:rPr>
        <w:t>政府性基金预算财政拨款支出1.50万元。</w:t>
      </w:r>
    </w:p>
    <w:p w14:paraId="46638C02">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1.其他支出(类)彩票公益金安排的支出(款)用于体育事业的彩票公益金支出(项):支出决算数为0.00万元，比上年决算减少1.49万元，下降100.00%,主要原因是：本年未安排体育事业彩票公益金支出项目。</w:t>
      </w:r>
    </w:p>
    <w:p w14:paraId="716BE7FF">
      <w:pPr>
        <w:spacing w:line="580" w:lineRule="exact"/>
        <w:ind w:firstLine="640"/>
        <w:jc w:val="both"/>
      </w:pPr>
      <w:r>
        <w:rPr>
          <w:rFonts w:ascii="仿宋_GB2312" w:hAnsi="仿宋_GB2312" w:eastAsia="仿宋_GB2312"/>
          <w:b w:val="0"/>
          <w:sz w:val="32"/>
        </w:rPr>
        <w:t>2.其他支出(类)彩票公益金安排的支出(款)用于教育事业的彩票公益金支出(项):支出决算数为1.50万元，比上年决算增加0.20万元，增长15.38%,主要原因是：本年度中央彩票公益金少年宫资金增加。</w:t>
      </w:r>
    </w:p>
    <w:p w14:paraId="20BD483F">
      <w:pPr>
        <w:spacing w:line="640" w:lineRule="exact"/>
        <w:ind w:firstLine="640"/>
        <w:jc w:val="both"/>
        <w:outlineLvl w:val="2"/>
      </w:pPr>
      <w:r>
        <w:rPr>
          <w:rFonts w:ascii="黑体" w:hAnsi="黑体" w:eastAsia="黑体"/>
          <w:sz w:val="32"/>
        </w:rPr>
        <w:t>八、国有资本经营预算财政拨款收入支出决算情况说明</w:t>
      </w:r>
    </w:p>
    <w:p w14:paraId="0CBF766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F3D3EC2">
      <w:pPr>
        <w:spacing w:line="640" w:lineRule="exact"/>
        <w:ind w:firstLine="640"/>
        <w:jc w:val="both"/>
        <w:outlineLvl w:val="2"/>
      </w:pPr>
      <w:r>
        <w:rPr>
          <w:rFonts w:ascii="黑体" w:hAnsi="黑体" w:eastAsia="黑体"/>
          <w:sz w:val="32"/>
        </w:rPr>
        <w:t>九、财政拨款“三公”经费支出决算情况说明</w:t>
      </w:r>
    </w:p>
    <w:p w14:paraId="17E8863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C01702C">
      <w:pPr>
        <w:spacing w:line="580" w:lineRule="exact"/>
        <w:ind w:firstLine="640"/>
        <w:jc w:val="both"/>
      </w:pPr>
      <w:r>
        <w:rPr>
          <w:rFonts w:ascii="仿宋_GB2312" w:hAnsi="仿宋_GB2312" w:eastAsia="仿宋_GB2312"/>
          <w:b/>
          <w:sz w:val="32"/>
        </w:rPr>
        <w:t>具体情况如下：</w:t>
      </w:r>
    </w:p>
    <w:p w14:paraId="40EB294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B59A77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A76ED8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AD51AE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B5D033C">
      <w:pPr>
        <w:spacing w:line="640" w:lineRule="exact"/>
        <w:ind w:firstLine="640"/>
        <w:jc w:val="both"/>
        <w:outlineLvl w:val="2"/>
      </w:pPr>
      <w:r>
        <w:rPr>
          <w:rFonts w:ascii="黑体" w:hAnsi="黑体" w:eastAsia="黑体"/>
          <w:sz w:val="32"/>
        </w:rPr>
        <w:t>十、其他重要事项的情况说明</w:t>
      </w:r>
    </w:p>
    <w:p w14:paraId="5577FE28">
      <w:pPr>
        <w:spacing w:line="640" w:lineRule="exact"/>
        <w:ind w:firstLine="640"/>
        <w:jc w:val="both"/>
        <w:outlineLvl w:val="3"/>
      </w:pPr>
      <w:r>
        <w:rPr>
          <w:rFonts w:ascii="楷体_GB2312" w:hAnsi="楷体_GB2312" w:eastAsia="楷体_GB2312"/>
          <w:b/>
          <w:sz w:val="32"/>
        </w:rPr>
        <w:t>（一）机关运行经费及公用经费支出情况</w:t>
      </w:r>
    </w:p>
    <w:p w14:paraId="6905BA11">
      <w:pPr>
        <w:spacing w:line="580" w:lineRule="exact"/>
        <w:ind w:firstLine="640"/>
        <w:jc w:val="both"/>
      </w:pPr>
      <w:r>
        <w:rPr>
          <w:rFonts w:ascii="仿宋_GB2312" w:hAnsi="仿宋_GB2312" w:eastAsia="仿宋_GB2312"/>
          <w:b w:val="0"/>
          <w:sz w:val="32"/>
        </w:rPr>
        <w:t>2024年度阿克陶县小白杨小学（事业单位）公用经费支出0.00万元，比上年增加0.00万元，增长0.00%，主要原因是：2023年与2024年均未安排公用经费支出。</w:t>
      </w:r>
    </w:p>
    <w:p w14:paraId="0F469227">
      <w:pPr>
        <w:spacing w:line="640" w:lineRule="exact"/>
        <w:ind w:firstLine="640"/>
        <w:jc w:val="both"/>
        <w:outlineLvl w:val="3"/>
      </w:pPr>
      <w:r>
        <w:rPr>
          <w:rFonts w:ascii="楷体_GB2312" w:hAnsi="楷体_GB2312" w:eastAsia="楷体_GB2312"/>
          <w:b/>
          <w:sz w:val="32"/>
        </w:rPr>
        <w:t>（二）政府采购情况</w:t>
      </w:r>
    </w:p>
    <w:p w14:paraId="01FF791D">
      <w:pPr>
        <w:spacing w:line="580" w:lineRule="exact"/>
        <w:ind w:firstLine="640"/>
        <w:jc w:val="both"/>
      </w:pPr>
      <w:r>
        <w:rPr>
          <w:rFonts w:ascii="仿宋_GB2312" w:hAnsi="仿宋_GB2312" w:eastAsia="仿宋_GB2312"/>
          <w:b w:val="0"/>
          <w:sz w:val="32"/>
        </w:rPr>
        <w:t>2024年度政府采购支出总额14.94万元，其中：政府采购货物支出6.87万元、政府采购工程支出5.66万元、政府采购服务支出2.40万元。</w:t>
      </w:r>
    </w:p>
    <w:p w14:paraId="2ACF38AF">
      <w:pPr>
        <w:spacing w:line="580" w:lineRule="exact"/>
        <w:ind w:firstLine="640"/>
        <w:jc w:val="both"/>
      </w:pPr>
      <w:r>
        <w:rPr>
          <w:rFonts w:ascii="仿宋_GB2312" w:hAnsi="仿宋_GB2312" w:eastAsia="仿宋_GB2312"/>
          <w:b w:val="0"/>
          <w:sz w:val="32"/>
        </w:rPr>
        <w:t>授予中小企业合同金额12.51万元，占政府采购支出总额的83.73%，其中：授予小微企业合同金额12.49万元，占政府采购支出总额的83.60%。</w:t>
      </w:r>
    </w:p>
    <w:p w14:paraId="30091880">
      <w:pPr>
        <w:spacing w:line="640" w:lineRule="exact"/>
        <w:ind w:firstLine="640"/>
        <w:jc w:val="both"/>
        <w:outlineLvl w:val="3"/>
      </w:pPr>
      <w:r>
        <w:rPr>
          <w:rFonts w:ascii="楷体_GB2312" w:hAnsi="楷体_GB2312" w:eastAsia="楷体_GB2312"/>
          <w:b/>
          <w:sz w:val="32"/>
        </w:rPr>
        <w:t>（三）国有资产占用情况说明</w:t>
      </w:r>
    </w:p>
    <w:p w14:paraId="5005B12D">
      <w:pPr>
        <w:spacing w:line="580" w:lineRule="exact"/>
        <w:ind w:firstLine="640"/>
        <w:jc w:val="both"/>
      </w:pPr>
      <w:r>
        <w:rPr>
          <w:rFonts w:ascii="仿宋_GB2312" w:hAnsi="仿宋_GB2312" w:eastAsia="仿宋_GB2312"/>
          <w:b w:val="0"/>
          <w:sz w:val="32"/>
        </w:rPr>
        <w:t>截至2024年12月31日，房屋16,800.08平方米，价值2,808.06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14B197A">
      <w:pPr>
        <w:spacing w:line="640" w:lineRule="exact"/>
        <w:ind w:firstLine="640"/>
        <w:jc w:val="both"/>
        <w:outlineLvl w:val="2"/>
      </w:pPr>
      <w:r>
        <w:rPr>
          <w:rFonts w:ascii="黑体" w:hAnsi="黑体" w:eastAsia="黑体"/>
          <w:sz w:val="32"/>
        </w:rPr>
        <w:t>十一、预算绩效的情况说明</w:t>
      </w:r>
    </w:p>
    <w:p w14:paraId="13C6D2A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4,639.53万元，实际执行总额4,638.85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0843F4B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6244CA9">
        <w:tblPrEx>
          <w:tblCellMar>
            <w:top w:w="0" w:type="dxa"/>
            <w:left w:w="108" w:type="dxa"/>
            <w:bottom w:w="0" w:type="dxa"/>
            <w:right w:w="108" w:type="dxa"/>
          </w:tblCellMar>
        </w:tblPrEx>
        <w:tc>
          <w:tcPr>
            <w:tcW w:w="8840" w:type="dxa"/>
            <w:gridSpan w:val="8"/>
            <w:vAlign w:val="center"/>
          </w:tcPr>
          <w:p w14:paraId="57FB520D">
            <w:pPr>
              <w:jc w:val="center"/>
            </w:pPr>
            <w:r>
              <w:rPr>
                <w:rFonts w:ascii="宋体" w:hAnsi="宋体" w:eastAsia="宋体"/>
                <w:sz w:val="24"/>
              </w:rPr>
              <w:t>单位整体支出绩效自评表</w:t>
            </w:r>
          </w:p>
        </w:tc>
      </w:tr>
      <w:tr w14:paraId="6D5A8E2F">
        <w:tblPrEx>
          <w:tblCellMar>
            <w:top w:w="0" w:type="dxa"/>
            <w:left w:w="108" w:type="dxa"/>
            <w:bottom w:w="0" w:type="dxa"/>
            <w:right w:w="108" w:type="dxa"/>
          </w:tblCellMar>
        </w:tblPrEx>
        <w:tc>
          <w:tcPr>
            <w:tcW w:w="8840" w:type="dxa"/>
            <w:gridSpan w:val="8"/>
            <w:vAlign w:val="center"/>
          </w:tcPr>
          <w:p w14:paraId="3E62B1F7">
            <w:pPr>
              <w:jc w:val="center"/>
            </w:pPr>
            <w:r>
              <w:rPr>
                <w:rFonts w:ascii="宋体" w:hAnsi="宋体" w:eastAsia="宋体"/>
                <w:sz w:val="24"/>
              </w:rPr>
              <w:t>（2024年度）</w:t>
            </w:r>
          </w:p>
        </w:tc>
      </w:tr>
      <w:tr w14:paraId="1BDAB67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1A73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E404F4">
            <w:pPr>
              <w:jc w:val="center"/>
            </w:pPr>
            <w:r>
              <w:rPr>
                <w:rFonts w:ascii="宋体" w:hAnsi="宋体" w:eastAsia="宋体"/>
                <w:sz w:val="16"/>
              </w:rPr>
              <w:t>阿克陶县小白杨小学</w:t>
            </w:r>
          </w:p>
        </w:tc>
      </w:tr>
      <w:tr w14:paraId="1251B1C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F6EEB">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FC6B75">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2041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C3ADDD">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19943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3CD9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B624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F62B8">
            <w:pPr>
              <w:jc w:val="center"/>
            </w:pPr>
            <w:r>
              <w:rPr>
                <w:rFonts w:ascii="宋体" w:hAnsi="宋体" w:eastAsia="宋体"/>
                <w:sz w:val="16"/>
              </w:rPr>
              <w:t>得分</w:t>
            </w:r>
          </w:p>
        </w:tc>
      </w:tr>
      <w:tr w14:paraId="76706D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F9960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9712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C7B8DD">
            <w:pPr>
              <w:jc w:val="center"/>
            </w:pPr>
            <w:r>
              <w:rPr>
                <w:rFonts w:ascii="宋体" w:hAnsi="宋体" w:eastAsia="宋体"/>
                <w:sz w:val="16"/>
              </w:rPr>
              <w:t>4,332.47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930870">
            <w:pPr>
              <w:jc w:val="center"/>
            </w:pPr>
            <w:r>
              <w:rPr>
                <w:rFonts w:ascii="宋体" w:hAnsi="宋体" w:eastAsia="宋体"/>
                <w:sz w:val="16"/>
              </w:rPr>
              <w:t>4,639.53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881668">
            <w:pPr>
              <w:jc w:val="center"/>
            </w:pPr>
            <w:r>
              <w:rPr>
                <w:rFonts w:ascii="宋体" w:hAnsi="宋体" w:eastAsia="宋体"/>
                <w:sz w:val="16"/>
              </w:rPr>
              <w:t>4,638.85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C37FB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0CB83">
            <w:pPr>
              <w:jc w:val="center"/>
            </w:pPr>
            <w:r>
              <w:rPr>
                <w:rFonts w:ascii="宋体" w:hAnsi="宋体" w:eastAsia="宋体"/>
                <w:sz w:val="16"/>
              </w:rPr>
              <w:t>99.99%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3A8FA">
            <w:pPr>
              <w:jc w:val="center"/>
            </w:pPr>
            <w:r>
              <w:rPr>
                <w:rFonts w:ascii="宋体" w:hAnsi="宋体" w:eastAsia="宋体"/>
                <w:sz w:val="16"/>
              </w:rPr>
              <w:t>9.99</w:t>
            </w:r>
          </w:p>
        </w:tc>
      </w:tr>
      <w:tr w14:paraId="6B195E2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E7004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EEE89">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98F2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22126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2A822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4FB9F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F9308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AC5DB5">
            <w:pPr>
              <w:jc w:val="center"/>
            </w:pPr>
            <w:r>
              <w:rPr>
                <w:rFonts w:ascii="宋体" w:hAnsi="宋体" w:eastAsia="宋体"/>
                <w:sz w:val="16"/>
              </w:rPr>
              <w:t>—</w:t>
            </w:r>
          </w:p>
        </w:tc>
      </w:tr>
      <w:tr w14:paraId="2641AF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C2AA4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A70845">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7832AD">
            <w:pPr>
              <w:jc w:val="center"/>
            </w:pPr>
            <w:r>
              <w:rPr>
                <w:rFonts w:ascii="宋体" w:hAnsi="宋体" w:eastAsia="宋体"/>
                <w:sz w:val="16"/>
              </w:rPr>
              <w:t>4,332.47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B2946C">
            <w:pPr>
              <w:jc w:val="center"/>
            </w:pPr>
            <w:r>
              <w:rPr>
                <w:rFonts w:ascii="宋体" w:hAnsi="宋体" w:eastAsia="宋体"/>
                <w:sz w:val="16"/>
              </w:rPr>
              <w:t>4,639.53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1126A0">
            <w:pPr>
              <w:jc w:val="center"/>
            </w:pPr>
            <w:r>
              <w:rPr>
                <w:rFonts w:ascii="宋体" w:hAnsi="宋体" w:eastAsia="宋体"/>
                <w:sz w:val="16"/>
              </w:rPr>
              <w:t>4,638.85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9959B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8EF6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8F2AF4">
            <w:pPr>
              <w:jc w:val="center"/>
            </w:pPr>
            <w:r>
              <w:rPr>
                <w:rFonts w:ascii="宋体" w:hAnsi="宋体" w:eastAsia="宋体"/>
                <w:sz w:val="16"/>
              </w:rPr>
              <w:t>—</w:t>
            </w:r>
          </w:p>
        </w:tc>
      </w:tr>
      <w:tr w14:paraId="61A573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8C0CA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2A943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05978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08DC2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5ABAC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AB6C1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C9E5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28E99">
            <w:pPr>
              <w:jc w:val="center"/>
            </w:pPr>
            <w:r>
              <w:rPr>
                <w:rFonts w:ascii="宋体" w:hAnsi="宋体" w:eastAsia="宋体"/>
                <w:sz w:val="16"/>
              </w:rPr>
              <w:t>—</w:t>
            </w:r>
          </w:p>
        </w:tc>
      </w:tr>
      <w:tr w14:paraId="6C0D9C1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8DEE5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D0C4E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2B33F63">
            <w:pPr>
              <w:jc w:val="center"/>
            </w:pPr>
            <w:r>
              <w:rPr>
                <w:rFonts w:ascii="宋体" w:hAnsi="宋体" w:eastAsia="宋体"/>
                <w:sz w:val="16"/>
              </w:rPr>
              <w:t>实际完成情况</w:t>
            </w:r>
          </w:p>
        </w:tc>
      </w:tr>
      <w:tr w14:paraId="4C35BA8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D99E0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DB530C">
            <w:pPr>
              <w:jc w:val="both"/>
            </w:pPr>
            <w:r>
              <w:rPr>
                <w:rFonts w:ascii="宋体" w:hAnsi="宋体" w:eastAsia="宋体"/>
                <w:sz w:val="16"/>
              </w:rPr>
              <w:t>确保在职人员的工资、津贴、补贴、社保、医保、公积金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2C2BC3">
            <w:pPr>
              <w:jc w:val="both"/>
            </w:pPr>
            <w:r>
              <w:rPr>
                <w:rFonts w:ascii="宋体" w:hAnsi="宋体" w:eastAsia="宋体"/>
                <w:sz w:val="16"/>
              </w:rPr>
              <w:t>人员工资福利支出预算保障人数211人，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45D3D97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FC7E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485C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3688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3CC12">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813B91">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EB51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5F59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47665">
            <w:pPr>
              <w:jc w:val="center"/>
            </w:pPr>
            <w:r>
              <w:rPr>
                <w:rFonts w:ascii="宋体" w:hAnsi="宋体" w:eastAsia="宋体"/>
                <w:sz w:val="16"/>
              </w:rPr>
              <w:t>得分</w:t>
            </w:r>
          </w:p>
        </w:tc>
      </w:tr>
      <w:tr w14:paraId="550B7BD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196F56">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8766D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1DE35">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1ECCA6">
            <w:pPr>
              <w:jc w:val="center"/>
            </w:pPr>
            <w:r>
              <w:rPr>
                <w:rFonts w:ascii="宋体" w:hAnsi="宋体" w:eastAsia="宋体"/>
                <w:sz w:val="16"/>
              </w:rPr>
              <w:t>&gt;=210人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771441">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ADC16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A37906">
            <w:pPr>
              <w:jc w:val="center"/>
            </w:pPr>
            <w:r>
              <w:rPr>
                <w:rFonts w:ascii="宋体" w:hAnsi="宋体" w:eastAsia="宋体"/>
                <w:sz w:val="16"/>
              </w:rPr>
              <w:t>=211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AFC95">
            <w:pPr>
              <w:jc w:val="center"/>
            </w:pPr>
            <w:r>
              <w:rPr>
                <w:rFonts w:ascii="宋体" w:hAnsi="宋体" w:eastAsia="宋体"/>
                <w:sz w:val="16"/>
              </w:rPr>
              <w:t>10</w:t>
            </w:r>
          </w:p>
        </w:tc>
      </w:tr>
      <w:tr w14:paraId="0A3027A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8DB951"/>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F9480">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8A788">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27084">
            <w:pPr>
              <w:jc w:val="center"/>
            </w:pPr>
            <w:r>
              <w:rPr>
                <w:rFonts w:ascii="宋体" w:hAnsi="宋体" w:eastAsia="宋体"/>
                <w:sz w:val="16"/>
              </w:rPr>
              <w:t>&lt;=4249.25万元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610C52">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DB54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50BB75">
            <w:pPr>
              <w:jc w:val="center"/>
            </w:pPr>
            <w:r>
              <w:rPr>
                <w:rFonts w:ascii="宋体" w:hAnsi="宋体" w:eastAsia="宋体"/>
                <w:sz w:val="16"/>
              </w:rPr>
              <w:t>=4260.95万元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7C91A">
            <w:pPr>
              <w:jc w:val="center"/>
            </w:pPr>
            <w:r>
              <w:rPr>
                <w:rFonts w:ascii="宋体" w:hAnsi="宋体" w:eastAsia="宋体"/>
                <w:sz w:val="16"/>
              </w:rPr>
              <w:t>9.97</w:t>
            </w:r>
          </w:p>
        </w:tc>
      </w:tr>
      <w:tr w14:paraId="00F104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07355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4A57E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378B38">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F296B">
            <w:pPr>
              <w:jc w:val="center"/>
            </w:pPr>
            <w:r>
              <w:rPr>
                <w:rFonts w:ascii="宋体" w:hAnsi="宋体" w:eastAsia="宋体"/>
                <w:sz w:val="16"/>
              </w:rPr>
              <w:t>&lt;=83.22万元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0B07E1">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744D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125C6">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44F5B3">
            <w:pPr>
              <w:jc w:val="center"/>
            </w:pPr>
            <w:r>
              <w:rPr>
                <w:rFonts w:ascii="宋体" w:hAnsi="宋体" w:eastAsia="宋体"/>
                <w:sz w:val="16"/>
              </w:rPr>
              <w:t>0</w:t>
            </w:r>
          </w:p>
        </w:tc>
      </w:tr>
      <w:tr w14:paraId="42D2C72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83E8A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B3E3B">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20E92">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E6211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D39EA">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D8472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456B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4A37F">
            <w:pPr>
              <w:jc w:val="center"/>
            </w:pPr>
            <w:r>
              <w:rPr>
                <w:rFonts w:ascii="宋体" w:hAnsi="宋体" w:eastAsia="宋体"/>
                <w:sz w:val="16"/>
              </w:rPr>
              <w:t>10</w:t>
            </w:r>
          </w:p>
        </w:tc>
      </w:tr>
      <w:tr w14:paraId="3402782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35700">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7EC35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E3A820">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E9C9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6D179">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4CE9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71CA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70039">
            <w:pPr>
              <w:jc w:val="center"/>
            </w:pPr>
            <w:r>
              <w:rPr>
                <w:rFonts w:ascii="宋体" w:hAnsi="宋体" w:eastAsia="宋体"/>
                <w:sz w:val="16"/>
              </w:rPr>
              <w:t>10</w:t>
            </w:r>
          </w:p>
        </w:tc>
      </w:tr>
      <w:tr w14:paraId="0CCD335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E05451">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AA6CB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36275">
            <w:pPr>
              <w:jc w:val="center"/>
            </w:pPr>
            <w:r>
              <w:rPr>
                <w:rFonts w:ascii="宋体" w:hAnsi="宋体" w:eastAsia="宋体"/>
                <w:sz w:val="16"/>
              </w:rPr>
              <w:t>保障幼儿园升学率（%）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347EC9">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0399A">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12C45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408C3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B8C69">
            <w:pPr>
              <w:jc w:val="center"/>
            </w:pPr>
            <w:r>
              <w:rPr>
                <w:rFonts w:ascii="宋体" w:hAnsi="宋体" w:eastAsia="宋体"/>
                <w:sz w:val="16"/>
              </w:rPr>
              <w:t>10</w:t>
            </w:r>
          </w:p>
        </w:tc>
      </w:tr>
      <w:tr w14:paraId="78304BB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024FD2">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0889F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454AE">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E21AE3">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A1087">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AD8B3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D4D32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5FBBA">
            <w:pPr>
              <w:jc w:val="center"/>
            </w:pPr>
            <w:r>
              <w:rPr>
                <w:rFonts w:ascii="宋体" w:hAnsi="宋体" w:eastAsia="宋体"/>
                <w:sz w:val="16"/>
              </w:rPr>
              <w:t>10</w:t>
            </w:r>
          </w:p>
        </w:tc>
      </w:tr>
      <w:tr w14:paraId="0F4CEB6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80449">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08B0F">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615A6">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BA9B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DFC44">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3C3C1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0181D">
            <w:pPr>
              <w:jc w:val="center"/>
            </w:pPr>
            <w:r>
              <w:rPr>
                <w:rFonts w:ascii="宋体" w:hAnsi="宋体" w:eastAsia="宋体"/>
                <w:sz w:val="16"/>
              </w:rPr>
              <w: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030EDC">
            <w:pPr>
              <w:jc w:val="center"/>
            </w:pPr>
            <w:r>
              <w:rPr>
                <w:rFonts w:ascii="宋体" w:hAnsi="宋体" w:eastAsia="宋体"/>
                <w:sz w:val="16"/>
              </w:rPr>
              <w:t>10</w:t>
            </w:r>
          </w:p>
        </w:tc>
      </w:tr>
      <w:tr w14:paraId="6E5CB1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7ACBD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08313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DE73F">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7688E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DD6B52">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DF1CA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E8045D">
            <w:pPr>
              <w:jc w:val="center"/>
            </w:pPr>
            <w:r>
              <w:rPr>
                <w:rFonts w:ascii="宋体" w:hAnsi="宋体" w:eastAsia="宋体"/>
                <w:sz w:val="16"/>
              </w:rPr>
              <w: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A4F35D">
            <w:pPr>
              <w:jc w:val="center"/>
            </w:pPr>
            <w:r>
              <w:rPr>
                <w:rFonts w:ascii="宋体" w:hAnsi="宋体" w:eastAsia="宋体"/>
                <w:sz w:val="16"/>
              </w:rPr>
              <w:t>10</w:t>
            </w:r>
          </w:p>
        </w:tc>
      </w:tr>
    </w:tbl>
    <w:p w14:paraId="3E1E1D53">
      <w:r>
        <w:br w:type="page"/>
      </w:r>
    </w:p>
    <w:p w14:paraId="09B0C9A1">
      <w:pPr>
        <w:spacing w:line="640" w:lineRule="exact"/>
        <w:ind w:firstLine="640"/>
        <w:jc w:val="both"/>
        <w:outlineLvl w:val="2"/>
      </w:pPr>
      <w:r>
        <w:rPr>
          <w:rFonts w:ascii="黑体" w:hAnsi="黑体" w:eastAsia="黑体"/>
          <w:sz w:val="32"/>
        </w:rPr>
        <w:t>十二、其他需说明的事项</w:t>
      </w:r>
    </w:p>
    <w:p w14:paraId="68421A82">
      <w:pPr>
        <w:spacing w:line="580" w:lineRule="exact"/>
        <w:ind w:firstLine="640"/>
        <w:jc w:val="both"/>
      </w:pPr>
      <w:r>
        <w:rPr>
          <w:rFonts w:ascii="仿宋_GB2312" w:hAnsi="仿宋_GB2312" w:eastAsia="仿宋_GB2312"/>
          <w:b w:val="0"/>
          <w:sz w:val="32"/>
        </w:rPr>
        <w:t>本单位无其他需说明的事项。</w:t>
      </w:r>
    </w:p>
    <w:p w14:paraId="2913501D">
      <w:r>
        <w:br w:type="page"/>
      </w:r>
    </w:p>
    <w:p w14:paraId="7D06DD7D">
      <w:pPr>
        <w:spacing w:line="240" w:lineRule="auto"/>
        <w:jc w:val="center"/>
        <w:outlineLvl w:val="1"/>
      </w:pPr>
      <w:r>
        <w:rPr>
          <w:rFonts w:ascii="黑体" w:hAnsi="黑体" w:eastAsia="黑体"/>
          <w:sz w:val="32"/>
        </w:rPr>
        <w:t>第三部分 专业名词解释</w:t>
      </w:r>
    </w:p>
    <w:p w14:paraId="487838D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BFF387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9DF638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8FBB0C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98BBE7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25367A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930FA4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EFD530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491711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4EAC90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881901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04B777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708F49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5C0D1A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56A5801">
      <w:r>
        <w:br w:type="page"/>
      </w:r>
    </w:p>
    <w:p w14:paraId="04386B8C">
      <w:pPr>
        <w:spacing w:line="240" w:lineRule="auto"/>
        <w:jc w:val="center"/>
        <w:outlineLvl w:val="1"/>
      </w:pPr>
      <w:r>
        <w:rPr>
          <w:rFonts w:ascii="黑体" w:hAnsi="黑体" w:eastAsia="黑体"/>
          <w:sz w:val="32"/>
        </w:rPr>
        <w:t>第四部分 部门决算报表（见附表）</w:t>
      </w:r>
    </w:p>
    <w:p w14:paraId="178242CD">
      <w:pPr>
        <w:spacing w:line="240" w:lineRule="auto"/>
        <w:ind w:firstLine="640"/>
        <w:jc w:val="both"/>
      </w:pPr>
      <w:r>
        <w:rPr>
          <w:rFonts w:ascii="仿宋_GB2312" w:hAnsi="仿宋_GB2312" w:eastAsia="仿宋_GB2312"/>
          <w:b w:val="0"/>
          <w:sz w:val="32"/>
        </w:rPr>
        <w:t>一、《收入支出决算总表》</w:t>
      </w:r>
    </w:p>
    <w:p w14:paraId="6E7C4947">
      <w:pPr>
        <w:spacing w:line="240" w:lineRule="auto"/>
        <w:ind w:firstLine="640"/>
        <w:jc w:val="both"/>
      </w:pPr>
      <w:r>
        <w:rPr>
          <w:rFonts w:ascii="仿宋_GB2312" w:hAnsi="仿宋_GB2312" w:eastAsia="仿宋_GB2312"/>
          <w:b w:val="0"/>
          <w:sz w:val="32"/>
        </w:rPr>
        <w:t>二、《收入决算表》</w:t>
      </w:r>
    </w:p>
    <w:p w14:paraId="11BEE887">
      <w:pPr>
        <w:spacing w:line="240" w:lineRule="auto"/>
        <w:ind w:firstLine="640"/>
        <w:jc w:val="both"/>
      </w:pPr>
      <w:r>
        <w:rPr>
          <w:rFonts w:ascii="仿宋_GB2312" w:hAnsi="仿宋_GB2312" w:eastAsia="仿宋_GB2312"/>
          <w:b w:val="0"/>
          <w:sz w:val="32"/>
        </w:rPr>
        <w:t>三、《支出决算表》</w:t>
      </w:r>
    </w:p>
    <w:p w14:paraId="43364FBB">
      <w:pPr>
        <w:spacing w:line="240" w:lineRule="auto"/>
        <w:ind w:firstLine="640"/>
        <w:jc w:val="both"/>
      </w:pPr>
      <w:r>
        <w:rPr>
          <w:rFonts w:ascii="仿宋_GB2312" w:hAnsi="仿宋_GB2312" w:eastAsia="仿宋_GB2312"/>
          <w:b w:val="0"/>
          <w:sz w:val="32"/>
        </w:rPr>
        <w:t>四、《财政拨款收入支出决算总表》</w:t>
      </w:r>
    </w:p>
    <w:p w14:paraId="15C7D64E">
      <w:pPr>
        <w:spacing w:line="240" w:lineRule="auto"/>
        <w:ind w:firstLine="640"/>
        <w:jc w:val="both"/>
      </w:pPr>
      <w:r>
        <w:rPr>
          <w:rFonts w:ascii="仿宋_GB2312" w:hAnsi="仿宋_GB2312" w:eastAsia="仿宋_GB2312"/>
          <w:b w:val="0"/>
          <w:sz w:val="32"/>
        </w:rPr>
        <w:t>五、《一般公共预算财政拨款支出决算表》</w:t>
      </w:r>
    </w:p>
    <w:p w14:paraId="7C89EBA3">
      <w:pPr>
        <w:spacing w:line="240" w:lineRule="auto"/>
        <w:ind w:firstLine="640"/>
        <w:jc w:val="both"/>
      </w:pPr>
      <w:r>
        <w:rPr>
          <w:rFonts w:ascii="仿宋_GB2312" w:hAnsi="仿宋_GB2312" w:eastAsia="仿宋_GB2312"/>
          <w:b w:val="0"/>
          <w:sz w:val="32"/>
        </w:rPr>
        <w:t>六、《一般公共预算财政拨款基本支出决算表》</w:t>
      </w:r>
    </w:p>
    <w:p w14:paraId="01206EFD">
      <w:pPr>
        <w:spacing w:line="240" w:lineRule="auto"/>
        <w:ind w:firstLine="640"/>
        <w:jc w:val="both"/>
      </w:pPr>
      <w:r>
        <w:rPr>
          <w:rFonts w:ascii="仿宋_GB2312" w:hAnsi="仿宋_GB2312" w:eastAsia="仿宋_GB2312"/>
          <w:b w:val="0"/>
          <w:sz w:val="32"/>
        </w:rPr>
        <w:t>七、《政府性基金预算财政拨款收入支出决算表》</w:t>
      </w:r>
    </w:p>
    <w:p w14:paraId="33FCBEAD">
      <w:pPr>
        <w:spacing w:line="240" w:lineRule="auto"/>
        <w:ind w:firstLine="640"/>
        <w:jc w:val="both"/>
      </w:pPr>
      <w:r>
        <w:rPr>
          <w:rFonts w:ascii="仿宋_GB2312" w:hAnsi="仿宋_GB2312" w:eastAsia="仿宋_GB2312"/>
          <w:b w:val="0"/>
          <w:sz w:val="32"/>
        </w:rPr>
        <w:t>八、《国有资本经营预算财政拨款收入支出决算表》</w:t>
      </w:r>
    </w:p>
    <w:p w14:paraId="47FC9CA6">
      <w:pPr>
        <w:spacing w:line="240" w:lineRule="auto"/>
        <w:ind w:firstLine="640"/>
        <w:jc w:val="both"/>
      </w:pPr>
      <w:r>
        <w:rPr>
          <w:rFonts w:ascii="仿宋_GB2312" w:hAnsi="仿宋_GB2312" w:eastAsia="仿宋_GB2312"/>
          <w:b w:val="0"/>
          <w:sz w:val="32"/>
        </w:rPr>
        <w:t>九、《财政拨款“三公”经费支出决算表》</w:t>
      </w:r>
    </w:p>
    <w:p w14:paraId="68AC5F30">
      <w:pPr>
        <w:spacing w:line="240" w:lineRule="auto"/>
        <w:ind w:firstLine="640"/>
        <w:jc w:val="both"/>
      </w:pPr>
    </w:p>
    <w:p w14:paraId="16985D71">
      <w:pPr>
        <w:spacing w:line="240" w:lineRule="auto"/>
        <w:ind w:firstLine="640"/>
        <w:jc w:val="both"/>
      </w:pPr>
    </w:p>
    <w:p w14:paraId="11FFB5BD">
      <w:pPr>
        <w:spacing w:line="240" w:lineRule="auto"/>
        <w:ind w:firstLine="640"/>
        <w:jc w:val="both"/>
      </w:pPr>
    </w:p>
    <w:p w14:paraId="20FAAEC2">
      <w:pPr>
        <w:spacing w:line="240" w:lineRule="auto"/>
        <w:ind w:firstLine="640"/>
        <w:jc w:val="both"/>
      </w:pPr>
    </w:p>
    <w:p w14:paraId="4EC0993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2515E86-F1DF-4BFD-AB1A-F866B40ED32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87202B8-00B9-43F6-94B4-C154ABAB0D55}"/>
  </w:font>
  <w:font w:name="仿宋_GB2312">
    <w:panose1 w:val="02010609030101010101"/>
    <w:charset w:val="86"/>
    <w:family w:val="modern"/>
    <w:pitch w:val="default"/>
    <w:sig w:usb0="00000001" w:usb1="080E0000" w:usb2="00000000" w:usb3="00000000" w:csb0="00040000" w:csb1="00000000"/>
    <w:embedRegular r:id="rId3" w:fontKey="{6452CADD-1911-4D78-8AC4-680392D34C1E}"/>
  </w:font>
  <w:font w:name="楷体_GB2312">
    <w:panose1 w:val="02010609030101010101"/>
    <w:charset w:val="86"/>
    <w:family w:val="auto"/>
    <w:pitch w:val="default"/>
    <w:sig w:usb0="00000001" w:usb1="080E0000" w:usb2="00000000" w:usb3="00000000" w:csb0="00040000" w:csb1="00000000"/>
    <w:embedRegular r:id="rId4" w:fontKey="{E67610FF-81C5-4B7F-BA3A-821EDECD157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910A10"/>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3A8741E"/>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5691</Words>
  <Characters>6532</Characters>
  <Lines>0</Lines>
  <Paragraphs>0</Paragraphs>
  <TotalTime>5</TotalTime>
  <ScaleCrop>false</ScaleCrop>
  <LinksUpToDate>false</LinksUpToDate>
  <CharactersWithSpaces>6542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2025-09-15T08:40:17Z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