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阿克陶县皮拉勒乡中心小学2024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A79DDD">
      <w:r>
        <w:br w:type="page"/>
      </w:r>
    </w:p>
    <w:p w14:paraId="69A152CD">
      <w:pPr>
        <w:spacing w:line="640" w:lineRule="exact"/>
        <w:jc w:val="center"/>
        <w:outlineLvl w:val="1"/>
      </w:pPr>
      <w:r>
        <w:rPr>
          <w:rFonts w:ascii="黑体" w:hAnsi="黑体" w:eastAsia="黑体"/>
          <w:sz w:val="32"/>
        </w:rPr>
        <w:t>第一部分 单位概况</w:t>
      </w:r>
    </w:p>
    <w:p w14:paraId="75962A30">
      <w:pPr>
        <w:spacing w:line="640" w:lineRule="exact"/>
        <w:ind w:firstLine="640"/>
        <w:jc w:val="both"/>
        <w:outlineLvl w:val="2"/>
      </w:pPr>
      <w:r>
        <w:rPr>
          <w:rFonts w:ascii="黑体" w:hAnsi="黑体" w:eastAsia="黑体"/>
          <w:sz w:val="32"/>
        </w:rPr>
        <w:t>一、主要职能</w:t>
      </w:r>
    </w:p>
    <w:p w14:paraId="68B804D1">
      <w:pPr>
        <w:spacing w:line="580" w:lineRule="exact"/>
        <w:ind w:firstLine="640"/>
        <w:jc w:val="both"/>
      </w:pPr>
      <w:r>
        <w:rPr>
          <w:rFonts w:ascii="仿宋_GB2312" w:hAnsi="仿宋_GB2312" w:eastAsia="仿宋_GB2312"/>
          <w:sz w:val="32"/>
        </w:rPr>
        <w:t>宣传贯彻执行党和国家的教育方针、教育政策、教育法律和法规</w:t>
      </w:r>
      <w:bookmarkStart w:id="0" w:name="_GoBack"/>
      <w:r>
        <w:rPr>
          <w:rFonts w:ascii="仿宋_GB2312" w:hAnsi="仿宋_GB2312" w:eastAsia="仿宋_GB2312"/>
          <w:sz w:val="32"/>
        </w:rPr>
        <w:t>,</w:t>
      </w:r>
      <w:bookmarkEnd w:id="0"/>
      <w:r>
        <w:rPr>
          <w:rFonts w:ascii="仿宋_GB2312" w:hAnsi="仿宋_GB2312" w:eastAsia="仿宋_GB2312"/>
          <w:sz w:val="32"/>
        </w:rPr>
        <w:t>贯彻执行上级教育行政部门的各项规章制度，教育目标和计划能够体现全面发展的培养目标，并做到层层分解，落实于各项活动之中。认真贯彻</w:t>
      </w:r>
      <w:r>
        <w:rPr>
          <w:rFonts w:hint="eastAsia" w:ascii="仿宋_GB2312" w:hAnsi="仿宋_GB2312" w:eastAsia="仿宋_GB2312"/>
          <w:sz w:val="32"/>
          <w:lang w:eastAsia="zh-CN"/>
        </w:rPr>
        <w:t>德智体美劳全面发展</w:t>
      </w:r>
      <w:r>
        <w:rPr>
          <w:rFonts w:ascii="仿宋_GB2312" w:hAnsi="仿宋_GB2312" w:eastAsia="仿宋_GB2312"/>
          <w:sz w:val="32"/>
        </w:rPr>
        <w:t>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地开展教学，全面实施小学学生教育，在注重教学的同时紧抓德育教育。</w:t>
      </w:r>
    </w:p>
    <w:p w14:paraId="68CBB97D">
      <w:pPr>
        <w:spacing w:line="640" w:lineRule="exact"/>
        <w:ind w:firstLine="640"/>
        <w:jc w:val="both"/>
        <w:outlineLvl w:val="2"/>
      </w:pPr>
      <w:r>
        <w:rPr>
          <w:rFonts w:ascii="黑体" w:hAnsi="黑体" w:eastAsia="黑体"/>
          <w:sz w:val="32"/>
        </w:rPr>
        <w:t>二、机构设置及人员情况</w:t>
      </w:r>
    </w:p>
    <w:p w14:paraId="406861AA">
      <w:pPr>
        <w:spacing w:line="580" w:lineRule="exact"/>
        <w:ind w:firstLine="640"/>
        <w:jc w:val="both"/>
      </w:pPr>
      <w:r>
        <w:rPr>
          <w:rFonts w:ascii="仿宋_GB2312" w:hAnsi="仿宋_GB2312" w:eastAsia="仿宋_GB2312"/>
          <w:sz w:val="32"/>
        </w:rPr>
        <w:t>阿克陶县皮拉勒乡中心小学2024年度，实有人数819人，其中：在职人员618人，减少7人；离休人员0人，增加0人；退休人员201人,增加1人。</w:t>
      </w:r>
    </w:p>
    <w:p w14:paraId="4C57AA6E">
      <w:pPr>
        <w:spacing w:line="580" w:lineRule="exact"/>
        <w:ind w:firstLine="640"/>
        <w:jc w:val="both"/>
      </w:pPr>
      <w:r>
        <w:rPr>
          <w:rFonts w:ascii="仿宋_GB2312" w:hAnsi="仿宋_GB2312" w:eastAsia="仿宋_GB2312"/>
          <w:sz w:val="32"/>
        </w:rPr>
        <w:t>阿克陶县皮拉勒乡中心小学无下属预算单位，下设7个科室，分别是：党建办、教务处、德育办、教研室、工会办公室、财务室、安全办。</w:t>
      </w:r>
    </w:p>
    <w:p w14:paraId="39C702B4">
      <w:r>
        <w:br w:type="page"/>
      </w:r>
    </w:p>
    <w:p w14:paraId="1CDEC1BC">
      <w:pPr>
        <w:spacing w:line="240" w:lineRule="auto"/>
        <w:jc w:val="center"/>
        <w:outlineLvl w:val="1"/>
      </w:pPr>
      <w:r>
        <w:rPr>
          <w:rFonts w:ascii="黑体" w:hAnsi="黑体" w:eastAsia="黑体"/>
          <w:sz w:val="32"/>
        </w:rPr>
        <w:t>第二部分 部门决算情况说明</w:t>
      </w:r>
    </w:p>
    <w:p w14:paraId="3A9A75E2">
      <w:pPr>
        <w:spacing w:line="640" w:lineRule="exact"/>
        <w:ind w:firstLine="640"/>
        <w:jc w:val="both"/>
        <w:outlineLvl w:val="2"/>
      </w:pPr>
      <w:r>
        <w:rPr>
          <w:rFonts w:ascii="黑体" w:hAnsi="黑体" w:eastAsia="黑体"/>
          <w:sz w:val="32"/>
        </w:rPr>
        <w:t>一、收入支出决算总体情况说明</w:t>
      </w:r>
    </w:p>
    <w:p w14:paraId="5399A868">
      <w:pPr>
        <w:spacing w:line="580" w:lineRule="exact"/>
        <w:ind w:firstLine="640"/>
        <w:jc w:val="both"/>
      </w:pPr>
      <w:r>
        <w:rPr>
          <w:rFonts w:ascii="仿宋_GB2312" w:hAnsi="仿宋_GB2312" w:eastAsia="仿宋_GB2312"/>
          <w:b/>
          <w:sz w:val="32"/>
        </w:rPr>
        <w:t>2024年度收入总计14,678.33万元，</w:t>
      </w:r>
      <w:r>
        <w:rPr>
          <w:rFonts w:ascii="仿宋_GB2312" w:hAnsi="仿宋_GB2312" w:eastAsia="仿宋_GB2312"/>
          <w:b w:val="0"/>
          <w:sz w:val="32"/>
        </w:rPr>
        <w:t>其中：本年收入合计14,675.41万元，使用非财政拨款结余（含专用结余）0.00万元，年初结转和结余2.92万元。</w:t>
      </w:r>
    </w:p>
    <w:p w14:paraId="713CD565">
      <w:pPr>
        <w:spacing w:line="580" w:lineRule="exact"/>
        <w:ind w:firstLine="640"/>
        <w:jc w:val="both"/>
      </w:pPr>
      <w:r>
        <w:rPr>
          <w:rFonts w:ascii="仿宋_GB2312" w:hAnsi="仿宋_GB2312" w:eastAsia="仿宋_GB2312"/>
          <w:b/>
          <w:sz w:val="32"/>
        </w:rPr>
        <w:t>2024年度支出总计14,678.33万元，</w:t>
      </w:r>
      <w:r>
        <w:rPr>
          <w:rFonts w:ascii="仿宋_GB2312" w:hAnsi="仿宋_GB2312" w:eastAsia="仿宋_GB2312"/>
          <w:b w:val="0"/>
          <w:sz w:val="32"/>
        </w:rPr>
        <w:t>其中：本年支出合计14,675.41万元，结余分配0.00万元，年末结转和结余2.92万元。</w:t>
      </w:r>
    </w:p>
    <w:p w14:paraId="304492B9">
      <w:pPr>
        <w:spacing w:line="580" w:lineRule="exact"/>
        <w:ind w:firstLine="640"/>
        <w:jc w:val="both"/>
        <w:rPr>
          <w:rFonts w:hint="eastAsia" w:eastAsia="仿宋_GB2312"/>
          <w:lang w:eastAsia="zh-CN"/>
        </w:rPr>
      </w:pPr>
      <w:r>
        <w:rPr>
          <w:rFonts w:ascii="仿宋_GB2312" w:hAnsi="仿宋_GB2312" w:eastAsia="仿宋_GB2312"/>
          <w:b w:val="0"/>
          <w:sz w:val="32"/>
        </w:rPr>
        <w:t>收入支出总体与上年相比，减少2.36万元，下降0.02%，主要原因是：本年减少少年宫项目资金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减少</w:t>
      </w:r>
      <w:r>
        <w:rPr>
          <w:rFonts w:hint="eastAsia" w:ascii="仿宋_GB2312" w:hAnsi="仿宋_GB2312" w:eastAsia="仿宋_GB2312"/>
          <w:b w:val="0"/>
          <w:sz w:val="32"/>
        </w:rPr>
        <w:t>县教育局拨付办公经费</w:t>
      </w:r>
      <w:r>
        <w:rPr>
          <w:rFonts w:hint="eastAsia" w:ascii="仿宋_GB2312" w:hAnsi="仿宋_GB2312" w:eastAsia="仿宋_GB2312"/>
          <w:b w:val="0"/>
          <w:sz w:val="32"/>
          <w:lang w:eastAsia="zh-CN"/>
        </w:rPr>
        <w:t>。</w:t>
      </w:r>
    </w:p>
    <w:p w14:paraId="05577259">
      <w:pPr>
        <w:spacing w:line="640" w:lineRule="exact"/>
        <w:ind w:firstLine="640"/>
        <w:jc w:val="both"/>
        <w:outlineLvl w:val="2"/>
      </w:pPr>
      <w:r>
        <w:rPr>
          <w:rFonts w:ascii="黑体" w:hAnsi="黑体" w:eastAsia="黑体"/>
          <w:sz w:val="32"/>
        </w:rPr>
        <w:t>二、收入决算情况说明</w:t>
      </w:r>
    </w:p>
    <w:p w14:paraId="6D9181F0">
      <w:pPr>
        <w:spacing w:line="580" w:lineRule="exact"/>
        <w:ind w:firstLine="640"/>
        <w:jc w:val="both"/>
      </w:pPr>
      <w:r>
        <w:rPr>
          <w:rFonts w:ascii="仿宋_GB2312" w:hAnsi="仿宋_GB2312" w:eastAsia="仿宋_GB2312"/>
          <w:b/>
          <w:sz w:val="32"/>
        </w:rPr>
        <w:t>本年收入14,675.41万元，</w:t>
      </w:r>
      <w:r>
        <w:rPr>
          <w:rFonts w:ascii="仿宋_GB2312" w:hAnsi="仿宋_GB2312" w:eastAsia="仿宋_GB2312"/>
          <w:b w:val="0"/>
          <w:sz w:val="32"/>
        </w:rPr>
        <w:t>其中：财政拨款收入14,675.41万元，占100.00%；上级补助收入0.00万元，占0.00%；事业收入0.00万元，占0.00%；经营收入0.00万元，占0.00%；附属单位上缴收入0.00万元，占0.00%；其他收入0.00万元，占0.00%。</w:t>
      </w:r>
    </w:p>
    <w:p w14:paraId="17C18BCE">
      <w:pPr>
        <w:spacing w:line="640" w:lineRule="exact"/>
        <w:ind w:firstLine="640"/>
        <w:jc w:val="both"/>
        <w:outlineLvl w:val="2"/>
      </w:pPr>
      <w:r>
        <w:rPr>
          <w:rFonts w:ascii="黑体" w:hAnsi="黑体" w:eastAsia="黑体"/>
          <w:sz w:val="32"/>
        </w:rPr>
        <w:t>三、支出决算情况说明</w:t>
      </w:r>
    </w:p>
    <w:p w14:paraId="6C384572">
      <w:pPr>
        <w:spacing w:line="580" w:lineRule="exact"/>
        <w:ind w:firstLine="640"/>
        <w:jc w:val="both"/>
      </w:pPr>
      <w:r>
        <w:rPr>
          <w:rFonts w:ascii="仿宋_GB2312" w:hAnsi="仿宋_GB2312" w:eastAsia="仿宋_GB2312"/>
          <w:b/>
          <w:sz w:val="32"/>
        </w:rPr>
        <w:t>本年支出14,675.41万元，</w:t>
      </w:r>
      <w:r>
        <w:rPr>
          <w:rFonts w:ascii="仿宋_GB2312" w:hAnsi="仿宋_GB2312" w:eastAsia="仿宋_GB2312"/>
          <w:b w:val="0"/>
          <w:sz w:val="32"/>
        </w:rPr>
        <w:t>其中：基本支出13,191.47万元，占89.89%；项目支出1,483.94万元，占10.11%；上缴上级支出0.00万元，占0.00%；经营支出0.00万元，占0.00%；对附属单位补助支出0.00万元，占0.00%。</w:t>
      </w:r>
    </w:p>
    <w:p w14:paraId="78215CC8">
      <w:pPr>
        <w:spacing w:line="640" w:lineRule="exact"/>
        <w:ind w:firstLine="640"/>
        <w:jc w:val="both"/>
        <w:outlineLvl w:val="2"/>
      </w:pPr>
      <w:r>
        <w:rPr>
          <w:rFonts w:ascii="黑体" w:hAnsi="黑体" w:eastAsia="黑体"/>
          <w:sz w:val="32"/>
        </w:rPr>
        <w:t>四、财政拨款收入支出决算总体情况说明</w:t>
      </w:r>
    </w:p>
    <w:p w14:paraId="204BA3FE">
      <w:pPr>
        <w:spacing w:line="580" w:lineRule="exact"/>
        <w:ind w:firstLine="640"/>
        <w:jc w:val="both"/>
      </w:pPr>
      <w:r>
        <w:rPr>
          <w:rFonts w:ascii="仿宋_GB2312" w:hAnsi="仿宋_GB2312" w:eastAsia="仿宋_GB2312"/>
          <w:b/>
          <w:sz w:val="32"/>
        </w:rPr>
        <w:t>2024年度财政拨款收入总计14,675.41万元，</w:t>
      </w:r>
      <w:r>
        <w:rPr>
          <w:rFonts w:ascii="仿宋_GB2312" w:hAnsi="仿宋_GB2312" w:eastAsia="仿宋_GB2312"/>
          <w:b w:val="0"/>
          <w:sz w:val="32"/>
        </w:rPr>
        <w:t>其中：年初财政拨款结转和结余0.00万元，本年财政拨款收入14,675.41万元。</w:t>
      </w:r>
      <w:r>
        <w:rPr>
          <w:rFonts w:ascii="仿宋_GB2312" w:hAnsi="仿宋_GB2312" w:eastAsia="仿宋_GB2312"/>
          <w:b/>
          <w:sz w:val="32"/>
        </w:rPr>
        <w:t>财政拨款支出总计14,675.41万元，</w:t>
      </w:r>
      <w:r>
        <w:rPr>
          <w:rFonts w:ascii="仿宋_GB2312" w:hAnsi="仿宋_GB2312" w:eastAsia="仿宋_GB2312"/>
          <w:b w:val="0"/>
          <w:sz w:val="32"/>
        </w:rPr>
        <w:t>其中：年末财政拨款结转和结余0.00万元，本年财政拨款支出14,675.41万元。</w:t>
      </w:r>
    </w:p>
    <w:p w14:paraId="2A44720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减少1.33万元，下降0.01%，主要原因是：本年减少少年宫项目资金支出。</w:t>
      </w:r>
      <w:r>
        <w:rPr>
          <w:rFonts w:ascii="仿宋_GB2312" w:hAnsi="仿宋_GB2312" w:eastAsia="仿宋_GB2312"/>
          <w:b/>
          <w:sz w:val="32"/>
        </w:rPr>
        <w:t>与年初预算相比，</w:t>
      </w:r>
      <w:r>
        <w:rPr>
          <w:rFonts w:ascii="仿宋_GB2312" w:hAnsi="仿宋_GB2312" w:eastAsia="仿宋_GB2312"/>
          <w:b w:val="0"/>
          <w:sz w:val="32"/>
        </w:rPr>
        <w:t>年初预算数13,502.39万元，决算数14,675.41万元，预决算差异率8.69%，主要原因是：年中追加人员工资、社保、公积金基数调增部分资金，追加中央城乡义务教育资金公用经费，中央城乡义务教育营养餐资金，导致预决算存在差异。</w:t>
      </w:r>
    </w:p>
    <w:p w14:paraId="32345730">
      <w:pPr>
        <w:spacing w:line="640" w:lineRule="exact"/>
        <w:ind w:firstLine="640"/>
        <w:jc w:val="both"/>
        <w:outlineLvl w:val="2"/>
      </w:pPr>
      <w:r>
        <w:rPr>
          <w:rFonts w:ascii="黑体" w:hAnsi="黑体" w:eastAsia="黑体"/>
          <w:sz w:val="32"/>
        </w:rPr>
        <w:t>五、一般公共预算财政拨款支出决算情况说明</w:t>
      </w:r>
    </w:p>
    <w:p w14:paraId="4AB910B3">
      <w:pPr>
        <w:spacing w:line="640" w:lineRule="exact"/>
        <w:ind w:firstLine="640"/>
        <w:jc w:val="both"/>
        <w:outlineLvl w:val="3"/>
      </w:pPr>
      <w:r>
        <w:rPr>
          <w:rFonts w:ascii="楷体_GB2312" w:hAnsi="楷体_GB2312" w:eastAsia="楷体_GB2312"/>
          <w:b/>
          <w:sz w:val="32"/>
        </w:rPr>
        <w:t>（一）一般公共预算财政拨款支出决算总体情况</w:t>
      </w:r>
    </w:p>
    <w:p w14:paraId="2A56B966">
      <w:pPr>
        <w:spacing w:line="580" w:lineRule="exact"/>
        <w:ind w:firstLine="640"/>
        <w:jc w:val="both"/>
      </w:pPr>
      <w:r>
        <w:rPr>
          <w:rFonts w:ascii="仿宋_GB2312" w:hAnsi="仿宋_GB2312" w:eastAsia="仿宋_GB2312"/>
          <w:b/>
          <w:sz w:val="32"/>
        </w:rPr>
        <w:t>2024年度一般公共预算财政拨款支出14,675.41万元，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增加4.64万元，增长0.03%，主要原因是：本年在职人员工资调增，相关人员经费增加。</w:t>
      </w:r>
      <w:r>
        <w:rPr>
          <w:rFonts w:ascii="仿宋_GB2312" w:hAnsi="仿宋_GB2312" w:eastAsia="仿宋_GB2312"/>
          <w:b/>
          <w:sz w:val="32"/>
        </w:rPr>
        <w:t>与年初预算相比,</w:t>
      </w:r>
      <w:r>
        <w:rPr>
          <w:rFonts w:ascii="仿宋_GB2312" w:hAnsi="仿宋_GB2312" w:eastAsia="仿宋_GB2312"/>
          <w:b w:val="0"/>
          <w:sz w:val="32"/>
        </w:rPr>
        <w:t>年初预算数13,502.39万元，决算数14,675.41万元，预决算差异率8.69%，主要原因是：年中追加人员工资、社保、公积金基数调增部分资金，追加中央城乡义务教育资金公用经费，中央城乡义务教育营养餐资金，导致预决算存在差异。</w:t>
      </w:r>
    </w:p>
    <w:p w14:paraId="283B8510">
      <w:pPr>
        <w:spacing w:line="640" w:lineRule="exact"/>
        <w:ind w:firstLine="640"/>
        <w:jc w:val="both"/>
        <w:outlineLvl w:val="3"/>
      </w:pPr>
      <w:r>
        <w:rPr>
          <w:rFonts w:ascii="楷体_GB2312" w:hAnsi="楷体_GB2312" w:eastAsia="楷体_GB2312"/>
          <w:b/>
          <w:sz w:val="32"/>
        </w:rPr>
        <w:t>（二）一般公共预算财政拨款支出决算结构情况</w:t>
      </w:r>
    </w:p>
    <w:p w14:paraId="4239752A">
      <w:pPr>
        <w:spacing w:line="580" w:lineRule="exact"/>
        <w:ind w:firstLine="640"/>
        <w:jc w:val="both"/>
      </w:pPr>
      <w:r>
        <w:rPr>
          <w:rFonts w:ascii="仿宋_GB2312" w:hAnsi="仿宋_GB2312" w:eastAsia="仿宋_GB2312"/>
          <w:b w:val="0"/>
          <w:sz w:val="32"/>
        </w:rPr>
        <w:t>1.教育支出(类)14,675.41万元,占100.00%。</w:t>
      </w:r>
    </w:p>
    <w:p w14:paraId="0E41B3F1">
      <w:pPr>
        <w:spacing w:line="640" w:lineRule="exact"/>
        <w:ind w:firstLine="640"/>
        <w:jc w:val="both"/>
        <w:outlineLvl w:val="3"/>
      </w:pPr>
      <w:r>
        <w:rPr>
          <w:rFonts w:ascii="楷体_GB2312" w:hAnsi="楷体_GB2312" w:eastAsia="楷体_GB2312"/>
          <w:b/>
          <w:sz w:val="32"/>
        </w:rPr>
        <w:t>（三）一般公共预算财政拨款支出决算具体情况</w:t>
      </w:r>
    </w:p>
    <w:p w14:paraId="6AB9E9F2">
      <w:pPr>
        <w:spacing w:line="580" w:lineRule="exact"/>
        <w:ind w:firstLine="640"/>
        <w:jc w:val="both"/>
      </w:pPr>
      <w:r>
        <w:rPr>
          <w:rFonts w:ascii="仿宋_GB2312" w:hAnsi="仿宋_GB2312" w:eastAsia="仿宋_GB2312"/>
          <w:b w:val="0"/>
          <w:sz w:val="32"/>
        </w:rPr>
        <w:t>1.教育支出(类)普通教育(款)小学教育(项):支出决算数为14,675.41万元，比上年决算增加1,174.19万元，增长8.70%,主要原因是：本年在职人员工资调增，相关人员经费增加。本年功能科目调整，养老保险缴费上年度单独列支，本年调整至主科目列支，导致经费较上年增加。</w:t>
      </w:r>
    </w:p>
    <w:p w14:paraId="37C896C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1,169.55万元，下降100.00%,主要原因是：本年功能科目调整，养老保险缴费上年度单独列支，本年调整至主科目列支，导致经费较上年减少。</w:t>
      </w:r>
    </w:p>
    <w:p w14:paraId="7D85A733">
      <w:pPr>
        <w:spacing w:line="640" w:lineRule="exact"/>
        <w:ind w:firstLine="640"/>
        <w:jc w:val="both"/>
        <w:outlineLvl w:val="2"/>
      </w:pPr>
      <w:r>
        <w:rPr>
          <w:rFonts w:ascii="黑体" w:hAnsi="黑体" w:eastAsia="黑体"/>
          <w:sz w:val="32"/>
        </w:rPr>
        <w:t>六、一般公共预算财政拨款基本支出决算情况说明</w:t>
      </w:r>
    </w:p>
    <w:p w14:paraId="3611CD81">
      <w:pPr>
        <w:spacing w:line="580" w:lineRule="exact"/>
        <w:ind w:firstLine="640"/>
        <w:jc w:val="both"/>
      </w:pPr>
      <w:r>
        <w:rPr>
          <w:rFonts w:ascii="仿宋_GB2312" w:hAnsi="仿宋_GB2312" w:eastAsia="仿宋_GB2312"/>
          <w:b w:val="0"/>
          <w:sz w:val="32"/>
        </w:rPr>
        <w:t>2024年度一般公共预算财政拨款基本支出13,191.47万元，其中：</w:t>
      </w:r>
      <w:r>
        <w:rPr>
          <w:rFonts w:ascii="仿宋_GB2312" w:hAnsi="仿宋_GB2312" w:eastAsia="仿宋_GB2312"/>
          <w:b/>
          <w:sz w:val="32"/>
        </w:rPr>
        <w:t>人员经费13,191.47万元，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6102A0E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426E29B">
      <w:pPr>
        <w:spacing w:line="640" w:lineRule="exact"/>
        <w:ind w:firstLine="640"/>
        <w:jc w:val="both"/>
        <w:outlineLvl w:val="2"/>
      </w:pPr>
      <w:r>
        <w:rPr>
          <w:rFonts w:ascii="黑体" w:hAnsi="黑体" w:eastAsia="黑体"/>
          <w:sz w:val="32"/>
        </w:rPr>
        <w:t>七、政府性基金预算财政拨款收入支出决算情况说明</w:t>
      </w:r>
    </w:p>
    <w:p w14:paraId="74A87B86">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5CA890C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减少5.97万元，下降100.00%，主要原因是：本年减少少年宫项目资金支出。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年初预算数0.00万元，决算数0.00万元，预决算差异率0.00%，主要原因是：本年未安排少年宫项目资金支出。</w:t>
      </w:r>
    </w:p>
    <w:p w14:paraId="381946AD">
      <w:pPr>
        <w:spacing w:line="580" w:lineRule="exact"/>
        <w:ind w:firstLine="640"/>
        <w:jc w:val="both"/>
      </w:pPr>
      <w:r>
        <w:rPr>
          <w:rFonts w:ascii="仿宋_GB2312" w:hAnsi="仿宋_GB2312" w:eastAsia="仿宋_GB2312"/>
          <w:b w:val="0"/>
          <w:sz w:val="32"/>
        </w:rPr>
        <w:t>政府性基金预算财政拨款支出0.00万元。</w:t>
      </w:r>
    </w:p>
    <w:p w14:paraId="47927B72">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1.其他支出(类)彩票公益金安排的支出(款)用于教育事业的彩票公益金支出(项):支出决算数为0.00万元，比上年决算减少5.97万元，下降100.00%,主要原因是：本年减少少年宫项目资金支出。</w:t>
      </w:r>
    </w:p>
    <w:p w14:paraId="04843C6E">
      <w:pPr>
        <w:spacing w:line="640" w:lineRule="exact"/>
        <w:ind w:firstLine="640"/>
        <w:jc w:val="both"/>
        <w:outlineLvl w:val="2"/>
      </w:pPr>
      <w:r>
        <w:rPr>
          <w:rFonts w:ascii="黑体" w:hAnsi="黑体" w:eastAsia="黑体"/>
          <w:sz w:val="32"/>
        </w:rPr>
        <w:t>八、国有资本经营预算财政拨款收入支出决算情况说明</w:t>
      </w:r>
    </w:p>
    <w:p w14:paraId="1977397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2C08F63">
      <w:pPr>
        <w:spacing w:line="640" w:lineRule="exact"/>
        <w:ind w:firstLine="640"/>
        <w:jc w:val="both"/>
        <w:outlineLvl w:val="2"/>
      </w:pPr>
      <w:r>
        <w:rPr>
          <w:rFonts w:ascii="黑体" w:hAnsi="黑体" w:eastAsia="黑体"/>
          <w:sz w:val="32"/>
        </w:rPr>
        <w:t>九、财政拨款“三公”经费支出决算情况说明</w:t>
      </w:r>
    </w:p>
    <w:p w14:paraId="0CBF093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ED01EA">
      <w:pPr>
        <w:spacing w:line="580" w:lineRule="exact"/>
        <w:ind w:firstLine="640"/>
        <w:jc w:val="both"/>
      </w:pPr>
      <w:r>
        <w:rPr>
          <w:rFonts w:ascii="仿宋_GB2312" w:hAnsi="仿宋_GB2312" w:eastAsia="仿宋_GB2312"/>
          <w:b/>
          <w:sz w:val="32"/>
        </w:rPr>
        <w:t>具体情况如下：</w:t>
      </w:r>
    </w:p>
    <w:p w14:paraId="6CE4482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C0DAC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C45D72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210E7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B677C2D">
      <w:pPr>
        <w:spacing w:line="640" w:lineRule="exact"/>
        <w:ind w:firstLine="640"/>
        <w:jc w:val="both"/>
        <w:outlineLvl w:val="2"/>
      </w:pPr>
      <w:r>
        <w:rPr>
          <w:rFonts w:ascii="黑体" w:hAnsi="黑体" w:eastAsia="黑体"/>
          <w:sz w:val="32"/>
        </w:rPr>
        <w:t>十、其他重要事项的情况说明</w:t>
      </w:r>
    </w:p>
    <w:p w14:paraId="7584EB8D">
      <w:pPr>
        <w:spacing w:line="640" w:lineRule="exact"/>
        <w:ind w:firstLine="640"/>
        <w:jc w:val="both"/>
        <w:outlineLvl w:val="3"/>
      </w:pPr>
      <w:r>
        <w:rPr>
          <w:rFonts w:ascii="楷体_GB2312" w:hAnsi="楷体_GB2312" w:eastAsia="楷体_GB2312"/>
          <w:b/>
          <w:sz w:val="32"/>
        </w:rPr>
        <w:t>（一）机关运行经费及公用经费支出情况</w:t>
      </w:r>
    </w:p>
    <w:p w14:paraId="39A49E20">
      <w:pPr>
        <w:spacing w:line="580" w:lineRule="exact"/>
        <w:ind w:firstLine="640"/>
        <w:jc w:val="both"/>
      </w:pPr>
      <w:r>
        <w:rPr>
          <w:rFonts w:ascii="仿宋_GB2312" w:hAnsi="仿宋_GB2312" w:eastAsia="仿宋_GB2312"/>
          <w:b w:val="0"/>
          <w:sz w:val="32"/>
        </w:rPr>
        <w:t>2024年度阿克陶县皮拉勒乡中心小学（事业单位）公用经费支出0.00万元，比上年增加0.00万元，增长0.00%，主要原因是：2023年与2024年均未安排公用经费支出。</w:t>
      </w:r>
    </w:p>
    <w:p w14:paraId="5EE89546">
      <w:pPr>
        <w:spacing w:line="640" w:lineRule="exact"/>
        <w:ind w:firstLine="640"/>
        <w:jc w:val="both"/>
        <w:outlineLvl w:val="3"/>
      </w:pPr>
      <w:r>
        <w:rPr>
          <w:rFonts w:ascii="楷体_GB2312" w:hAnsi="楷体_GB2312" w:eastAsia="楷体_GB2312"/>
          <w:b/>
          <w:sz w:val="32"/>
        </w:rPr>
        <w:t>（二）政府采购情况</w:t>
      </w:r>
    </w:p>
    <w:p w14:paraId="0A4E7FE1">
      <w:pPr>
        <w:spacing w:line="580" w:lineRule="exact"/>
        <w:ind w:firstLine="640"/>
        <w:jc w:val="both"/>
      </w:pPr>
      <w:r>
        <w:rPr>
          <w:rFonts w:ascii="仿宋_GB2312" w:hAnsi="仿宋_GB2312" w:eastAsia="仿宋_GB2312"/>
          <w:b w:val="0"/>
          <w:sz w:val="32"/>
        </w:rPr>
        <w:t>2024年度政府采购支出总额34.25万元，其中：政府采购货物支出20.04万元、政府采购工程支出0.00万元、政府采购服务支出14.21万元。</w:t>
      </w:r>
    </w:p>
    <w:p w14:paraId="06188A54">
      <w:pPr>
        <w:spacing w:line="580" w:lineRule="exact"/>
        <w:ind w:firstLine="640"/>
        <w:jc w:val="both"/>
      </w:pPr>
      <w:r>
        <w:rPr>
          <w:rFonts w:ascii="仿宋_GB2312" w:hAnsi="仿宋_GB2312" w:eastAsia="仿宋_GB2312"/>
          <w:b w:val="0"/>
          <w:sz w:val="32"/>
        </w:rPr>
        <w:t>授予中小企业合同金额33.51万元，占政府采购支出总额的97.84%，其中：授予小微企业合同金额30.34万元，占政府采购支出总额的88.58%。</w:t>
      </w:r>
    </w:p>
    <w:p w14:paraId="1418423C">
      <w:pPr>
        <w:spacing w:line="640" w:lineRule="exact"/>
        <w:ind w:firstLine="640"/>
        <w:jc w:val="both"/>
        <w:outlineLvl w:val="3"/>
      </w:pPr>
      <w:r>
        <w:rPr>
          <w:rFonts w:ascii="楷体_GB2312" w:hAnsi="楷体_GB2312" w:eastAsia="楷体_GB2312"/>
          <w:b/>
          <w:sz w:val="32"/>
        </w:rPr>
        <w:t>（三）国有资产占用情况说明</w:t>
      </w:r>
    </w:p>
    <w:p w14:paraId="0B12FDE7">
      <w:pPr>
        <w:spacing w:line="580" w:lineRule="exact"/>
        <w:ind w:firstLine="640"/>
        <w:jc w:val="both"/>
      </w:pPr>
      <w:r>
        <w:rPr>
          <w:rFonts w:ascii="仿宋_GB2312" w:hAnsi="仿宋_GB2312" w:eastAsia="仿宋_GB2312"/>
          <w:b w:val="0"/>
          <w:sz w:val="32"/>
        </w:rPr>
        <w:t>截至2024年12月31日，房屋54,984.36平方米，价值8,133.18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D903EB2">
      <w:pPr>
        <w:spacing w:line="640" w:lineRule="exact"/>
        <w:ind w:firstLine="640"/>
        <w:jc w:val="both"/>
        <w:outlineLvl w:val="2"/>
      </w:pPr>
      <w:r>
        <w:rPr>
          <w:rFonts w:ascii="黑体" w:hAnsi="黑体" w:eastAsia="黑体"/>
          <w:sz w:val="32"/>
        </w:rPr>
        <w:t>十一、预算绩效的情况说明</w:t>
      </w:r>
    </w:p>
    <w:p w14:paraId="713A796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14,678.32万元，实际执行总额14,675.41万元；预算绩效评价项目0个，全年预算数0.00万元，全年执行数0.00万元。预算绩效管理取得的成效：本单位无项目支出绩效自评表。发现的问题及原因：本单位无项目支出绩效自评表。下一步改进措施：本单位无项目支出绩效自评表。具体附整体支出绩效自评表。</w:t>
      </w:r>
    </w:p>
    <w:p w14:paraId="2DC29EA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E4798F5">
        <w:tblPrEx>
          <w:tblCellMar>
            <w:top w:w="0" w:type="dxa"/>
            <w:left w:w="108" w:type="dxa"/>
            <w:bottom w:w="0" w:type="dxa"/>
            <w:right w:w="108" w:type="dxa"/>
          </w:tblCellMar>
        </w:tblPrEx>
        <w:tc>
          <w:tcPr>
            <w:tcW w:w="8840" w:type="dxa"/>
            <w:gridSpan w:val="8"/>
            <w:vAlign w:val="center"/>
          </w:tcPr>
          <w:p w14:paraId="4B89170A">
            <w:pPr>
              <w:jc w:val="center"/>
            </w:pPr>
            <w:r>
              <w:rPr>
                <w:rFonts w:ascii="宋体" w:hAnsi="宋体" w:eastAsia="宋体"/>
                <w:sz w:val="24"/>
              </w:rPr>
              <w:t>单位整体支出绩效自评表</w:t>
            </w:r>
          </w:p>
        </w:tc>
      </w:tr>
      <w:tr w14:paraId="16CE6204">
        <w:tblPrEx>
          <w:tblCellMar>
            <w:top w:w="0" w:type="dxa"/>
            <w:left w:w="108" w:type="dxa"/>
            <w:bottom w:w="0" w:type="dxa"/>
            <w:right w:w="108" w:type="dxa"/>
          </w:tblCellMar>
        </w:tblPrEx>
        <w:tc>
          <w:tcPr>
            <w:tcW w:w="8840" w:type="dxa"/>
            <w:gridSpan w:val="8"/>
            <w:vAlign w:val="center"/>
          </w:tcPr>
          <w:p w14:paraId="5D549335">
            <w:pPr>
              <w:jc w:val="center"/>
            </w:pPr>
            <w:r>
              <w:rPr>
                <w:rFonts w:ascii="宋体" w:hAnsi="宋体" w:eastAsia="宋体"/>
                <w:sz w:val="24"/>
              </w:rPr>
              <w:t>（2024年度）</w:t>
            </w:r>
          </w:p>
        </w:tc>
      </w:tr>
      <w:tr w14:paraId="539C397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F3B7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CAB2F">
            <w:pPr>
              <w:jc w:val="center"/>
            </w:pPr>
            <w:r>
              <w:rPr>
                <w:rFonts w:ascii="宋体" w:hAnsi="宋体" w:eastAsia="宋体"/>
                <w:sz w:val="16"/>
              </w:rPr>
              <w:t>阿克陶县皮拉勒乡中心小学</w:t>
            </w:r>
          </w:p>
        </w:tc>
      </w:tr>
      <w:tr w14:paraId="3CA817C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E4DE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031E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7FBA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1CEC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9F6D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AAB1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FB84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14BA1">
            <w:pPr>
              <w:jc w:val="center"/>
            </w:pPr>
            <w:r>
              <w:rPr>
                <w:rFonts w:ascii="宋体" w:hAnsi="宋体" w:eastAsia="宋体"/>
                <w:sz w:val="16"/>
              </w:rPr>
              <w:t>得分</w:t>
            </w:r>
          </w:p>
        </w:tc>
      </w:tr>
      <w:tr w14:paraId="547239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0B4A2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94B4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03AF4">
            <w:pPr>
              <w:jc w:val="center"/>
            </w:pPr>
            <w:r>
              <w:rPr>
                <w:rFonts w:ascii="宋体" w:hAnsi="宋体" w:eastAsia="宋体"/>
                <w:sz w:val="16"/>
              </w:rPr>
              <w:t>13,268.49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8907A">
            <w:pPr>
              <w:jc w:val="center"/>
            </w:pPr>
            <w:r>
              <w:rPr>
                <w:rFonts w:ascii="宋体" w:hAnsi="宋体" w:eastAsia="宋体"/>
                <w:sz w:val="16"/>
              </w:rPr>
              <w:t>14,678.32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06D36">
            <w:pPr>
              <w:jc w:val="center"/>
            </w:pPr>
            <w:r>
              <w:rPr>
                <w:rFonts w:ascii="宋体" w:hAnsi="宋体" w:eastAsia="宋体"/>
                <w:sz w:val="16"/>
              </w:rPr>
              <w:t>14,675.41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A42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D7BF3">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86E9C">
            <w:pPr>
              <w:jc w:val="center"/>
            </w:pPr>
            <w:r>
              <w:rPr>
                <w:rFonts w:ascii="宋体" w:hAnsi="宋体" w:eastAsia="宋体"/>
                <w:sz w:val="16"/>
              </w:rPr>
              <w:t>10</w:t>
            </w:r>
          </w:p>
        </w:tc>
      </w:tr>
      <w:tr w14:paraId="481A8A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0A7D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0136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D1D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EEA9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D9C0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344B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1C4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5E0F8">
            <w:pPr>
              <w:jc w:val="center"/>
            </w:pPr>
            <w:r>
              <w:rPr>
                <w:rFonts w:ascii="宋体" w:hAnsi="宋体" w:eastAsia="宋体"/>
                <w:sz w:val="16"/>
              </w:rPr>
              <w:t>—</w:t>
            </w:r>
          </w:p>
        </w:tc>
      </w:tr>
      <w:tr w14:paraId="40527B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99E4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F0CA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5D7D5">
            <w:pPr>
              <w:jc w:val="center"/>
            </w:pPr>
            <w:r>
              <w:rPr>
                <w:rFonts w:ascii="宋体" w:hAnsi="宋体" w:eastAsia="宋体"/>
                <w:sz w:val="16"/>
              </w:rPr>
              <w:t>13,268.49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87A37">
            <w:pPr>
              <w:jc w:val="center"/>
            </w:pPr>
            <w:r>
              <w:rPr>
                <w:rFonts w:ascii="宋体" w:hAnsi="宋体" w:eastAsia="宋体"/>
                <w:sz w:val="16"/>
              </w:rPr>
              <w:t>14,678.32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888B5">
            <w:pPr>
              <w:jc w:val="center"/>
            </w:pPr>
            <w:r>
              <w:rPr>
                <w:rFonts w:ascii="宋体" w:hAnsi="宋体" w:eastAsia="宋体"/>
                <w:sz w:val="16"/>
              </w:rPr>
              <w:t>14,675.41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940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B7C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04C47">
            <w:pPr>
              <w:jc w:val="center"/>
            </w:pPr>
            <w:r>
              <w:rPr>
                <w:rFonts w:ascii="宋体" w:hAnsi="宋体" w:eastAsia="宋体"/>
                <w:sz w:val="16"/>
              </w:rPr>
              <w:t>—</w:t>
            </w:r>
          </w:p>
        </w:tc>
      </w:tr>
      <w:tr w14:paraId="2434C3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2412A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1D65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4EE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6370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9540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D573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C001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D8704">
            <w:pPr>
              <w:jc w:val="center"/>
            </w:pPr>
            <w:r>
              <w:rPr>
                <w:rFonts w:ascii="宋体" w:hAnsi="宋体" w:eastAsia="宋体"/>
                <w:sz w:val="16"/>
              </w:rPr>
              <w:t>—</w:t>
            </w:r>
          </w:p>
        </w:tc>
      </w:tr>
      <w:tr w14:paraId="2AD828A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55BE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C96B3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106970">
            <w:pPr>
              <w:jc w:val="center"/>
            </w:pPr>
            <w:r>
              <w:rPr>
                <w:rFonts w:ascii="宋体" w:hAnsi="宋体" w:eastAsia="宋体"/>
                <w:sz w:val="16"/>
              </w:rPr>
              <w:t>实际完成情况</w:t>
            </w:r>
          </w:p>
        </w:tc>
      </w:tr>
      <w:tr w14:paraId="02BA00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23DA8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BEC1DE">
            <w:pPr>
              <w:jc w:val="both"/>
            </w:pPr>
            <w:r>
              <w:rPr>
                <w:rFonts w:ascii="宋体" w:hAnsi="宋体" w:eastAsia="宋体"/>
                <w:sz w:val="16"/>
              </w:rPr>
              <w:t>全面贯彻执行党和国家的教育方针、政策、法规，坚持社会主义办学方向，努力培养德、智、体全面发展的社会主义事业的建设者和接班人。完成教育教学计划，升学率达到100%，学考合格率达98%。保障教师的工资正常发放，稳步进行校园建设。提高师生整体素质，德智体美劳全面发展。学校教育教学秩序良好，推动学校可持续发展。人员经费主要用于阿克陶县皮拉勒乡中心小学教职工人员工资、基本养老保险、住房公积金、医疗保险等支出，从而保障教育教学工作质量，提升教师工作效率。公用经费主要用于公用取暖费，工会经费，福利费，为了更好</w:t>
            </w:r>
            <w:r>
              <w:rPr>
                <w:rFonts w:hint="eastAsia" w:ascii="宋体" w:hAnsi="宋体"/>
                <w:sz w:val="16"/>
                <w:lang w:eastAsia="zh-CN"/>
              </w:rPr>
              <w:t>地</w:t>
            </w:r>
            <w:r>
              <w:rPr>
                <w:rFonts w:ascii="宋体" w:hAnsi="宋体" w:eastAsia="宋体"/>
                <w:sz w:val="16"/>
              </w:rPr>
              <w:t>创造良好的教学环境，保障教学日常工作正常进行，提高教职工工作积极性。</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59949D">
            <w:pPr>
              <w:jc w:val="both"/>
            </w:pPr>
            <w:r>
              <w:rPr>
                <w:rFonts w:ascii="宋体" w:hAnsi="宋体" w:eastAsia="宋体"/>
                <w:sz w:val="16"/>
              </w:rPr>
              <w:t>本单位全面贯彻执行党和国家的教育方针、政策、法规，坚持社会主义办学方向，努力培养德、智、体全面发展的社会主义事业的建设者和接班人。完成教育教学计划，升学率达到100%，学考合格率达98%。保障教师的工资正常发放，稳步进行校园建设。提高师生整体素质，德智体美劳全面发展。学校教育教学秩序良好，推动学校可持续发展。人员经费主要用于阿克陶县皮拉勒乡中心小学教职工人员工资、基本养老保险、住房公积金、医疗保险等支出，从而保障教育教学工作质量，提升教师工作效率。公用经费主要用于公用取暖费，工会经费，福利费，为了更好</w:t>
            </w:r>
            <w:r>
              <w:rPr>
                <w:rFonts w:hint="eastAsia" w:ascii="宋体" w:hAnsi="宋体"/>
                <w:sz w:val="16"/>
                <w:lang w:eastAsia="zh-CN"/>
              </w:rPr>
              <w:t>地</w:t>
            </w:r>
            <w:r>
              <w:rPr>
                <w:rFonts w:ascii="宋体" w:hAnsi="宋体" w:eastAsia="宋体"/>
                <w:sz w:val="16"/>
              </w:rPr>
              <w:t>创造良好的教学环境，保障教学日常工作正常进行，提高教职工工作积极性。</w:t>
            </w:r>
          </w:p>
        </w:tc>
      </w:tr>
      <w:tr w14:paraId="45101AB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DDF1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2AC4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898B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1311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BC1CF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7EDB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3433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813F9">
            <w:pPr>
              <w:jc w:val="center"/>
            </w:pPr>
            <w:r>
              <w:rPr>
                <w:rFonts w:ascii="宋体" w:hAnsi="宋体" w:eastAsia="宋体"/>
                <w:sz w:val="16"/>
              </w:rPr>
              <w:t>得分</w:t>
            </w:r>
          </w:p>
        </w:tc>
      </w:tr>
      <w:tr w14:paraId="2CC81EB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1DD56">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4EA0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618A8">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7729E">
            <w:pPr>
              <w:jc w:val="center"/>
            </w:pPr>
            <w:r>
              <w:rPr>
                <w:rFonts w:ascii="宋体" w:hAnsi="宋体" w:eastAsia="宋体"/>
                <w:sz w:val="16"/>
              </w:rPr>
              <w:t>&gt;=622人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E82D2">
            <w:pPr>
              <w:jc w:val="center"/>
            </w:pPr>
            <w:r>
              <w:rPr>
                <w:rFonts w:ascii="宋体" w:hAnsi="宋体" w:eastAsia="宋体"/>
                <w:sz w:val="16"/>
              </w:rPr>
              <w:t>上年度末工资册汇总表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E21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58B29">
            <w:pPr>
              <w:jc w:val="center"/>
            </w:pPr>
            <w:r>
              <w:rPr>
                <w:rFonts w:ascii="宋体" w:hAnsi="宋体" w:eastAsia="宋体"/>
                <w:sz w:val="16"/>
              </w:rPr>
              <w:t>612人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4FC70">
            <w:pPr>
              <w:jc w:val="center"/>
            </w:pPr>
            <w:r>
              <w:rPr>
                <w:rFonts w:ascii="宋体" w:hAnsi="宋体" w:eastAsia="宋体"/>
                <w:sz w:val="16"/>
              </w:rPr>
              <w:t>9.84</w:t>
            </w:r>
          </w:p>
        </w:tc>
      </w:tr>
      <w:tr w14:paraId="3BB8CA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857A9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91BEB">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C351D">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53995">
            <w:pPr>
              <w:jc w:val="center"/>
            </w:pPr>
            <w:r>
              <w:rPr>
                <w:rFonts w:ascii="宋体" w:hAnsi="宋体" w:eastAsia="宋体"/>
                <w:sz w:val="16"/>
              </w:rPr>
              <w:t>=13268.49万元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9C306">
            <w:pPr>
              <w:jc w:val="center"/>
            </w:pPr>
            <w:r>
              <w:rPr>
                <w:rFonts w:ascii="宋体" w:hAnsi="宋体" w:eastAsia="宋体"/>
                <w:sz w:val="16"/>
              </w:rPr>
              <w:t>县委会议批复预算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E53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3C877">
            <w:pPr>
              <w:jc w:val="center"/>
            </w:pPr>
            <w:r>
              <w:rPr>
                <w:rFonts w:ascii="宋体" w:hAnsi="宋体" w:eastAsia="宋体"/>
                <w:sz w:val="16"/>
              </w:rPr>
              <w:t>13191.47万元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D6AB1">
            <w:pPr>
              <w:jc w:val="center"/>
            </w:pPr>
            <w:r>
              <w:rPr>
                <w:rFonts w:ascii="宋体" w:hAnsi="宋体" w:eastAsia="宋体"/>
                <w:sz w:val="16"/>
              </w:rPr>
              <w:t>9.94</w:t>
            </w:r>
          </w:p>
        </w:tc>
      </w:tr>
      <w:tr w14:paraId="21932E1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844B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47D6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7D8EA">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198BE">
            <w:pPr>
              <w:jc w:val="center"/>
            </w:pPr>
            <w:r>
              <w:rPr>
                <w:rFonts w:ascii="宋体" w:hAnsi="宋体" w:eastAsia="宋体"/>
                <w:sz w:val="16"/>
              </w:rPr>
              <w:t>=157.58万元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8C6E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ACAB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D4C4E">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C14D2">
            <w:pPr>
              <w:jc w:val="center"/>
            </w:pPr>
            <w:r>
              <w:rPr>
                <w:rFonts w:ascii="宋体" w:hAnsi="宋体" w:eastAsia="宋体"/>
                <w:sz w:val="16"/>
              </w:rPr>
              <w:t>0</w:t>
            </w:r>
          </w:p>
        </w:tc>
      </w:tr>
      <w:tr w14:paraId="3C1689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C7EDB">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86C1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3F606">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0D5D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B8C2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7AC6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D63A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5C16A">
            <w:pPr>
              <w:jc w:val="center"/>
            </w:pPr>
            <w:r>
              <w:rPr>
                <w:rFonts w:ascii="宋体" w:hAnsi="宋体" w:eastAsia="宋体"/>
                <w:sz w:val="16"/>
              </w:rPr>
              <w:t>15</w:t>
            </w:r>
          </w:p>
        </w:tc>
      </w:tr>
      <w:tr w14:paraId="595948E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97EE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EAE2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32DDA">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DCF3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64AA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5F8B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77A42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493E9">
            <w:pPr>
              <w:jc w:val="center"/>
            </w:pPr>
            <w:r>
              <w:rPr>
                <w:rFonts w:ascii="宋体" w:hAnsi="宋体" w:eastAsia="宋体"/>
                <w:sz w:val="16"/>
              </w:rPr>
              <w:t>15</w:t>
            </w:r>
          </w:p>
        </w:tc>
      </w:tr>
      <w:tr w14:paraId="2D0776A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EA505">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F077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E6E57">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A8D0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C307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61C3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A9E1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91BEE">
            <w:pPr>
              <w:jc w:val="center"/>
            </w:pPr>
            <w:r>
              <w:rPr>
                <w:rFonts w:ascii="宋体" w:hAnsi="宋体" w:eastAsia="宋体"/>
                <w:sz w:val="16"/>
              </w:rPr>
              <w:t>10</w:t>
            </w:r>
          </w:p>
        </w:tc>
      </w:tr>
      <w:tr w14:paraId="311D62F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89C31">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053E1">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57E11">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93E2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B714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9C9E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6C7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EC74A">
            <w:pPr>
              <w:jc w:val="center"/>
            </w:pPr>
            <w:r>
              <w:rPr>
                <w:rFonts w:ascii="宋体" w:hAnsi="宋体" w:eastAsia="宋体"/>
                <w:sz w:val="16"/>
              </w:rPr>
              <w:t>10</w:t>
            </w:r>
          </w:p>
        </w:tc>
      </w:tr>
      <w:tr w14:paraId="29BE62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6F09F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2F89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CA78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8C98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6F00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13E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859A4">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F4CD1">
            <w:pPr>
              <w:jc w:val="center"/>
            </w:pPr>
            <w:r>
              <w:rPr>
                <w:rFonts w:ascii="宋体" w:hAnsi="宋体" w:eastAsia="宋体"/>
                <w:sz w:val="16"/>
              </w:rPr>
              <w:t>10</w:t>
            </w:r>
          </w:p>
        </w:tc>
      </w:tr>
    </w:tbl>
    <w:p w14:paraId="794D736F">
      <w:r>
        <w:br w:type="page"/>
      </w:r>
    </w:p>
    <w:p w14:paraId="775895BD">
      <w:pPr>
        <w:spacing w:line="640" w:lineRule="exact"/>
        <w:ind w:firstLine="640"/>
        <w:jc w:val="both"/>
        <w:outlineLvl w:val="2"/>
      </w:pPr>
      <w:r>
        <w:rPr>
          <w:rFonts w:ascii="黑体" w:hAnsi="黑体" w:eastAsia="黑体"/>
          <w:sz w:val="32"/>
        </w:rPr>
        <w:t>十二、其他需说明的事项</w:t>
      </w:r>
    </w:p>
    <w:p w14:paraId="23EA9891">
      <w:pPr>
        <w:spacing w:line="580" w:lineRule="exact"/>
        <w:ind w:firstLine="640"/>
        <w:jc w:val="both"/>
      </w:pPr>
      <w:r>
        <w:rPr>
          <w:rFonts w:ascii="仿宋_GB2312" w:hAnsi="仿宋_GB2312" w:eastAsia="仿宋_GB2312"/>
          <w:b w:val="0"/>
          <w:sz w:val="32"/>
        </w:rPr>
        <w:t>本单位无其他需说明的事项。</w:t>
      </w:r>
    </w:p>
    <w:p w14:paraId="5F719B5D">
      <w:r>
        <w:br w:type="page"/>
      </w:r>
    </w:p>
    <w:p w14:paraId="0A4101A5">
      <w:pPr>
        <w:spacing w:line="240" w:lineRule="auto"/>
        <w:jc w:val="center"/>
        <w:outlineLvl w:val="1"/>
      </w:pPr>
      <w:r>
        <w:rPr>
          <w:rFonts w:ascii="黑体" w:hAnsi="黑体" w:eastAsia="黑体"/>
          <w:sz w:val="32"/>
        </w:rPr>
        <w:t>第三部分 专业名词解释</w:t>
      </w:r>
    </w:p>
    <w:p w14:paraId="4938E47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12FD63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A9B1C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031328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3E305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E6CD75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37BD20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87ED54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748A4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E2B68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F006B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839D91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C1B5D5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5F096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220115A">
      <w:r>
        <w:br w:type="page"/>
      </w:r>
    </w:p>
    <w:p w14:paraId="466FACFA">
      <w:pPr>
        <w:spacing w:line="240" w:lineRule="auto"/>
        <w:jc w:val="center"/>
        <w:outlineLvl w:val="1"/>
      </w:pPr>
      <w:r>
        <w:rPr>
          <w:rFonts w:ascii="黑体" w:hAnsi="黑体" w:eastAsia="黑体"/>
          <w:sz w:val="32"/>
        </w:rPr>
        <w:t>第四部分 部门决算报表（见附表）</w:t>
      </w:r>
    </w:p>
    <w:p w14:paraId="5CE74CD5">
      <w:pPr>
        <w:spacing w:line="240" w:lineRule="auto"/>
        <w:ind w:firstLine="640"/>
        <w:jc w:val="both"/>
      </w:pPr>
      <w:r>
        <w:rPr>
          <w:rFonts w:ascii="仿宋_GB2312" w:hAnsi="仿宋_GB2312" w:eastAsia="仿宋_GB2312"/>
          <w:b w:val="0"/>
          <w:sz w:val="32"/>
        </w:rPr>
        <w:t>一、《收入支出决算总表》</w:t>
      </w:r>
    </w:p>
    <w:p w14:paraId="64D3C872">
      <w:pPr>
        <w:spacing w:line="240" w:lineRule="auto"/>
        <w:ind w:firstLine="640"/>
        <w:jc w:val="both"/>
      </w:pPr>
      <w:r>
        <w:rPr>
          <w:rFonts w:ascii="仿宋_GB2312" w:hAnsi="仿宋_GB2312" w:eastAsia="仿宋_GB2312"/>
          <w:b w:val="0"/>
          <w:sz w:val="32"/>
        </w:rPr>
        <w:t>二、《收入决算表》</w:t>
      </w:r>
    </w:p>
    <w:p w14:paraId="6C93F57C">
      <w:pPr>
        <w:spacing w:line="240" w:lineRule="auto"/>
        <w:ind w:firstLine="640"/>
        <w:jc w:val="both"/>
      </w:pPr>
      <w:r>
        <w:rPr>
          <w:rFonts w:ascii="仿宋_GB2312" w:hAnsi="仿宋_GB2312" w:eastAsia="仿宋_GB2312"/>
          <w:b w:val="0"/>
          <w:sz w:val="32"/>
        </w:rPr>
        <w:t>三、《支出决算表》</w:t>
      </w:r>
    </w:p>
    <w:p w14:paraId="28468618">
      <w:pPr>
        <w:spacing w:line="240" w:lineRule="auto"/>
        <w:ind w:firstLine="640"/>
        <w:jc w:val="both"/>
      </w:pPr>
      <w:r>
        <w:rPr>
          <w:rFonts w:ascii="仿宋_GB2312" w:hAnsi="仿宋_GB2312" w:eastAsia="仿宋_GB2312"/>
          <w:b w:val="0"/>
          <w:sz w:val="32"/>
        </w:rPr>
        <w:t>四、《财政拨款收入支出决算总表》</w:t>
      </w:r>
    </w:p>
    <w:p w14:paraId="472E88F4">
      <w:pPr>
        <w:spacing w:line="240" w:lineRule="auto"/>
        <w:ind w:firstLine="640"/>
        <w:jc w:val="both"/>
      </w:pPr>
      <w:r>
        <w:rPr>
          <w:rFonts w:ascii="仿宋_GB2312" w:hAnsi="仿宋_GB2312" w:eastAsia="仿宋_GB2312"/>
          <w:b w:val="0"/>
          <w:sz w:val="32"/>
        </w:rPr>
        <w:t>五、《一般公共预算财政拨款支出决算表》</w:t>
      </w:r>
    </w:p>
    <w:p w14:paraId="5CB2EC87">
      <w:pPr>
        <w:spacing w:line="240" w:lineRule="auto"/>
        <w:ind w:firstLine="640"/>
        <w:jc w:val="both"/>
      </w:pPr>
      <w:r>
        <w:rPr>
          <w:rFonts w:ascii="仿宋_GB2312" w:hAnsi="仿宋_GB2312" w:eastAsia="仿宋_GB2312"/>
          <w:b w:val="0"/>
          <w:sz w:val="32"/>
        </w:rPr>
        <w:t>六、《一般公共预算财政拨款基本支出决算表》</w:t>
      </w:r>
    </w:p>
    <w:p w14:paraId="1DA469B3">
      <w:pPr>
        <w:spacing w:line="240" w:lineRule="auto"/>
        <w:ind w:firstLine="640"/>
        <w:jc w:val="both"/>
      </w:pPr>
      <w:r>
        <w:rPr>
          <w:rFonts w:ascii="仿宋_GB2312" w:hAnsi="仿宋_GB2312" w:eastAsia="仿宋_GB2312"/>
          <w:b w:val="0"/>
          <w:sz w:val="32"/>
        </w:rPr>
        <w:t>七、《政府性基金预算财政拨款收入支出决算表》</w:t>
      </w:r>
    </w:p>
    <w:p w14:paraId="73C89EB6">
      <w:pPr>
        <w:spacing w:line="240" w:lineRule="auto"/>
        <w:ind w:firstLine="640"/>
        <w:jc w:val="both"/>
      </w:pPr>
      <w:r>
        <w:rPr>
          <w:rFonts w:ascii="仿宋_GB2312" w:hAnsi="仿宋_GB2312" w:eastAsia="仿宋_GB2312"/>
          <w:b w:val="0"/>
          <w:sz w:val="32"/>
        </w:rPr>
        <w:t>八、《国有资本经营预算财政拨款收入支出决算表》</w:t>
      </w:r>
    </w:p>
    <w:p w14:paraId="0DA02B22">
      <w:pPr>
        <w:spacing w:line="240" w:lineRule="auto"/>
        <w:ind w:firstLine="640"/>
        <w:jc w:val="both"/>
      </w:pPr>
      <w:r>
        <w:rPr>
          <w:rFonts w:ascii="仿宋_GB2312" w:hAnsi="仿宋_GB2312" w:eastAsia="仿宋_GB2312"/>
          <w:b w:val="0"/>
          <w:sz w:val="32"/>
        </w:rPr>
        <w:t>九、《财政拨款“三公”经费支出决算表》</w:t>
      </w:r>
    </w:p>
    <w:p w14:paraId="79AF85C5">
      <w:pPr>
        <w:spacing w:line="240" w:lineRule="auto"/>
        <w:ind w:firstLine="640"/>
        <w:jc w:val="both"/>
      </w:pPr>
    </w:p>
    <w:p w14:paraId="33D5E613">
      <w:pPr>
        <w:spacing w:line="240" w:lineRule="auto"/>
        <w:ind w:firstLine="640"/>
        <w:jc w:val="both"/>
      </w:pPr>
    </w:p>
    <w:p w14:paraId="0AE74756">
      <w:pPr>
        <w:spacing w:line="240" w:lineRule="auto"/>
        <w:ind w:firstLine="640"/>
        <w:jc w:val="both"/>
      </w:pPr>
    </w:p>
    <w:p w14:paraId="1D0A4FBD">
      <w:pPr>
        <w:spacing w:line="240" w:lineRule="auto"/>
        <w:ind w:firstLine="640"/>
        <w:jc w:val="both"/>
      </w:pPr>
    </w:p>
    <w:p w14:paraId="412BD93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560099"/>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755F61"/>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3958</Words>
  <Characters>4639</Characters>
  <Lines>0</Lines>
  <Paragraphs>0</Paragraphs>
  <TotalTime>4</TotalTime>
  <ScaleCrop>false</ScaleCrop>
  <LinksUpToDate>false</LinksUpToDate>
  <CharactersWithSpaces>4647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