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阿克陶县林果业技术推广管理站2024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0447F50">
      <w:r>
        <w:br w:type="page"/>
      </w:r>
    </w:p>
    <w:p w14:paraId="5155366A">
      <w:pPr>
        <w:spacing w:line="640" w:lineRule="exact"/>
        <w:jc w:val="center"/>
        <w:outlineLvl w:val="1"/>
      </w:pPr>
      <w:r>
        <w:rPr>
          <w:rFonts w:ascii="黑体" w:hAnsi="黑体" w:eastAsia="黑体"/>
          <w:sz w:val="32"/>
        </w:rPr>
        <w:t>第一部分 单位概况</w:t>
      </w:r>
    </w:p>
    <w:p w14:paraId="0F144AFB">
      <w:pPr>
        <w:spacing w:line="640" w:lineRule="exact"/>
        <w:ind w:firstLine="640"/>
        <w:jc w:val="both"/>
        <w:outlineLvl w:val="2"/>
      </w:pPr>
      <w:r>
        <w:rPr>
          <w:rFonts w:ascii="黑体" w:hAnsi="黑体" w:eastAsia="黑体"/>
          <w:sz w:val="32"/>
        </w:rPr>
        <w:t>一、主要职能</w:t>
      </w:r>
    </w:p>
    <w:p w14:paraId="5A7EFC40">
      <w:pPr>
        <w:spacing w:line="580" w:lineRule="exact"/>
        <w:ind w:firstLine="640"/>
        <w:jc w:val="both"/>
      </w:pPr>
      <w:r>
        <w:rPr>
          <w:rFonts w:ascii="仿宋_GB2312" w:hAnsi="仿宋_GB2312" w:eastAsia="仿宋_GB2312"/>
          <w:sz w:val="32"/>
        </w:rPr>
        <w:t>负责林果科技工作，负责调查、总结、推广我县有效的林果技术经验，引进适合我县栽培发展的新技术、新品种，进行试验、示范和推广；根据不同树种、品种，建立科技示范点，运用综合技术，树立高产优质样板，推广林果先进实用技术；负责全县无公害林果产品生产工作；林果业产业化服务和指导工作；负责培训农民技术员和科技示范户，宣传普及林业科技知识，提高农民科技素质和科学管理水平；建立健全与指导县、乡、村林果业技术服务网络，进行业务技术咨询。</w:t>
      </w:r>
    </w:p>
    <w:p w14:paraId="3E07A554">
      <w:pPr>
        <w:spacing w:line="640" w:lineRule="exact"/>
        <w:ind w:firstLine="640"/>
        <w:jc w:val="both"/>
        <w:outlineLvl w:val="2"/>
      </w:pPr>
      <w:r>
        <w:rPr>
          <w:rFonts w:ascii="黑体" w:hAnsi="黑体" w:eastAsia="黑体"/>
          <w:sz w:val="32"/>
        </w:rPr>
        <w:t>二、机构设置及人员情况</w:t>
      </w:r>
    </w:p>
    <w:p w14:paraId="64C7018F">
      <w:pPr>
        <w:spacing w:line="580" w:lineRule="exact"/>
        <w:ind w:firstLine="640"/>
        <w:jc w:val="both"/>
      </w:pPr>
      <w:r>
        <w:rPr>
          <w:rFonts w:ascii="仿宋_GB2312" w:hAnsi="仿宋_GB2312" w:eastAsia="仿宋_GB2312"/>
          <w:sz w:val="32"/>
        </w:rPr>
        <w:t>阿克陶县林果业技术推广管理站2024年度，实有人数23人，其中：在职人员18人，增加0人；离休人员0人，增加0人；退休人员5人,增加0人。</w:t>
      </w:r>
    </w:p>
    <w:p w14:paraId="665F4EAF">
      <w:pPr>
        <w:spacing w:line="580" w:lineRule="exact"/>
        <w:ind w:firstLine="640"/>
        <w:jc w:val="both"/>
      </w:pPr>
      <w:r>
        <w:rPr>
          <w:rFonts w:ascii="仿宋_GB2312" w:hAnsi="仿宋_GB2312" w:eastAsia="仿宋_GB2312"/>
          <w:sz w:val="32"/>
        </w:rPr>
        <w:t>阿克陶县林果业技术推广管理站无下属预算单位，下设2个科室，分别是：办公室、财务室。</w:t>
      </w:r>
    </w:p>
    <w:p w14:paraId="16D13A34">
      <w:r>
        <w:br w:type="page"/>
      </w:r>
    </w:p>
    <w:p w14:paraId="1156D799">
      <w:pPr>
        <w:spacing w:line="240" w:lineRule="auto"/>
        <w:jc w:val="center"/>
        <w:outlineLvl w:val="1"/>
      </w:pPr>
      <w:r>
        <w:rPr>
          <w:rFonts w:ascii="黑体" w:hAnsi="黑体" w:eastAsia="黑体"/>
          <w:sz w:val="32"/>
        </w:rPr>
        <w:t>第二部分 部门决算情况说明</w:t>
      </w:r>
    </w:p>
    <w:p w14:paraId="1E4E2621">
      <w:pPr>
        <w:spacing w:line="640" w:lineRule="exact"/>
        <w:ind w:firstLine="640"/>
        <w:jc w:val="both"/>
        <w:outlineLvl w:val="2"/>
      </w:pPr>
      <w:r>
        <w:rPr>
          <w:rFonts w:ascii="黑体" w:hAnsi="黑体" w:eastAsia="黑体"/>
          <w:sz w:val="32"/>
        </w:rPr>
        <w:t>一、收入支出决算总体情况说明</w:t>
      </w:r>
    </w:p>
    <w:p w14:paraId="1B9D8FF5">
      <w:pPr>
        <w:spacing w:line="580" w:lineRule="exact"/>
        <w:ind w:firstLine="640"/>
        <w:jc w:val="both"/>
      </w:pPr>
      <w:r>
        <w:rPr>
          <w:rFonts w:ascii="仿宋_GB2312" w:hAnsi="仿宋_GB2312" w:eastAsia="仿宋_GB2312"/>
          <w:b/>
          <w:sz w:val="32"/>
        </w:rPr>
        <w:t>2024年度收入总计587.88万元，</w:t>
      </w:r>
      <w:r>
        <w:rPr>
          <w:rFonts w:ascii="仿宋_GB2312" w:hAnsi="仿宋_GB2312" w:eastAsia="仿宋_GB2312"/>
          <w:b w:val="0"/>
          <w:sz w:val="32"/>
        </w:rPr>
        <w:t>其中：本年收入合计577.41万元，使用非财政拨款结余（含专用结余）0.00万元，年初结转和结余10.47万元。</w:t>
      </w:r>
    </w:p>
    <w:p w14:paraId="7AADE394">
      <w:pPr>
        <w:spacing w:line="580" w:lineRule="exact"/>
        <w:ind w:firstLine="640"/>
        <w:jc w:val="both"/>
      </w:pPr>
      <w:r>
        <w:rPr>
          <w:rFonts w:ascii="仿宋_GB2312" w:hAnsi="仿宋_GB2312" w:eastAsia="仿宋_GB2312"/>
          <w:b/>
          <w:sz w:val="32"/>
        </w:rPr>
        <w:t>2024年度支出总计587.88万元，</w:t>
      </w:r>
      <w:r>
        <w:rPr>
          <w:rFonts w:ascii="仿宋_GB2312" w:hAnsi="仿宋_GB2312" w:eastAsia="仿宋_GB2312"/>
          <w:b w:val="0"/>
          <w:sz w:val="32"/>
        </w:rPr>
        <w:t>其中：本年支出合计543.62万元，结余分配0.00万元，年末结转和结余44.26万元。</w:t>
      </w:r>
    </w:p>
    <w:p w14:paraId="0F3E6FC4">
      <w:pPr>
        <w:spacing w:line="580" w:lineRule="exact"/>
        <w:ind w:firstLine="640"/>
        <w:jc w:val="both"/>
      </w:pPr>
      <w:r>
        <w:rPr>
          <w:rFonts w:ascii="仿宋_GB2312" w:hAnsi="仿宋_GB2312" w:eastAsia="仿宋_GB2312"/>
          <w:b w:val="0"/>
          <w:sz w:val="32"/>
        </w:rPr>
        <w:t>收入支出总体与上年相比，增加64.40万元，增长12.30%，主要原因是：一是2024年度增加林果提质增效采购项目经费；二是本年在职人员工资调增，</w:t>
      </w:r>
      <w:r>
        <w:rPr>
          <w:rFonts w:hint="eastAsia" w:ascii="仿宋_GB2312" w:hAnsi="仿宋_GB2312" w:eastAsia="仿宋_GB2312"/>
          <w:b w:val="0"/>
          <w:sz w:val="32"/>
          <w:lang w:val="en-US" w:eastAsia="zh-CN"/>
        </w:rPr>
        <w:t>导致</w:t>
      </w:r>
      <w:r>
        <w:rPr>
          <w:rFonts w:ascii="仿宋_GB2312" w:hAnsi="仿宋_GB2312" w:eastAsia="仿宋_GB2312"/>
          <w:b w:val="0"/>
          <w:sz w:val="32"/>
        </w:rPr>
        <w:t>社保、公积金基数调增，人员经费增加。</w:t>
      </w:r>
    </w:p>
    <w:p w14:paraId="1856B258">
      <w:pPr>
        <w:spacing w:line="640" w:lineRule="exact"/>
        <w:ind w:firstLine="640"/>
        <w:jc w:val="both"/>
        <w:outlineLvl w:val="2"/>
      </w:pPr>
      <w:r>
        <w:rPr>
          <w:rFonts w:ascii="黑体" w:hAnsi="黑体" w:eastAsia="黑体"/>
          <w:sz w:val="32"/>
        </w:rPr>
        <w:t>二、收入决算情况说明</w:t>
      </w:r>
    </w:p>
    <w:p w14:paraId="3D3E8A68">
      <w:pPr>
        <w:spacing w:line="580" w:lineRule="exact"/>
        <w:ind w:firstLine="640"/>
        <w:jc w:val="both"/>
      </w:pPr>
      <w:r>
        <w:rPr>
          <w:rFonts w:ascii="仿宋_GB2312" w:hAnsi="仿宋_GB2312" w:eastAsia="仿宋_GB2312"/>
          <w:b/>
          <w:sz w:val="32"/>
        </w:rPr>
        <w:t>本年收入577.41万元，</w:t>
      </w:r>
      <w:r>
        <w:rPr>
          <w:rFonts w:ascii="仿宋_GB2312" w:hAnsi="仿宋_GB2312" w:eastAsia="仿宋_GB2312"/>
          <w:b w:val="0"/>
          <w:sz w:val="32"/>
        </w:rPr>
        <w:t>其中：财政拨款收入459.47万元，占79.57%；上级补助收入0.00万元，占0.00%；事业收入0.00万元，占0.00%；经营收入0.00万元，占0.00%；附属单位上缴收入0.00万元，占0.00%；其他收入117.94万元，占20.43%。</w:t>
      </w:r>
    </w:p>
    <w:p w14:paraId="345B6345">
      <w:pPr>
        <w:spacing w:line="640" w:lineRule="exact"/>
        <w:ind w:firstLine="640"/>
        <w:jc w:val="both"/>
        <w:outlineLvl w:val="2"/>
      </w:pPr>
      <w:r>
        <w:rPr>
          <w:rFonts w:ascii="黑体" w:hAnsi="黑体" w:eastAsia="黑体"/>
          <w:sz w:val="32"/>
        </w:rPr>
        <w:t>三、支出决算情况说明</w:t>
      </w:r>
    </w:p>
    <w:p w14:paraId="0514FAE1">
      <w:pPr>
        <w:spacing w:line="580" w:lineRule="exact"/>
        <w:ind w:firstLine="640"/>
        <w:jc w:val="both"/>
      </w:pPr>
      <w:r>
        <w:rPr>
          <w:rFonts w:ascii="仿宋_GB2312" w:hAnsi="仿宋_GB2312" w:eastAsia="仿宋_GB2312"/>
          <w:b/>
          <w:sz w:val="32"/>
        </w:rPr>
        <w:t>本年支出543.62万元，</w:t>
      </w:r>
      <w:r>
        <w:rPr>
          <w:rFonts w:ascii="仿宋_GB2312" w:hAnsi="仿宋_GB2312" w:eastAsia="仿宋_GB2312"/>
          <w:b w:val="0"/>
          <w:sz w:val="32"/>
        </w:rPr>
        <w:t>其中：基本支出401.90万元，占73.93%；项目支出141.71万元，占26.07%；上缴上级支出0.00万元，占0.00%；经营支出0.00万元，占0.00%；对附属单位补助支出0.00万元，占0.00%。</w:t>
      </w:r>
    </w:p>
    <w:p w14:paraId="705FB61C">
      <w:pPr>
        <w:spacing w:line="640" w:lineRule="exact"/>
        <w:ind w:firstLine="640"/>
        <w:jc w:val="both"/>
        <w:outlineLvl w:val="2"/>
      </w:pPr>
      <w:r>
        <w:rPr>
          <w:rFonts w:ascii="黑体" w:hAnsi="黑体" w:eastAsia="黑体"/>
          <w:sz w:val="32"/>
        </w:rPr>
        <w:t>四、财政拨款收入支出决算总体情况说明</w:t>
      </w:r>
    </w:p>
    <w:p w14:paraId="04A2F3BB">
      <w:pPr>
        <w:spacing w:line="580" w:lineRule="exact"/>
        <w:ind w:firstLine="640"/>
        <w:jc w:val="both"/>
      </w:pPr>
      <w:r>
        <w:rPr>
          <w:rFonts w:ascii="仿宋_GB2312" w:hAnsi="仿宋_GB2312" w:eastAsia="仿宋_GB2312"/>
          <w:b/>
          <w:sz w:val="32"/>
        </w:rPr>
        <w:t>2024年度财政拨款收入总计459.47万元，</w:t>
      </w:r>
      <w:r>
        <w:rPr>
          <w:rFonts w:ascii="仿宋_GB2312" w:hAnsi="仿宋_GB2312" w:eastAsia="仿宋_GB2312"/>
          <w:b w:val="0"/>
          <w:sz w:val="32"/>
        </w:rPr>
        <w:t>其中：年初财政拨款结转和结余0.00万元，本年财政拨款收入459.47万元。</w:t>
      </w:r>
      <w:r>
        <w:rPr>
          <w:rFonts w:ascii="仿宋_GB2312" w:hAnsi="仿宋_GB2312" w:eastAsia="仿宋_GB2312"/>
          <w:b/>
          <w:sz w:val="32"/>
        </w:rPr>
        <w:t>财政拨款支出总计459.47万元，</w:t>
      </w:r>
      <w:r>
        <w:rPr>
          <w:rFonts w:ascii="仿宋_GB2312" w:hAnsi="仿宋_GB2312" w:eastAsia="仿宋_GB2312"/>
          <w:b w:val="0"/>
          <w:sz w:val="32"/>
        </w:rPr>
        <w:t>其中：年末财政拨款结转和结余0.00万元，本年财政拨款支出459.47万元。</w:t>
      </w:r>
    </w:p>
    <w:p w14:paraId="2917866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增加66.23万元，增长16.84%，主要原因是：一是2024年度增加林果提质增效采购项目经费；二是本年在职人员工资调增，</w:t>
      </w:r>
      <w:r>
        <w:rPr>
          <w:rFonts w:hint="eastAsia" w:ascii="仿宋_GB2312" w:hAnsi="仿宋_GB2312" w:eastAsia="仿宋_GB2312"/>
          <w:b w:val="0"/>
          <w:sz w:val="32"/>
          <w:lang w:val="en-US" w:eastAsia="zh-CN"/>
        </w:rPr>
        <w:t>导致</w:t>
      </w:r>
      <w:r>
        <w:rPr>
          <w:rFonts w:ascii="仿宋_GB2312" w:hAnsi="仿宋_GB2312" w:eastAsia="仿宋_GB2312"/>
          <w:b w:val="0"/>
          <w:sz w:val="32"/>
        </w:rPr>
        <w:t>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年初预算数447.03万元，决算数459.47万元，预决算差异率2.78%，主要原因是：年中追加2024年度林果提质增效采购项目经费和人员社保、公积金基数调增部分资金，导致预决算存在差异。</w:t>
      </w:r>
    </w:p>
    <w:p w14:paraId="4DC67405">
      <w:pPr>
        <w:spacing w:line="640" w:lineRule="exact"/>
        <w:ind w:firstLine="640"/>
        <w:jc w:val="both"/>
        <w:outlineLvl w:val="2"/>
      </w:pPr>
      <w:r>
        <w:rPr>
          <w:rFonts w:ascii="黑体" w:hAnsi="黑体" w:eastAsia="黑体"/>
          <w:sz w:val="32"/>
        </w:rPr>
        <w:t>五、一般公共预算财政拨款支出决算情况说明</w:t>
      </w:r>
    </w:p>
    <w:p w14:paraId="19851F61">
      <w:pPr>
        <w:spacing w:line="640" w:lineRule="exact"/>
        <w:ind w:firstLine="640"/>
        <w:jc w:val="both"/>
        <w:outlineLvl w:val="3"/>
      </w:pPr>
      <w:r>
        <w:rPr>
          <w:rFonts w:ascii="楷体_GB2312" w:hAnsi="楷体_GB2312" w:eastAsia="楷体_GB2312"/>
          <w:b/>
          <w:sz w:val="32"/>
        </w:rPr>
        <w:t>（一）一般公共预算财政拨款支出决算总体情况</w:t>
      </w:r>
    </w:p>
    <w:p w14:paraId="5251EE5C">
      <w:pPr>
        <w:spacing w:line="580" w:lineRule="exact"/>
        <w:ind w:firstLine="640"/>
        <w:jc w:val="both"/>
      </w:pPr>
      <w:r>
        <w:rPr>
          <w:rFonts w:ascii="仿宋_GB2312" w:hAnsi="仿宋_GB2312" w:eastAsia="仿宋_GB2312"/>
          <w:b/>
          <w:sz w:val="32"/>
        </w:rPr>
        <w:t>2024年度一般公共预算财政拨款支出459.47万元，</w:t>
      </w:r>
      <w:r>
        <w:rPr>
          <w:rFonts w:ascii="仿宋_GB2312" w:hAnsi="仿宋_GB2312" w:eastAsia="仿宋_GB2312"/>
          <w:b w:val="0"/>
          <w:sz w:val="32"/>
        </w:rPr>
        <w:t>占本年支出合计的84.52%。</w:t>
      </w:r>
      <w:r>
        <w:rPr>
          <w:rFonts w:ascii="仿宋_GB2312" w:hAnsi="仿宋_GB2312" w:eastAsia="仿宋_GB2312"/>
          <w:b/>
          <w:sz w:val="32"/>
        </w:rPr>
        <w:t>与上年相比，</w:t>
      </w:r>
      <w:r>
        <w:rPr>
          <w:rFonts w:ascii="仿宋_GB2312" w:hAnsi="仿宋_GB2312" w:eastAsia="仿宋_GB2312"/>
          <w:b w:val="0"/>
          <w:sz w:val="32"/>
        </w:rPr>
        <w:t>增加66.23万元，增长16.84%，主要原因是：一是2024年度增加林果提质增效采购项目经费；二是本年在职人员工资调增，</w:t>
      </w:r>
      <w:r>
        <w:rPr>
          <w:rFonts w:hint="eastAsia" w:ascii="仿宋_GB2312" w:hAnsi="仿宋_GB2312" w:eastAsia="仿宋_GB2312"/>
          <w:b w:val="0"/>
          <w:sz w:val="32"/>
          <w:lang w:val="en-US" w:eastAsia="zh-CN"/>
        </w:rPr>
        <w:t>导致</w:t>
      </w:r>
      <w:r>
        <w:rPr>
          <w:rFonts w:ascii="仿宋_GB2312" w:hAnsi="仿宋_GB2312" w:eastAsia="仿宋_GB2312"/>
          <w:b w:val="0"/>
          <w:sz w:val="32"/>
        </w:rPr>
        <w:t>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年初预算数447.03万元，决算数459.47万元，预决算差异率2.78%，主要原因是：年中追加2024年度林果提质增效采购项目经费和人员社保、公积金基数调增部分资金，导致预决算存在差异。</w:t>
      </w:r>
    </w:p>
    <w:p w14:paraId="7B7C7C31">
      <w:pPr>
        <w:spacing w:line="640" w:lineRule="exact"/>
        <w:ind w:firstLine="640"/>
        <w:jc w:val="both"/>
        <w:outlineLvl w:val="3"/>
      </w:pPr>
      <w:r>
        <w:rPr>
          <w:rFonts w:ascii="楷体_GB2312" w:hAnsi="楷体_GB2312" w:eastAsia="楷体_GB2312"/>
          <w:b/>
          <w:sz w:val="32"/>
        </w:rPr>
        <w:t>（二）一般公共预算财政拨款支出决算结构情况</w:t>
      </w:r>
    </w:p>
    <w:p w14:paraId="3D27A801">
      <w:pPr>
        <w:spacing w:line="580" w:lineRule="exact"/>
        <w:ind w:firstLine="640"/>
        <w:jc w:val="both"/>
      </w:pPr>
      <w:r>
        <w:rPr>
          <w:rFonts w:ascii="仿宋_GB2312" w:hAnsi="仿宋_GB2312" w:eastAsia="仿宋_GB2312"/>
          <w:b w:val="0"/>
          <w:sz w:val="32"/>
        </w:rPr>
        <w:t>1.社会保障和就业支出(类)48.80万元,占10.62%。</w:t>
      </w:r>
    </w:p>
    <w:p w14:paraId="46DFEF64">
      <w:pPr>
        <w:spacing w:line="580" w:lineRule="exact"/>
        <w:ind w:firstLine="640"/>
        <w:jc w:val="both"/>
      </w:pPr>
      <w:r>
        <w:rPr>
          <w:rFonts w:ascii="仿宋_GB2312" w:hAnsi="仿宋_GB2312" w:eastAsia="仿宋_GB2312"/>
          <w:b w:val="0"/>
          <w:sz w:val="32"/>
        </w:rPr>
        <w:t>2.卫生健康支出(类)15.07万元,占3.28%。</w:t>
      </w:r>
    </w:p>
    <w:p w14:paraId="0A21F626">
      <w:pPr>
        <w:spacing w:line="580" w:lineRule="exact"/>
        <w:ind w:firstLine="640"/>
        <w:jc w:val="both"/>
      </w:pPr>
      <w:r>
        <w:rPr>
          <w:rFonts w:ascii="仿宋_GB2312" w:hAnsi="仿宋_GB2312" w:eastAsia="仿宋_GB2312"/>
          <w:b w:val="0"/>
          <w:sz w:val="32"/>
        </w:rPr>
        <w:t>3.农林水支出(类)362.87万元,占78.98%。</w:t>
      </w:r>
    </w:p>
    <w:p w14:paraId="718412E1">
      <w:pPr>
        <w:spacing w:line="580" w:lineRule="exact"/>
        <w:ind w:firstLine="640"/>
        <w:jc w:val="both"/>
      </w:pPr>
      <w:r>
        <w:rPr>
          <w:rFonts w:ascii="仿宋_GB2312" w:hAnsi="仿宋_GB2312" w:eastAsia="仿宋_GB2312"/>
          <w:b w:val="0"/>
          <w:sz w:val="32"/>
        </w:rPr>
        <w:t>4.住房保障支出(类)32.73万元,占7.12%。</w:t>
      </w:r>
    </w:p>
    <w:p w14:paraId="7DD29E8D">
      <w:pPr>
        <w:spacing w:line="640" w:lineRule="exact"/>
        <w:ind w:firstLine="640"/>
        <w:jc w:val="both"/>
        <w:outlineLvl w:val="3"/>
      </w:pPr>
      <w:r>
        <w:rPr>
          <w:rFonts w:ascii="楷体_GB2312" w:hAnsi="楷体_GB2312" w:eastAsia="楷体_GB2312"/>
          <w:b/>
          <w:sz w:val="32"/>
        </w:rPr>
        <w:t>（三）一般公共预算财政拨款支出决算具体情况</w:t>
      </w:r>
    </w:p>
    <w:p w14:paraId="4FF2593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1.社会保障和就业支出(类)行政事业单位养老支出(款)事业单位离退休(项):支出决算数为6.48万元，比上年决算增加1.05万元，增长19.34%,主要原因是：本年增加退休人员基础绩效奖，退休费支出增加。</w:t>
      </w:r>
    </w:p>
    <w:p w14:paraId="245196B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42.32万元，比上年决算增加6.18万元，增长17.10%,主要原因是：本年在职人员工资基数调增，养老缴费基数上涨，相应支出增加。</w:t>
      </w:r>
    </w:p>
    <w:p w14:paraId="39610318">
      <w:pPr>
        <w:spacing w:line="580" w:lineRule="exact"/>
        <w:ind w:firstLine="640"/>
        <w:jc w:val="both"/>
      </w:pPr>
      <w:r>
        <w:rPr>
          <w:rFonts w:ascii="仿宋_GB2312" w:hAnsi="仿宋_GB2312" w:eastAsia="仿宋_GB2312"/>
          <w:b w:val="0"/>
          <w:sz w:val="32"/>
        </w:rPr>
        <w:t>3.卫生健康支出(类)行政事业单位医疗(款)事业单位医疗(项):支出决算数为15.07万元，比上年决算增加2.15万元，增长16.64%,主要原因是：本年在职人员工资基数调增，医疗缴费基数上涨，相应支出增加。</w:t>
      </w:r>
    </w:p>
    <w:p w14:paraId="26B20778">
      <w:pPr>
        <w:spacing w:line="580" w:lineRule="exact"/>
        <w:ind w:firstLine="640"/>
        <w:jc w:val="both"/>
      </w:pPr>
      <w:r>
        <w:rPr>
          <w:rFonts w:ascii="仿宋_GB2312" w:hAnsi="仿宋_GB2312" w:eastAsia="仿宋_GB2312"/>
          <w:b w:val="0"/>
          <w:sz w:val="32"/>
        </w:rPr>
        <w:t>4.农林水支出(类)林业和草原(款)事业机构(项):支出决算数为305.19万元，比上年决算减少4.32万元，下降1.40%,主要原因是：本年较上年减少在职人员奖金</w:t>
      </w:r>
      <w:r>
        <w:rPr>
          <w:rFonts w:hint="eastAsia" w:ascii="仿宋_GB2312" w:hAnsi="仿宋_GB2312" w:eastAsia="仿宋_GB2312"/>
          <w:b w:val="0"/>
          <w:sz w:val="32"/>
          <w:lang w:val="en-US" w:eastAsia="zh-CN"/>
        </w:rPr>
        <w:t>支出</w:t>
      </w:r>
      <w:r>
        <w:rPr>
          <w:rFonts w:ascii="仿宋_GB2312" w:hAnsi="仿宋_GB2312" w:eastAsia="仿宋_GB2312"/>
          <w:b w:val="0"/>
          <w:sz w:val="32"/>
        </w:rPr>
        <w:t>。</w:t>
      </w:r>
    </w:p>
    <w:p w14:paraId="4BFE92C0">
      <w:pPr>
        <w:spacing w:line="580" w:lineRule="exact"/>
        <w:ind w:firstLine="640"/>
        <w:jc w:val="both"/>
      </w:pPr>
      <w:r>
        <w:rPr>
          <w:rFonts w:ascii="仿宋_GB2312" w:hAnsi="仿宋_GB2312" w:eastAsia="仿宋_GB2312"/>
          <w:b w:val="0"/>
          <w:sz w:val="32"/>
        </w:rPr>
        <w:t>5.农林水支出(类)林业和草原(款)其他林业和草原支出(项):支出决算数为57.69万元，比上年决算增加57.69万元，增长100.00%,主要原因是：2024年度增加林果提质增效采购项目经费。</w:t>
      </w:r>
    </w:p>
    <w:p w14:paraId="2DAF83F0">
      <w:pPr>
        <w:spacing w:line="580" w:lineRule="exact"/>
        <w:ind w:firstLine="640"/>
        <w:jc w:val="both"/>
      </w:pPr>
      <w:r>
        <w:rPr>
          <w:rFonts w:ascii="仿宋_GB2312" w:hAnsi="仿宋_GB2312" w:eastAsia="仿宋_GB2312"/>
          <w:b w:val="0"/>
          <w:sz w:val="32"/>
        </w:rPr>
        <w:t>6.住房保障支出(类)住房改革支出(款)住房公积金(项):支出决算数为32.73万元，比上年决算增加3.49万元，增长11.94%,主要原因是：本年在职人员工资基数调增，公积金缴费基数上涨，相应支出增加。</w:t>
      </w:r>
    </w:p>
    <w:p w14:paraId="62EF3B5A">
      <w:pPr>
        <w:spacing w:line="640" w:lineRule="exact"/>
        <w:ind w:firstLine="640"/>
        <w:jc w:val="both"/>
        <w:outlineLvl w:val="2"/>
      </w:pPr>
      <w:r>
        <w:rPr>
          <w:rFonts w:ascii="黑体" w:hAnsi="黑体" w:eastAsia="黑体"/>
          <w:sz w:val="32"/>
        </w:rPr>
        <w:t>六、一般公共预算财政拨款基本支出决算情况说明</w:t>
      </w:r>
    </w:p>
    <w:p w14:paraId="7B7F8D26">
      <w:pPr>
        <w:spacing w:line="580" w:lineRule="exact"/>
        <w:ind w:firstLine="640"/>
        <w:jc w:val="both"/>
      </w:pPr>
      <w:r>
        <w:rPr>
          <w:rFonts w:ascii="仿宋_GB2312" w:hAnsi="仿宋_GB2312" w:eastAsia="仿宋_GB2312"/>
          <w:b w:val="0"/>
          <w:sz w:val="32"/>
        </w:rPr>
        <w:t>2024年度一般公共预算财政拨款基本支出401.78万元，其中：</w:t>
      </w:r>
      <w:r>
        <w:rPr>
          <w:rFonts w:ascii="仿宋_GB2312" w:hAnsi="仿宋_GB2312" w:eastAsia="仿宋_GB2312"/>
          <w:b/>
          <w:sz w:val="32"/>
        </w:rPr>
        <w:t>人员经费397.91万元，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36BCADC4">
      <w:pPr>
        <w:spacing w:line="580" w:lineRule="exact"/>
        <w:ind w:firstLine="640"/>
        <w:jc w:val="both"/>
      </w:pPr>
      <w:r>
        <w:rPr>
          <w:rFonts w:ascii="仿宋_GB2312" w:hAnsi="仿宋_GB2312" w:eastAsia="仿宋_GB2312"/>
          <w:b/>
          <w:sz w:val="32"/>
        </w:rPr>
        <w:t>公用经费3.87万元，</w:t>
      </w:r>
      <w:r>
        <w:rPr>
          <w:rFonts w:ascii="仿宋_GB2312" w:hAnsi="仿宋_GB2312" w:eastAsia="仿宋_GB2312"/>
          <w:b w:val="0"/>
          <w:sz w:val="32"/>
        </w:rPr>
        <w:t>包括：办公费、委托业务费。</w:t>
      </w:r>
    </w:p>
    <w:p w14:paraId="5E69B97B">
      <w:pPr>
        <w:spacing w:line="640" w:lineRule="exact"/>
        <w:ind w:firstLine="640"/>
        <w:jc w:val="both"/>
        <w:outlineLvl w:val="2"/>
      </w:pPr>
      <w:r>
        <w:rPr>
          <w:rFonts w:ascii="黑体" w:hAnsi="黑体" w:eastAsia="黑体"/>
          <w:sz w:val="32"/>
        </w:rPr>
        <w:t>七、政府性基金预算财政拨款收入支出决算情况说明</w:t>
      </w:r>
    </w:p>
    <w:p w14:paraId="2360AAE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8281FB1">
      <w:pPr>
        <w:spacing w:line="640" w:lineRule="exact"/>
        <w:ind w:firstLine="640"/>
        <w:jc w:val="both"/>
        <w:outlineLvl w:val="2"/>
      </w:pPr>
      <w:r>
        <w:rPr>
          <w:rFonts w:ascii="黑体" w:hAnsi="黑体" w:eastAsia="黑体"/>
          <w:sz w:val="32"/>
        </w:rPr>
        <w:t>八、国有资本经营预算财政拨款收入支出决算情况说明</w:t>
      </w:r>
    </w:p>
    <w:p w14:paraId="70D28E9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D025064">
      <w:pPr>
        <w:spacing w:line="640" w:lineRule="exact"/>
        <w:ind w:firstLine="640"/>
        <w:jc w:val="both"/>
        <w:outlineLvl w:val="2"/>
      </w:pPr>
      <w:r>
        <w:rPr>
          <w:rFonts w:ascii="黑体" w:hAnsi="黑体" w:eastAsia="黑体"/>
          <w:sz w:val="32"/>
        </w:rPr>
        <w:t>九、财政拨款“三公”经费支出决算情况说明</w:t>
      </w:r>
    </w:p>
    <w:p w14:paraId="02DB6F0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5F984DB">
      <w:pPr>
        <w:spacing w:line="580" w:lineRule="exact"/>
        <w:ind w:firstLine="640"/>
        <w:jc w:val="both"/>
      </w:pPr>
      <w:r>
        <w:rPr>
          <w:rFonts w:ascii="仿宋_GB2312" w:hAnsi="仿宋_GB2312" w:eastAsia="仿宋_GB2312"/>
          <w:b/>
          <w:sz w:val="32"/>
        </w:rPr>
        <w:t>具体情况如下：</w:t>
      </w:r>
    </w:p>
    <w:p w14:paraId="0EC67AF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6AEB8A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0531E6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B393A4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198DFD7">
      <w:pPr>
        <w:spacing w:line="640" w:lineRule="exact"/>
        <w:ind w:firstLine="640"/>
        <w:jc w:val="both"/>
        <w:outlineLvl w:val="2"/>
      </w:pPr>
      <w:r>
        <w:rPr>
          <w:rFonts w:ascii="黑体" w:hAnsi="黑体" w:eastAsia="黑体"/>
          <w:sz w:val="32"/>
        </w:rPr>
        <w:t>十、其他重要事项的情况说明</w:t>
      </w:r>
    </w:p>
    <w:p w14:paraId="58091E04">
      <w:pPr>
        <w:spacing w:line="640" w:lineRule="exact"/>
        <w:ind w:firstLine="640"/>
        <w:jc w:val="both"/>
        <w:outlineLvl w:val="3"/>
      </w:pPr>
      <w:r>
        <w:rPr>
          <w:rFonts w:ascii="楷体_GB2312" w:hAnsi="楷体_GB2312" w:eastAsia="楷体_GB2312"/>
          <w:b/>
          <w:sz w:val="32"/>
        </w:rPr>
        <w:t>（一）机关运行经费及公用经费支出情况</w:t>
      </w:r>
    </w:p>
    <w:p w14:paraId="7ABA1C2A">
      <w:pPr>
        <w:spacing w:line="580" w:lineRule="exact"/>
        <w:ind w:firstLine="640"/>
        <w:jc w:val="both"/>
      </w:pPr>
      <w:r>
        <w:rPr>
          <w:rFonts w:ascii="仿宋_GB2312" w:hAnsi="仿宋_GB2312" w:eastAsia="仿宋_GB2312"/>
          <w:b w:val="0"/>
          <w:sz w:val="32"/>
        </w:rPr>
        <w:t>2024年度阿克陶县林果业技术推广管理站（事业单位）公用经费支出3.87万元，比上年增加2.09万元，增长117.42%，主要原因是：本年更新、维护补充办公用品，公用经费较上年增加。</w:t>
      </w:r>
    </w:p>
    <w:p w14:paraId="492F93BB">
      <w:pPr>
        <w:spacing w:line="640" w:lineRule="exact"/>
        <w:ind w:firstLine="640"/>
        <w:jc w:val="both"/>
        <w:outlineLvl w:val="3"/>
      </w:pPr>
      <w:r>
        <w:rPr>
          <w:rFonts w:ascii="楷体_GB2312" w:hAnsi="楷体_GB2312" w:eastAsia="楷体_GB2312"/>
          <w:b/>
          <w:sz w:val="32"/>
        </w:rPr>
        <w:t>（二）政府采购情况</w:t>
      </w:r>
    </w:p>
    <w:p w14:paraId="227C3F84">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9BB8C65">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3EC7EA1">
      <w:pPr>
        <w:spacing w:line="640" w:lineRule="exact"/>
        <w:ind w:firstLine="640"/>
        <w:jc w:val="both"/>
        <w:outlineLvl w:val="3"/>
      </w:pPr>
      <w:r>
        <w:rPr>
          <w:rFonts w:ascii="楷体_GB2312" w:hAnsi="楷体_GB2312" w:eastAsia="楷体_GB2312"/>
          <w:b/>
          <w:sz w:val="32"/>
        </w:rPr>
        <w:t>（三）国有资产占用情况说明</w:t>
      </w:r>
    </w:p>
    <w:p w14:paraId="04B27864">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5798E71">
      <w:pPr>
        <w:spacing w:line="640" w:lineRule="exact"/>
        <w:ind w:firstLine="640"/>
        <w:jc w:val="both"/>
        <w:outlineLvl w:val="2"/>
      </w:pPr>
      <w:r>
        <w:rPr>
          <w:rFonts w:ascii="黑体" w:hAnsi="黑体" w:eastAsia="黑体"/>
          <w:sz w:val="32"/>
        </w:rPr>
        <w:t>十一、预算绩效的情况说明</w:t>
      </w:r>
    </w:p>
    <w:p w14:paraId="43F6074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587.88万元，实际执行总额543.62万元；预算绩效评价项目1个，全年预算数40.00万元，全年执行数32.92万元。预算绩效管理取得的成效：一是绩效管理融入预算编制、执行、监督全过程，更有利于强化绩效目标的管理，加强监控结果的应用，对本单位对财务工作的进一步监督提供有效数据支撑；二是绩效结果的运用较大程度</w:t>
      </w:r>
      <w:r>
        <w:rPr>
          <w:rFonts w:hint="eastAsia" w:ascii="仿宋_GB2312" w:hAnsi="仿宋_GB2312" w:eastAsia="仿宋_GB2312"/>
          <w:b w:val="0"/>
          <w:sz w:val="32"/>
          <w:lang w:eastAsia="zh-CN"/>
        </w:rPr>
        <w:t>地</w:t>
      </w:r>
      <w:r>
        <w:rPr>
          <w:rFonts w:ascii="仿宋_GB2312" w:hAnsi="仿宋_GB2312" w:eastAsia="仿宋_GB2312"/>
          <w:b w:val="0"/>
          <w:sz w:val="32"/>
        </w:rPr>
        <w:t>推进完善政策制度、加强资金利用、增强各环节工作透明度等方面的工作，对本单位财务工作的管控提供有力抓手。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w:t>
      </w:r>
      <w:r>
        <w:rPr>
          <w:rFonts w:hint="eastAsia" w:ascii="仿宋_GB2312" w:hAnsi="仿宋_GB2312" w:eastAsia="仿宋_GB2312"/>
          <w:b w:val="0"/>
          <w:sz w:val="32"/>
          <w:lang w:eastAsia="zh-CN"/>
        </w:rPr>
        <w:t>财务</w:t>
      </w:r>
      <w:r>
        <w:rPr>
          <w:rFonts w:ascii="仿宋_GB2312" w:hAnsi="仿宋_GB2312" w:eastAsia="仿宋_GB2312"/>
          <w:b w:val="0"/>
          <w:sz w:val="32"/>
        </w:rPr>
        <w:t>会计核算要更加详细，为本单位各项工作的开展、总结、评估提供有效数据资料支撑,为各项业务工作</w:t>
      </w:r>
      <w:r>
        <w:rPr>
          <w:rFonts w:hint="eastAsia" w:ascii="仿宋_GB2312" w:hAnsi="仿宋_GB2312" w:eastAsia="仿宋_GB2312"/>
          <w:b w:val="0"/>
          <w:sz w:val="32"/>
          <w:lang w:eastAsia="zh-CN"/>
        </w:rPr>
        <w:t>更好地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75E78B5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7EA7336">
        <w:tblPrEx>
          <w:tblCellMar>
            <w:top w:w="0" w:type="dxa"/>
            <w:left w:w="108" w:type="dxa"/>
            <w:bottom w:w="0" w:type="dxa"/>
            <w:right w:w="108" w:type="dxa"/>
          </w:tblCellMar>
        </w:tblPrEx>
        <w:tc>
          <w:tcPr>
            <w:tcW w:w="8840" w:type="dxa"/>
            <w:gridSpan w:val="8"/>
            <w:vAlign w:val="center"/>
          </w:tcPr>
          <w:p w14:paraId="09D4C1CD">
            <w:pPr>
              <w:jc w:val="center"/>
            </w:pPr>
            <w:r>
              <w:rPr>
                <w:rFonts w:ascii="宋体" w:hAnsi="宋体" w:eastAsia="宋体"/>
                <w:sz w:val="24"/>
              </w:rPr>
              <w:t>单位整体支出绩效自评表</w:t>
            </w:r>
          </w:p>
        </w:tc>
      </w:tr>
      <w:tr w14:paraId="725ECB17">
        <w:tblPrEx>
          <w:tblCellMar>
            <w:top w:w="0" w:type="dxa"/>
            <w:left w:w="108" w:type="dxa"/>
            <w:bottom w:w="0" w:type="dxa"/>
            <w:right w:w="108" w:type="dxa"/>
          </w:tblCellMar>
        </w:tblPrEx>
        <w:tc>
          <w:tcPr>
            <w:tcW w:w="8840" w:type="dxa"/>
            <w:gridSpan w:val="8"/>
            <w:vAlign w:val="center"/>
          </w:tcPr>
          <w:p w14:paraId="1DC8D2DD">
            <w:pPr>
              <w:jc w:val="center"/>
            </w:pPr>
            <w:r>
              <w:rPr>
                <w:rFonts w:ascii="宋体" w:hAnsi="宋体" w:eastAsia="宋体"/>
                <w:sz w:val="24"/>
              </w:rPr>
              <w:t>（2024年度）</w:t>
            </w:r>
          </w:p>
        </w:tc>
      </w:tr>
      <w:tr w14:paraId="3CE2C08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BFD4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5E65D8">
            <w:pPr>
              <w:jc w:val="center"/>
            </w:pPr>
            <w:r>
              <w:rPr>
                <w:rFonts w:ascii="宋体" w:hAnsi="宋体" w:eastAsia="宋体"/>
                <w:sz w:val="16"/>
              </w:rPr>
              <w:t>阿克陶县林果业技术推广管理站</w:t>
            </w:r>
          </w:p>
        </w:tc>
      </w:tr>
      <w:tr w14:paraId="4E7C1F7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C7BCA">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A268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119C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BABA5">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1A594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00A3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40B8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47743">
            <w:pPr>
              <w:jc w:val="center"/>
            </w:pPr>
            <w:r>
              <w:rPr>
                <w:rFonts w:ascii="宋体" w:hAnsi="宋体" w:eastAsia="宋体"/>
                <w:sz w:val="16"/>
              </w:rPr>
              <w:t>得分</w:t>
            </w:r>
          </w:p>
        </w:tc>
      </w:tr>
      <w:tr w14:paraId="275810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48BC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33449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41C94C">
            <w:pPr>
              <w:jc w:val="center"/>
            </w:pPr>
            <w:r>
              <w:rPr>
                <w:rFonts w:ascii="宋体" w:hAnsi="宋体" w:eastAsia="宋体"/>
                <w:sz w:val="16"/>
              </w:rPr>
              <w:t>445.53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6438E">
            <w:pPr>
              <w:jc w:val="center"/>
            </w:pPr>
            <w:r>
              <w:rPr>
                <w:rFonts w:ascii="宋体" w:hAnsi="宋体" w:eastAsia="宋体"/>
                <w:sz w:val="16"/>
              </w:rPr>
              <w:t>587.88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7FB44">
            <w:pPr>
              <w:jc w:val="center"/>
            </w:pPr>
            <w:r>
              <w:rPr>
                <w:rFonts w:ascii="宋体" w:hAnsi="宋体" w:eastAsia="宋体"/>
                <w:sz w:val="16"/>
              </w:rPr>
              <w:t>543.62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B46C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1A0379">
            <w:pPr>
              <w:jc w:val="center"/>
            </w:pPr>
            <w:r>
              <w:rPr>
                <w:rFonts w:ascii="宋体" w:hAnsi="宋体" w:eastAsia="宋体"/>
                <w:sz w:val="16"/>
              </w:rPr>
              <w:t>92.47%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C3DB1">
            <w:pPr>
              <w:jc w:val="center"/>
            </w:pPr>
            <w:r>
              <w:rPr>
                <w:rFonts w:ascii="宋体" w:hAnsi="宋体" w:eastAsia="宋体"/>
                <w:sz w:val="16"/>
              </w:rPr>
              <w:t>9.25</w:t>
            </w:r>
          </w:p>
        </w:tc>
      </w:tr>
      <w:tr w14:paraId="6C909D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7093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486F2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DB89E">
            <w:pPr>
              <w:jc w:val="center"/>
            </w:pPr>
            <w:r>
              <w:rPr>
                <w:rFonts w:ascii="宋体" w:hAnsi="宋体" w:eastAsia="宋体"/>
                <w:sz w:val="16"/>
              </w:rPr>
              <w:t>40.00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9D643">
            <w:pPr>
              <w:jc w:val="center"/>
            </w:pPr>
            <w:r>
              <w:rPr>
                <w:rFonts w:ascii="宋体" w:hAnsi="宋体" w:eastAsia="宋体"/>
                <w:sz w:val="16"/>
              </w:rPr>
              <w:t>40.00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67CA6">
            <w:pPr>
              <w:jc w:val="center"/>
            </w:pPr>
            <w:r>
              <w:rPr>
                <w:rFonts w:ascii="宋体" w:hAnsi="宋体" w:eastAsia="宋体"/>
                <w:sz w:val="16"/>
              </w:rPr>
              <w:t>40.00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AA4E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B152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68FEE">
            <w:pPr>
              <w:jc w:val="center"/>
            </w:pPr>
            <w:r>
              <w:rPr>
                <w:rFonts w:ascii="宋体" w:hAnsi="宋体" w:eastAsia="宋体"/>
                <w:sz w:val="16"/>
              </w:rPr>
              <w:t>—</w:t>
            </w:r>
          </w:p>
        </w:tc>
      </w:tr>
      <w:tr w14:paraId="20EECE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FC77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19BD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0F8A3">
            <w:pPr>
              <w:jc w:val="center"/>
            </w:pPr>
            <w:r>
              <w:rPr>
                <w:rFonts w:ascii="宋体" w:hAnsi="宋体" w:eastAsia="宋体"/>
                <w:sz w:val="16"/>
              </w:rPr>
              <w:t>405.53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6B537">
            <w:pPr>
              <w:jc w:val="center"/>
            </w:pPr>
            <w:r>
              <w:rPr>
                <w:rFonts w:ascii="宋体" w:hAnsi="宋体" w:eastAsia="宋体"/>
                <w:sz w:val="16"/>
              </w:rPr>
              <w:t>547.88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101A5">
            <w:pPr>
              <w:jc w:val="center"/>
            </w:pPr>
            <w:r>
              <w:rPr>
                <w:rFonts w:ascii="宋体" w:hAnsi="宋体" w:eastAsia="宋体"/>
                <w:sz w:val="16"/>
              </w:rPr>
              <w:t>503.62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829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529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34689">
            <w:pPr>
              <w:jc w:val="center"/>
            </w:pPr>
            <w:r>
              <w:rPr>
                <w:rFonts w:ascii="宋体" w:hAnsi="宋体" w:eastAsia="宋体"/>
                <w:sz w:val="16"/>
              </w:rPr>
              <w:t>—</w:t>
            </w:r>
          </w:p>
        </w:tc>
      </w:tr>
      <w:tr w14:paraId="7C7942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BB7A8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F6F4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4859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2C27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83B9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08E8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A60C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D6B9B">
            <w:pPr>
              <w:jc w:val="center"/>
            </w:pPr>
            <w:r>
              <w:rPr>
                <w:rFonts w:ascii="宋体" w:hAnsi="宋体" w:eastAsia="宋体"/>
                <w:sz w:val="16"/>
              </w:rPr>
              <w:t>—</w:t>
            </w:r>
          </w:p>
        </w:tc>
      </w:tr>
      <w:tr w14:paraId="3759D87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097B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4CD7F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2B55E4">
            <w:pPr>
              <w:jc w:val="center"/>
            </w:pPr>
            <w:r>
              <w:rPr>
                <w:rFonts w:ascii="宋体" w:hAnsi="宋体" w:eastAsia="宋体"/>
                <w:sz w:val="16"/>
              </w:rPr>
              <w:t>实际完成情况</w:t>
            </w:r>
          </w:p>
        </w:tc>
      </w:tr>
      <w:tr w14:paraId="7D9D72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1ACA5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1FDE54">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CB3379">
            <w:pPr>
              <w:jc w:val="both"/>
            </w:pPr>
            <w:r>
              <w:rPr>
                <w:rFonts w:ascii="宋体" w:hAnsi="宋体" w:eastAsia="宋体"/>
                <w:sz w:val="16"/>
              </w:rPr>
              <w:t>确保在职人员18人的工资、津贴、补贴、社保、医保、公积金等以及离退休人员的工资、医疗费，长期临聘人员生活补助等人员保障性经费能够依规、按时、足额发放或缴纳，提升部门人员工作积极性和服务质量；林果业提质增效培训200次，林果业提质增效培训10000人；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w:t>
            </w:r>
            <w:r>
              <w:rPr>
                <w:rFonts w:hint="eastAsia" w:ascii="宋体" w:hAnsi="宋体"/>
                <w:sz w:val="16"/>
                <w:lang w:eastAsia="zh-CN"/>
              </w:rPr>
              <w:t>，</w:t>
            </w:r>
            <w:r>
              <w:rPr>
                <w:rFonts w:ascii="宋体" w:hAnsi="宋体" w:eastAsia="宋体"/>
                <w:sz w:val="16"/>
              </w:rPr>
              <w:t>部门高度重视，进行全面、真实、准确</w:t>
            </w:r>
            <w:r>
              <w:rPr>
                <w:rFonts w:hint="eastAsia" w:ascii="宋体" w:hAnsi="宋体"/>
                <w:sz w:val="16"/>
                <w:lang w:eastAsia="zh-CN"/>
              </w:rPr>
              <w:t>地</w:t>
            </w:r>
            <w:r>
              <w:rPr>
                <w:rFonts w:ascii="宋体" w:hAnsi="宋体" w:eastAsia="宋体"/>
                <w:sz w:val="16"/>
              </w:rPr>
              <w:t>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2964142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94C0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A443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6838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FC4B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160E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4AAD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030B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7AFEB">
            <w:pPr>
              <w:jc w:val="center"/>
            </w:pPr>
            <w:r>
              <w:rPr>
                <w:rFonts w:ascii="宋体" w:hAnsi="宋体" w:eastAsia="宋体"/>
                <w:sz w:val="16"/>
              </w:rPr>
              <w:t>得分</w:t>
            </w:r>
          </w:p>
        </w:tc>
      </w:tr>
      <w:tr w14:paraId="0A16F88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0590E">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1A60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2A087">
            <w:pPr>
              <w:jc w:val="center"/>
              <w:rPr>
                <w:rFonts w:hint="eastAsia" w:eastAsia="宋体"/>
                <w:lang w:eastAsia="zh-CN"/>
              </w:rPr>
            </w:pPr>
            <w:r>
              <w:rPr>
                <w:rFonts w:ascii="宋体" w:hAnsi="宋体" w:eastAsia="宋体"/>
                <w:sz w:val="16"/>
              </w:rPr>
              <w:t>人员工资福利支出预算保障在职人员人数（人</w:t>
            </w:r>
            <w:r>
              <w:rPr>
                <w:rFonts w:hint="eastAsia" w:ascii="宋体" w:hAnsi="宋体"/>
                <w:sz w:val="16"/>
                <w:lang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77B2F">
            <w:pPr>
              <w:jc w:val="center"/>
            </w:pPr>
            <w:r>
              <w:rPr>
                <w:rFonts w:ascii="宋体" w:hAnsi="宋体" w:eastAsia="宋体"/>
                <w:sz w:val="16"/>
              </w:rPr>
              <w:t>&gt;=18人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AA180">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334A8">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84BFE">
            <w:pPr>
              <w:jc w:val="center"/>
            </w:pPr>
            <w:r>
              <w:rPr>
                <w:rFonts w:ascii="宋体" w:hAnsi="宋体" w:eastAsia="宋体"/>
                <w:sz w:val="16"/>
              </w:rPr>
              <w:t>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11302">
            <w:pPr>
              <w:jc w:val="center"/>
            </w:pPr>
            <w:r>
              <w:rPr>
                <w:rFonts w:ascii="宋体" w:hAnsi="宋体" w:eastAsia="宋体"/>
                <w:sz w:val="16"/>
              </w:rPr>
              <w:t>6</w:t>
            </w:r>
          </w:p>
        </w:tc>
      </w:tr>
      <w:tr w14:paraId="51F485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6C15E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F43E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62F4D">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F209C">
            <w:pPr>
              <w:jc w:val="center"/>
            </w:pPr>
            <w:r>
              <w:rPr>
                <w:rFonts w:ascii="宋体" w:hAnsi="宋体" w:eastAsia="宋体"/>
                <w:sz w:val="16"/>
              </w:rPr>
              <w:t>&lt;=395.64万元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6921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5428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5DAFD">
            <w:pPr>
              <w:jc w:val="center"/>
            </w:pPr>
            <w:r>
              <w:rPr>
                <w:rFonts w:ascii="宋体" w:hAnsi="宋体" w:eastAsia="宋体"/>
                <w:sz w:val="16"/>
              </w:rPr>
              <w:t>397.91万元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62D90">
            <w:pPr>
              <w:jc w:val="center"/>
            </w:pPr>
            <w:r>
              <w:rPr>
                <w:rFonts w:ascii="宋体" w:hAnsi="宋体" w:eastAsia="宋体"/>
                <w:sz w:val="16"/>
              </w:rPr>
              <w:t>9.94</w:t>
            </w:r>
          </w:p>
        </w:tc>
      </w:tr>
      <w:tr w14:paraId="2586B2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ADE9F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E44A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CE700">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54F88">
            <w:pPr>
              <w:jc w:val="center"/>
            </w:pPr>
            <w:r>
              <w:rPr>
                <w:rFonts w:ascii="宋体" w:hAnsi="宋体" w:eastAsia="宋体"/>
                <w:sz w:val="16"/>
              </w:rPr>
              <w:t>&lt;=9.87万元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EAC7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CB38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F6296">
            <w:pPr>
              <w:jc w:val="center"/>
            </w:pPr>
            <w:r>
              <w:rPr>
                <w:rFonts w:ascii="宋体" w:hAnsi="宋体" w:eastAsia="宋体"/>
                <w:sz w:val="16"/>
              </w:rPr>
              <w:t>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DB2B2">
            <w:pPr>
              <w:jc w:val="center"/>
            </w:pPr>
            <w:r>
              <w:rPr>
                <w:rFonts w:ascii="宋体" w:hAnsi="宋体" w:eastAsia="宋体"/>
                <w:sz w:val="16"/>
              </w:rPr>
              <w:t>4.05</w:t>
            </w:r>
          </w:p>
        </w:tc>
      </w:tr>
      <w:tr w14:paraId="51C3F1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ECA22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455F3">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49455">
            <w:pPr>
              <w:jc w:val="center"/>
            </w:pPr>
            <w:r>
              <w:rPr>
                <w:rFonts w:ascii="宋体" w:hAnsi="宋体" w:eastAsia="宋体"/>
                <w:sz w:val="16"/>
              </w:rPr>
              <w:t>项目支出控制数（万元）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AA7D8">
            <w:pPr>
              <w:jc w:val="center"/>
            </w:pPr>
            <w:r>
              <w:rPr>
                <w:rFonts w:ascii="宋体" w:hAnsi="宋体" w:eastAsia="宋体"/>
                <w:sz w:val="16"/>
              </w:rPr>
              <w:t>&lt;=40万元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6003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05F0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910EE">
            <w:pPr>
              <w:jc w:val="center"/>
            </w:pPr>
            <w:r>
              <w:rPr>
                <w:rFonts w:ascii="宋体" w:hAnsi="宋体" w:eastAsia="宋体"/>
                <w:sz w:val="16"/>
              </w:rPr>
              <w:t>141.71万元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31A78">
            <w:pPr>
              <w:jc w:val="center"/>
            </w:pPr>
            <w:r>
              <w:rPr>
                <w:rFonts w:ascii="宋体" w:hAnsi="宋体" w:eastAsia="宋体"/>
                <w:sz w:val="16"/>
              </w:rPr>
              <w:t>0</w:t>
            </w:r>
          </w:p>
        </w:tc>
      </w:tr>
      <w:tr w14:paraId="7AAB03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7330E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63D87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47D70">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F5B1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663A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F4482">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18FC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8D439">
            <w:pPr>
              <w:jc w:val="center"/>
            </w:pPr>
            <w:r>
              <w:rPr>
                <w:rFonts w:ascii="宋体" w:hAnsi="宋体" w:eastAsia="宋体"/>
                <w:sz w:val="16"/>
              </w:rPr>
              <w:t>7</w:t>
            </w:r>
          </w:p>
        </w:tc>
      </w:tr>
      <w:tr w14:paraId="08D8720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5DF55">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E601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0669E">
            <w:pPr>
              <w:jc w:val="center"/>
            </w:pPr>
            <w:r>
              <w:rPr>
                <w:rFonts w:ascii="宋体" w:hAnsi="宋体" w:eastAsia="宋体"/>
                <w:sz w:val="16"/>
              </w:rPr>
              <w:t>林果种植技术推广覆盖率（%）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6D6D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2E7F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33F9F">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9F82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359AC">
            <w:pPr>
              <w:jc w:val="center"/>
            </w:pPr>
            <w:r>
              <w:rPr>
                <w:rFonts w:ascii="宋体" w:hAnsi="宋体" w:eastAsia="宋体"/>
                <w:sz w:val="16"/>
              </w:rPr>
              <w:t>8</w:t>
            </w:r>
          </w:p>
        </w:tc>
      </w:tr>
      <w:tr w14:paraId="5DE332C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1472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89FB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57329">
            <w:pPr>
              <w:jc w:val="center"/>
            </w:pPr>
            <w:r>
              <w:rPr>
                <w:rFonts w:ascii="宋体" w:hAnsi="宋体" w:eastAsia="宋体"/>
                <w:sz w:val="16"/>
              </w:rPr>
              <w:t>林果业提质增效培训次数（次）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05328">
            <w:pPr>
              <w:jc w:val="center"/>
            </w:pPr>
            <w:r>
              <w:rPr>
                <w:rFonts w:ascii="宋体" w:hAnsi="宋体" w:eastAsia="宋体"/>
                <w:sz w:val="16"/>
              </w:rPr>
              <w:t>&gt;=200次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2312B">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D503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B2344">
            <w:pPr>
              <w:jc w:val="center"/>
            </w:pPr>
            <w:r>
              <w:rPr>
                <w:rFonts w:ascii="宋体" w:hAnsi="宋体" w:eastAsia="宋体"/>
                <w:sz w:val="16"/>
              </w:rPr>
              <w:t>200次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3EED8">
            <w:pPr>
              <w:jc w:val="center"/>
            </w:pPr>
            <w:r>
              <w:rPr>
                <w:rFonts w:ascii="宋体" w:hAnsi="宋体" w:eastAsia="宋体"/>
                <w:sz w:val="16"/>
              </w:rPr>
              <w:t>10</w:t>
            </w:r>
          </w:p>
        </w:tc>
      </w:tr>
      <w:tr w14:paraId="0BE69F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66EC5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93E0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E01C3">
            <w:pPr>
              <w:jc w:val="center"/>
            </w:pPr>
            <w:r>
              <w:rPr>
                <w:rFonts w:ascii="宋体" w:hAnsi="宋体" w:eastAsia="宋体"/>
                <w:sz w:val="16"/>
              </w:rPr>
              <w:t>林果业提质增效培训人数（人）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85FC1">
            <w:pPr>
              <w:jc w:val="center"/>
            </w:pPr>
            <w:r>
              <w:rPr>
                <w:rFonts w:ascii="宋体" w:hAnsi="宋体" w:eastAsia="宋体"/>
                <w:sz w:val="16"/>
              </w:rPr>
              <w:t>&gt;=10000人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276F7">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3B09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49309">
            <w:pPr>
              <w:jc w:val="center"/>
            </w:pPr>
            <w:r>
              <w:rPr>
                <w:rFonts w:ascii="宋体" w:hAnsi="宋体" w:eastAsia="宋体"/>
                <w:sz w:val="16"/>
              </w:rPr>
              <w:t>10000人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D2982">
            <w:pPr>
              <w:jc w:val="center"/>
            </w:pPr>
            <w:r>
              <w:rPr>
                <w:rFonts w:ascii="宋体" w:hAnsi="宋体" w:eastAsia="宋体"/>
                <w:sz w:val="16"/>
              </w:rPr>
              <w:t>10</w:t>
            </w:r>
          </w:p>
        </w:tc>
      </w:tr>
      <w:tr w14:paraId="0AA04C7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CD6B3">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D225D">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D186A">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BF7B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16AF2">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6FB5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8F94A">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A9C39">
            <w:pPr>
              <w:jc w:val="center"/>
            </w:pPr>
            <w:r>
              <w:rPr>
                <w:rFonts w:ascii="宋体" w:hAnsi="宋体" w:eastAsia="宋体"/>
                <w:sz w:val="16"/>
              </w:rPr>
              <w:t>5</w:t>
            </w:r>
          </w:p>
        </w:tc>
      </w:tr>
      <w:tr w14:paraId="3142CC4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52E8E">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86A30">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389F6">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2F24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7228E">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A3A61">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531D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D1842">
            <w:pPr>
              <w:jc w:val="center"/>
            </w:pPr>
            <w:r>
              <w:rPr>
                <w:rFonts w:ascii="宋体" w:hAnsi="宋体" w:eastAsia="宋体"/>
                <w:sz w:val="16"/>
              </w:rPr>
              <w:t>7</w:t>
            </w:r>
          </w:p>
        </w:tc>
      </w:tr>
      <w:tr w14:paraId="73F12F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EE5E1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75EF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1899D">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AD36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85A0E">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C8E68">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8D5DF">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3AB90">
            <w:pPr>
              <w:jc w:val="center"/>
            </w:pPr>
            <w:r>
              <w:rPr>
                <w:rFonts w:ascii="宋体" w:hAnsi="宋体" w:eastAsia="宋体"/>
                <w:sz w:val="16"/>
              </w:rPr>
              <w:t>7</w:t>
            </w:r>
          </w:p>
        </w:tc>
      </w:tr>
    </w:tbl>
    <w:p w14:paraId="6DBD4D8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3FF81BA0">
        <w:tblPrEx>
          <w:tblCellMar>
            <w:top w:w="0" w:type="dxa"/>
            <w:left w:w="108" w:type="dxa"/>
            <w:bottom w:w="0" w:type="dxa"/>
            <w:right w:w="108" w:type="dxa"/>
          </w:tblCellMar>
        </w:tblPrEx>
        <w:tc>
          <w:tcPr>
            <w:tcW w:w="8848" w:type="dxa"/>
            <w:gridSpan w:val="14"/>
            <w:vAlign w:val="center"/>
          </w:tcPr>
          <w:p w14:paraId="300BBD54">
            <w:pPr>
              <w:jc w:val="center"/>
            </w:pPr>
            <w:r>
              <w:rPr>
                <w:rFonts w:ascii="宋体" w:hAnsi="宋体" w:eastAsia="宋体"/>
                <w:sz w:val="24"/>
              </w:rPr>
              <w:t>项目支出绩效自评表</w:t>
            </w:r>
          </w:p>
        </w:tc>
      </w:tr>
      <w:tr w14:paraId="00B55887">
        <w:tblPrEx>
          <w:tblCellMar>
            <w:top w:w="0" w:type="dxa"/>
            <w:left w:w="108" w:type="dxa"/>
            <w:bottom w:w="0" w:type="dxa"/>
            <w:right w:w="108" w:type="dxa"/>
          </w:tblCellMar>
        </w:tblPrEx>
        <w:tc>
          <w:tcPr>
            <w:tcW w:w="8848" w:type="dxa"/>
            <w:gridSpan w:val="14"/>
            <w:vAlign w:val="center"/>
          </w:tcPr>
          <w:p w14:paraId="02C44A58">
            <w:pPr>
              <w:jc w:val="center"/>
            </w:pPr>
            <w:r>
              <w:rPr>
                <w:rFonts w:ascii="宋体" w:hAnsi="宋体" w:eastAsia="宋体"/>
                <w:sz w:val="24"/>
              </w:rPr>
              <w:t>(2024年度)</w:t>
            </w:r>
          </w:p>
        </w:tc>
      </w:tr>
      <w:tr w14:paraId="71C682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8B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09BC02">
            <w:pPr>
              <w:jc w:val="center"/>
            </w:pPr>
            <w:r>
              <w:rPr>
                <w:rFonts w:ascii="宋体" w:hAnsi="宋体" w:eastAsia="宋体"/>
                <w:sz w:val="16"/>
              </w:rPr>
              <w:t>2024年自治区林草专项阿克陶县2024年林果基地</w:t>
            </w:r>
            <w:r>
              <w:rPr>
                <w:rFonts w:hint="eastAsia" w:ascii="宋体" w:hAnsi="宋体"/>
                <w:sz w:val="16"/>
                <w:lang w:eastAsia="zh-CN"/>
              </w:rPr>
              <w:t>示范园</w:t>
            </w:r>
            <w:r>
              <w:rPr>
                <w:rFonts w:ascii="宋体" w:hAnsi="宋体" w:eastAsia="宋体"/>
                <w:sz w:val="16"/>
              </w:rPr>
              <w:t>建设项目</w:t>
            </w:r>
          </w:p>
        </w:tc>
      </w:tr>
      <w:tr w14:paraId="059E4C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EC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8E0700">
            <w:pPr>
              <w:jc w:val="center"/>
            </w:pPr>
            <w:r>
              <w:rPr>
                <w:rFonts w:ascii="宋体" w:hAnsi="宋体" w:eastAsia="宋体"/>
                <w:sz w:val="16"/>
              </w:rPr>
              <w:t>阿克陶县自然资源局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3F6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0DE411">
            <w:pPr>
              <w:jc w:val="center"/>
            </w:pPr>
            <w:r>
              <w:rPr>
                <w:rFonts w:ascii="宋体" w:hAnsi="宋体" w:eastAsia="宋体"/>
                <w:sz w:val="16"/>
              </w:rPr>
              <w:t>阿克陶县林果业技术推广管理站</w:t>
            </w:r>
          </w:p>
        </w:tc>
      </w:tr>
      <w:tr w14:paraId="5F7663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707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51A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A97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144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8AD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E18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C8B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A18F">
            <w:pPr>
              <w:jc w:val="center"/>
            </w:pPr>
            <w:r>
              <w:rPr>
                <w:rFonts w:ascii="宋体" w:hAnsi="宋体" w:eastAsia="宋体"/>
                <w:sz w:val="16"/>
              </w:rPr>
              <w:t>得分</w:t>
            </w:r>
          </w:p>
        </w:tc>
      </w:tr>
      <w:tr w14:paraId="50B69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B39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C19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AC7F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1E7D5">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9D082">
            <w:pPr>
              <w:jc w:val="center"/>
            </w:pPr>
            <w:r>
              <w:rPr>
                <w:rFonts w:ascii="宋体" w:hAnsi="宋体" w:eastAsia="宋体"/>
                <w:sz w:val="16"/>
              </w:rPr>
              <w:t>32.92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1B9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02A89">
            <w:pPr>
              <w:jc w:val="center"/>
            </w:pPr>
            <w:r>
              <w:rPr>
                <w:rFonts w:ascii="宋体" w:hAnsi="宋体" w:eastAsia="宋体"/>
                <w:sz w:val="16"/>
              </w:rPr>
              <w:t>82.3%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D78D">
            <w:pPr>
              <w:jc w:val="center"/>
            </w:pPr>
            <w:r>
              <w:rPr>
                <w:rFonts w:ascii="宋体" w:hAnsi="宋体" w:eastAsia="宋体"/>
                <w:sz w:val="16"/>
              </w:rPr>
              <w:t>5.57分</w:t>
            </w:r>
          </w:p>
        </w:tc>
      </w:tr>
      <w:tr w14:paraId="329F79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747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3BB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17EEA">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8FB5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248E5">
            <w:pPr>
              <w:jc w:val="center"/>
            </w:pPr>
            <w:r>
              <w:rPr>
                <w:rFonts w:ascii="宋体" w:hAnsi="宋体" w:eastAsia="宋体"/>
                <w:sz w:val="16"/>
              </w:rPr>
              <w:t>32.92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596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EEA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6311">
            <w:pPr>
              <w:jc w:val="center"/>
            </w:pPr>
            <w:r>
              <w:rPr>
                <w:rFonts w:ascii="宋体" w:hAnsi="宋体" w:eastAsia="宋体"/>
                <w:sz w:val="16"/>
              </w:rPr>
              <w:t>—</w:t>
            </w:r>
          </w:p>
        </w:tc>
      </w:tr>
      <w:tr w14:paraId="3A88B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0FF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6B5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672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10B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709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260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978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E667">
            <w:pPr>
              <w:jc w:val="center"/>
            </w:pPr>
            <w:r>
              <w:rPr>
                <w:rFonts w:ascii="宋体" w:hAnsi="宋体" w:eastAsia="宋体"/>
                <w:sz w:val="16"/>
              </w:rPr>
              <w:t>—</w:t>
            </w:r>
          </w:p>
        </w:tc>
      </w:tr>
      <w:tr w14:paraId="553F52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C92D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F8941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24EAEA">
            <w:pPr>
              <w:jc w:val="center"/>
            </w:pPr>
            <w:r>
              <w:rPr>
                <w:rFonts w:ascii="宋体" w:hAnsi="宋体" w:eastAsia="宋体"/>
                <w:sz w:val="16"/>
              </w:rPr>
              <w:t>实际完成情况</w:t>
            </w:r>
          </w:p>
        </w:tc>
      </w:tr>
      <w:tr w14:paraId="200D8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C46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8A33AB">
            <w:pPr>
              <w:jc w:val="both"/>
            </w:pPr>
            <w:r>
              <w:rPr>
                <w:rFonts w:ascii="宋体" w:hAnsi="宋体" w:eastAsia="宋体"/>
                <w:sz w:val="16"/>
              </w:rPr>
              <w:t>2024年度，完成特色林果示范园建设任务507亩，通过本项目的实施，使项目区低质低效林情况得到控制，达到林果业提质增效，提高林果产量，使果农经济效益得到显著提升，使林分结构趋于合理，森林稳定性增强，生物多样性增加，抵抗森林火灾和病虫害能力得到提升，森林景观得到改善，生态效益、社会效益和经济效益得到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8441B7">
            <w:pPr>
              <w:jc w:val="both"/>
            </w:pPr>
            <w:r>
              <w:rPr>
                <w:rFonts w:ascii="宋体" w:hAnsi="宋体" w:eastAsia="宋体"/>
                <w:sz w:val="16"/>
              </w:rPr>
              <w:t>通过完成特色林果示范园建设任务507亩，收益户数30户，受益三类户数23户，使项目区低质低效林情况得到控制，达到林果业提质增效，提高林果产量，使果农经济效益得到显著提升，使林分结构趋于合理，森林稳定性增强，生物多样性增加，抵抗森林火灾和病虫害能力得到提升，森林景观得到改善，生态效益、社会效益和经济效益得到提高。</w:t>
            </w:r>
          </w:p>
        </w:tc>
      </w:tr>
      <w:tr w14:paraId="63A52F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70B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03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8E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80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6D1D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E8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CEB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70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42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CD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07A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265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BD79D">
            <w:pPr>
              <w:jc w:val="center"/>
            </w:pPr>
            <w:r>
              <w:rPr>
                <w:rFonts w:ascii="宋体" w:hAnsi="宋体" w:eastAsia="宋体"/>
                <w:sz w:val="16"/>
              </w:rPr>
              <w:t>偏差原因分析及改进措施</w:t>
            </w:r>
          </w:p>
        </w:tc>
      </w:tr>
      <w:tr w14:paraId="2E1CF8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93D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A32C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BF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C248">
            <w:pPr>
              <w:jc w:val="center"/>
            </w:pPr>
            <w:r>
              <w:rPr>
                <w:rFonts w:ascii="宋体" w:hAnsi="宋体" w:eastAsia="宋体"/>
                <w:sz w:val="16"/>
              </w:rPr>
              <w:t>示范园建设面积(亩)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D2FA">
            <w:pPr>
              <w:jc w:val="center"/>
            </w:pPr>
            <w:r>
              <w:rPr>
                <w:rFonts w:ascii="宋体" w:hAnsi="宋体" w:eastAsia="宋体"/>
                <w:sz w:val="16"/>
              </w:rPr>
              <w:t>&gt;=507亩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CE1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E3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AE1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D4F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3B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DB1F">
            <w:pPr>
              <w:jc w:val="center"/>
            </w:pPr>
            <w:r>
              <w:rPr>
                <w:rFonts w:ascii="宋体" w:hAnsi="宋体" w:eastAsia="宋体"/>
                <w:sz w:val="16"/>
              </w:rPr>
              <w:t>=507亩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E97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CA43E">
            <w:pPr>
              <w:jc w:val="center"/>
            </w:pPr>
          </w:p>
        </w:tc>
      </w:tr>
      <w:tr w14:paraId="71404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552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254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85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F4E6B">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38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40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B0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D35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C2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1A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E9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823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579F4">
            <w:pPr>
              <w:jc w:val="center"/>
            </w:pPr>
          </w:p>
        </w:tc>
      </w:tr>
      <w:tr w14:paraId="22EC0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E8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D9B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0B7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74D9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AC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52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3B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20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FF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47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96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EB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0E8BA">
            <w:pPr>
              <w:jc w:val="center"/>
            </w:pPr>
          </w:p>
        </w:tc>
      </w:tr>
      <w:tr w14:paraId="60F9F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937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69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71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D837">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0CAE">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77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6B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B9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9A8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5F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3C6F">
            <w:pPr>
              <w:jc w:val="center"/>
            </w:pPr>
            <w:r>
              <w:rPr>
                <w:rFonts w:ascii="宋体" w:hAnsi="宋体" w:eastAsia="宋体"/>
                <w:sz w:val="16"/>
              </w:rPr>
              <w:t>=32.92万元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0A2D">
            <w:pPr>
              <w:jc w:val="center"/>
            </w:pPr>
            <w:r>
              <w:rPr>
                <w:rFonts w:ascii="宋体" w:hAnsi="宋体" w:eastAsia="宋体"/>
                <w:sz w:val="16"/>
              </w:rPr>
              <w:t>11.15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5D127">
            <w:pPr>
              <w:jc w:val="center"/>
            </w:pPr>
            <w:r>
              <w:rPr>
                <w:rFonts w:ascii="宋体" w:hAnsi="宋体" w:eastAsia="宋体"/>
                <w:sz w:val="16"/>
              </w:rPr>
              <w:t>因嫁接环境影响，没有及时验收，资金没有及时支付。</w:t>
            </w:r>
          </w:p>
        </w:tc>
      </w:tr>
      <w:tr w14:paraId="4B6DD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9A2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3297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9D3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6528">
            <w:pPr>
              <w:jc w:val="center"/>
            </w:pPr>
            <w:r>
              <w:rPr>
                <w:rFonts w:ascii="宋体" w:hAnsi="宋体" w:eastAsia="宋体"/>
                <w:sz w:val="16"/>
              </w:rPr>
              <w:t>受益户数（户）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CAD8">
            <w:pPr>
              <w:jc w:val="center"/>
            </w:pPr>
            <w:r>
              <w:rPr>
                <w:rFonts w:ascii="宋体" w:hAnsi="宋体" w:eastAsia="宋体"/>
                <w:sz w:val="16"/>
              </w:rPr>
              <w:t>&lt;=30户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35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1A0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E7C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7719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53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4C716">
            <w:pPr>
              <w:jc w:val="center"/>
            </w:pPr>
            <w:r>
              <w:rPr>
                <w:rFonts w:ascii="宋体" w:hAnsi="宋体" w:eastAsia="宋体"/>
                <w:sz w:val="16"/>
              </w:rPr>
              <w:t>=30户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AF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F7E03">
            <w:pPr>
              <w:jc w:val="center"/>
            </w:pPr>
            <w:r>
              <w:rPr>
                <w:rFonts w:ascii="宋体" w:hAnsi="宋体" w:eastAsia="宋体"/>
                <w:sz w:val="16"/>
              </w:rPr>
              <w:t>在本项目实施当中主要存在气候不稳定影响项目按规划实施。</w:t>
            </w:r>
          </w:p>
        </w:tc>
      </w:tr>
      <w:tr w14:paraId="05D460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C6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A92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246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E5BB">
            <w:pPr>
              <w:jc w:val="center"/>
            </w:pPr>
            <w:r>
              <w:rPr>
                <w:rFonts w:ascii="宋体" w:hAnsi="宋体" w:eastAsia="宋体"/>
                <w:sz w:val="16"/>
              </w:rPr>
              <w:t>受益三类户数（户）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FE1B">
            <w:pPr>
              <w:jc w:val="center"/>
            </w:pPr>
            <w:r>
              <w:rPr>
                <w:rFonts w:ascii="宋体" w:hAnsi="宋体" w:eastAsia="宋体"/>
                <w:sz w:val="16"/>
              </w:rPr>
              <w:t>&lt;=23户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A0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24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697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8F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6B1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54A6">
            <w:pPr>
              <w:jc w:val="center"/>
            </w:pPr>
            <w:r>
              <w:rPr>
                <w:rFonts w:ascii="宋体" w:hAnsi="宋体" w:eastAsia="宋体"/>
                <w:sz w:val="16"/>
              </w:rPr>
              <w:t>=23户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5A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396CC">
            <w:pPr>
              <w:jc w:val="center"/>
            </w:pPr>
            <w:r>
              <w:rPr>
                <w:rFonts w:ascii="宋体" w:hAnsi="宋体" w:eastAsia="宋体"/>
                <w:sz w:val="16"/>
              </w:rPr>
              <w:t>在本项目实施当中主要存在气候不稳定影响项目按规划实施。</w:t>
            </w:r>
          </w:p>
        </w:tc>
      </w:tr>
      <w:tr w14:paraId="25D8A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C8E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7DF1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828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3DB5">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1D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491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3E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2C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71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B1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1BB6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B45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4AE14">
            <w:pPr>
              <w:jc w:val="center"/>
            </w:pPr>
          </w:p>
        </w:tc>
      </w:tr>
      <w:tr w14:paraId="16356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693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C82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B5A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CCCA4">
            <w:pPr>
              <w:jc w:val="center"/>
            </w:pPr>
            <w:r>
              <w:rPr>
                <w:rFonts w:ascii="宋体" w:hAnsi="宋体" w:eastAsia="宋体"/>
                <w:sz w:val="16"/>
              </w:rPr>
              <w:t>受益建档立卡人口满意度（%）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CF3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75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B56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80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B5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CB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77E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F3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C9005">
            <w:pPr>
              <w:jc w:val="center"/>
            </w:pPr>
          </w:p>
        </w:tc>
      </w:tr>
      <w:tr w14:paraId="14312A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35F7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0C2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23C15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DD40">
            <w:pPr>
              <w:jc w:val="center"/>
            </w:pPr>
            <w:r>
              <w:rPr>
                <w:rFonts w:ascii="宋体" w:hAnsi="宋体" w:eastAsia="宋体"/>
                <w:sz w:val="16"/>
              </w:rPr>
              <w:t>86.72分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50FE46"/>
        </w:tc>
      </w:tr>
    </w:tbl>
    <w:p w14:paraId="23350152">
      <w:r>
        <w:br w:type="page"/>
      </w:r>
    </w:p>
    <w:p w14:paraId="3EDF95EF">
      <w:pPr>
        <w:spacing w:line="640" w:lineRule="exact"/>
        <w:ind w:firstLine="640"/>
        <w:jc w:val="both"/>
        <w:outlineLvl w:val="2"/>
      </w:pPr>
      <w:r>
        <w:rPr>
          <w:rFonts w:ascii="黑体" w:hAnsi="黑体" w:eastAsia="黑体"/>
          <w:sz w:val="32"/>
        </w:rPr>
        <w:t>十二、其他需说明的事项</w:t>
      </w:r>
    </w:p>
    <w:p w14:paraId="73FF686E">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052FE280">
      <w:r>
        <w:br w:type="page"/>
      </w:r>
    </w:p>
    <w:p w14:paraId="61CA5A5C">
      <w:pPr>
        <w:spacing w:line="240" w:lineRule="auto"/>
        <w:jc w:val="center"/>
        <w:outlineLvl w:val="1"/>
      </w:pPr>
      <w:r>
        <w:rPr>
          <w:rFonts w:ascii="黑体" w:hAnsi="黑体" w:eastAsia="黑体"/>
          <w:sz w:val="32"/>
        </w:rPr>
        <w:t>第三部分 专业名词解释</w:t>
      </w:r>
    </w:p>
    <w:p w14:paraId="4DD0581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093B7E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4DE5B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88C2D8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FB6763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4E612D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98FC149">
      <w:pPr>
        <w:spacing w:line="240" w:lineRule="auto"/>
        <w:ind w:firstLine="640"/>
        <w:jc w:val="both"/>
      </w:pPr>
      <w:r>
        <w:rPr>
          <w:rFonts w:ascii="仿宋_GB2312" w:hAnsi="仿宋_GB2312" w:eastAsia="仿宋_GB2312"/>
          <w:b/>
          <w:sz w:val="32"/>
        </w:rPr>
        <w:t>七、年初结转和</w:t>
      </w:r>
      <w:bookmarkStart w:id="0" w:name="_GoBack"/>
      <w:r>
        <w:rPr>
          <w:rFonts w:ascii="仿宋_GB2312" w:hAnsi="仿宋_GB2312" w:eastAsia="仿宋_GB2312"/>
          <w:b/>
          <w:sz w:val="32"/>
        </w:rPr>
        <w:t>结余</w:t>
      </w:r>
      <w:bookmarkEnd w:id="0"/>
      <w:r>
        <w:rPr>
          <w:rFonts w:ascii="仿宋_GB2312" w:hAnsi="仿宋_GB2312" w:eastAsia="仿宋_GB2312"/>
          <w:b/>
          <w:sz w:val="32"/>
        </w:rPr>
        <w:t>：</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3ABB8E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96674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1FAC51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180A5B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FC0C36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BDF54F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2FEFB6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07DCB24">
      <w:r>
        <w:br w:type="page"/>
      </w:r>
    </w:p>
    <w:p w14:paraId="1F3FEDD2">
      <w:pPr>
        <w:spacing w:line="240" w:lineRule="auto"/>
        <w:jc w:val="center"/>
        <w:outlineLvl w:val="1"/>
      </w:pPr>
      <w:r>
        <w:rPr>
          <w:rFonts w:ascii="黑体" w:hAnsi="黑体" w:eastAsia="黑体"/>
          <w:sz w:val="32"/>
        </w:rPr>
        <w:t>第四部分 部门决算报表（见附表）</w:t>
      </w:r>
    </w:p>
    <w:p w14:paraId="0C5EA79B">
      <w:pPr>
        <w:spacing w:line="240" w:lineRule="auto"/>
        <w:ind w:firstLine="640"/>
        <w:jc w:val="both"/>
      </w:pPr>
      <w:r>
        <w:rPr>
          <w:rFonts w:ascii="仿宋_GB2312" w:hAnsi="仿宋_GB2312" w:eastAsia="仿宋_GB2312"/>
          <w:b w:val="0"/>
          <w:sz w:val="32"/>
        </w:rPr>
        <w:t>一、《收入支出决算总表》</w:t>
      </w:r>
    </w:p>
    <w:p w14:paraId="02DBABE2">
      <w:pPr>
        <w:spacing w:line="240" w:lineRule="auto"/>
        <w:ind w:firstLine="640"/>
        <w:jc w:val="both"/>
      </w:pPr>
      <w:r>
        <w:rPr>
          <w:rFonts w:ascii="仿宋_GB2312" w:hAnsi="仿宋_GB2312" w:eastAsia="仿宋_GB2312"/>
          <w:b w:val="0"/>
          <w:sz w:val="32"/>
        </w:rPr>
        <w:t>二、《收入决算表》</w:t>
      </w:r>
    </w:p>
    <w:p w14:paraId="4270618B">
      <w:pPr>
        <w:spacing w:line="240" w:lineRule="auto"/>
        <w:ind w:firstLine="640"/>
        <w:jc w:val="both"/>
      </w:pPr>
      <w:r>
        <w:rPr>
          <w:rFonts w:ascii="仿宋_GB2312" w:hAnsi="仿宋_GB2312" w:eastAsia="仿宋_GB2312"/>
          <w:b w:val="0"/>
          <w:sz w:val="32"/>
        </w:rPr>
        <w:t>三、《支出决算表》</w:t>
      </w:r>
    </w:p>
    <w:p w14:paraId="5FD2AB32">
      <w:pPr>
        <w:spacing w:line="240" w:lineRule="auto"/>
        <w:ind w:firstLine="640"/>
        <w:jc w:val="both"/>
      </w:pPr>
      <w:r>
        <w:rPr>
          <w:rFonts w:ascii="仿宋_GB2312" w:hAnsi="仿宋_GB2312" w:eastAsia="仿宋_GB2312"/>
          <w:b w:val="0"/>
          <w:sz w:val="32"/>
        </w:rPr>
        <w:t>四、《财政拨款收入支出决算总表》</w:t>
      </w:r>
    </w:p>
    <w:p w14:paraId="03C09D8B">
      <w:pPr>
        <w:spacing w:line="240" w:lineRule="auto"/>
        <w:ind w:firstLine="640"/>
        <w:jc w:val="both"/>
      </w:pPr>
      <w:r>
        <w:rPr>
          <w:rFonts w:ascii="仿宋_GB2312" w:hAnsi="仿宋_GB2312" w:eastAsia="仿宋_GB2312"/>
          <w:b w:val="0"/>
          <w:sz w:val="32"/>
        </w:rPr>
        <w:t>五、《一般公共预算财政拨款支出决算表》</w:t>
      </w:r>
    </w:p>
    <w:p w14:paraId="2E7ACE41">
      <w:pPr>
        <w:spacing w:line="240" w:lineRule="auto"/>
        <w:ind w:firstLine="640"/>
        <w:jc w:val="both"/>
      </w:pPr>
      <w:r>
        <w:rPr>
          <w:rFonts w:ascii="仿宋_GB2312" w:hAnsi="仿宋_GB2312" w:eastAsia="仿宋_GB2312"/>
          <w:b w:val="0"/>
          <w:sz w:val="32"/>
        </w:rPr>
        <w:t>六、《一般公共预算财政拨款基本支出决算表》</w:t>
      </w:r>
    </w:p>
    <w:p w14:paraId="46CD8751">
      <w:pPr>
        <w:spacing w:line="240" w:lineRule="auto"/>
        <w:ind w:firstLine="640"/>
        <w:jc w:val="both"/>
      </w:pPr>
      <w:r>
        <w:rPr>
          <w:rFonts w:ascii="仿宋_GB2312" w:hAnsi="仿宋_GB2312" w:eastAsia="仿宋_GB2312"/>
          <w:b w:val="0"/>
          <w:sz w:val="32"/>
        </w:rPr>
        <w:t>七、《政府性基金预算财政拨款收入支出决算表》</w:t>
      </w:r>
    </w:p>
    <w:p w14:paraId="51542F6A">
      <w:pPr>
        <w:spacing w:line="240" w:lineRule="auto"/>
        <w:ind w:firstLine="640"/>
        <w:jc w:val="both"/>
      </w:pPr>
      <w:r>
        <w:rPr>
          <w:rFonts w:ascii="仿宋_GB2312" w:hAnsi="仿宋_GB2312" w:eastAsia="仿宋_GB2312"/>
          <w:b w:val="0"/>
          <w:sz w:val="32"/>
        </w:rPr>
        <w:t>八、《国有资本经营预算财政拨款收入支出决算表》</w:t>
      </w:r>
    </w:p>
    <w:p w14:paraId="6A838CC4">
      <w:pPr>
        <w:spacing w:line="240" w:lineRule="auto"/>
        <w:ind w:firstLine="640"/>
        <w:jc w:val="both"/>
      </w:pPr>
      <w:r>
        <w:rPr>
          <w:rFonts w:ascii="仿宋_GB2312" w:hAnsi="仿宋_GB2312" w:eastAsia="仿宋_GB2312"/>
          <w:b w:val="0"/>
          <w:sz w:val="32"/>
        </w:rPr>
        <w:t>九、《财政拨款“三公”经费支出决算表》</w:t>
      </w:r>
    </w:p>
    <w:p w14:paraId="300B3381">
      <w:pPr>
        <w:spacing w:line="240" w:lineRule="auto"/>
        <w:ind w:firstLine="640"/>
        <w:jc w:val="both"/>
      </w:pPr>
    </w:p>
    <w:p w14:paraId="1B99C0C2">
      <w:pPr>
        <w:spacing w:line="240" w:lineRule="auto"/>
        <w:ind w:firstLine="640"/>
        <w:jc w:val="both"/>
      </w:pPr>
    </w:p>
    <w:p w14:paraId="6B6E2054">
      <w:pPr>
        <w:spacing w:line="240" w:lineRule="auto"/>
        <w:ind w:firstLine="640"/>
        <w:jc w:val="both"/>
      </w:pPr>
    </w:p>
    <w:p w14:paraId="0745B0B1">
      <w:pPr>
        <w:spacing w:line="240" w:lineRule="auto"/>
        <w:ind w:firstLine="640"/>
        <w:jc w:val="both"/>
      </w:pPr>
    </w:p>
    <w:p w14:paraId="403FDE4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01220B-2223-4281-8A48-792329A13D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664F57A-866F-4E03-9C73-D1336EB95605}"/>
  </w:font>
  <w:font w:name="仿宋_GB2312">
    <w:altName w:val="仿宋"/>
    <w:panose1 w:val="02010609030101010101"/>
    <w:charset w:val="86"/>
    <w:family w:val="modern"/>
    <w:pitch w:val="default"/>
    <w:sig w:usb0="00000000" w:usb1="00000000" w:usb2="00000000" w:usb3="00000000" w:csb0="00040000" w:csb1="00000000"/>
    <w:embedRegular r:id="rId3" w:fontKey="{5E21F11F-3CE7-4E2D-A1CA-E49B6658F73E}"/>
  </w:font>
  <w:font w:name="楷体_GB2312">
    <w:altName w:val="楷体"/>
    <w:panose1 w:val="02010609030101010101"/>
    <w:charset w:val="86"/>
    <w:family w:val="auto"/>
    <w:pitch w:val="default"/>
    <w:sig w:usb0="00000000" w:usb1="00000000" w:usb2="00000000" w:usb3="00000000" w:csb0="00040000" w:csb1="00000000"/>
    <w:embedRegular r:id="rId4" w:fontKey="{1641BF73-BCC0-40D1-94B8-D558B9A9AC68}"/>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DCF2A3C"/>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316B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4459</Words>
  <Characters>5099</Characters>
  <Lines>0</Lines>
  <Paragraphs>0</Paragraphs>
  <TotalTime>7</TotalTime>
  <ScaleCrop>false</ScaleCrop>
  <LinksUpToDate>false</LinksUpToDate>
  <CharactersWithSpaces>5107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2025-09-15T08:32:47Z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