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E1E0C8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中共阿克陶县委员会机要保密局2024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C4B365F">
      <w:r>
        <w:br w:type="page"/>
      </w:r>
    </w:p>
    <w:p w14:paraId="1B9B5EBF">
      <w:pPr>
        <w:spacing w:line="640" w:lineRule="exact"/>
        <w:jc w:val="center"/>
        <w:outlineLvl w:val="1"/>
      </w:pPr>
      <w:r>
        <w:rPr>
          <w:rFonts w:ascii="黑体" w:hAnsi="黑体" w:eastAsia="黑体"/>
          <w:sz w:val="32"/>
        </w:rPr>
        <w:t>第一部分 单位概况</w:t>
      </w:r>
    </w:p>
    <w:p w14:paraId="65BB2791">
      <w:pPr>
        <w:spacing w:line="640" w:lineRule="exact"/>
        <w:ind w:firstLine="640"/>
        <w:jc w:val="both"/>
        <w:outlineLvl w:val="2"/>
      </w:pPr>
      <w:r>
        <w:rPr>
          <w:rFonts w:ascii="黑体" w:hAnsi="黑体" w:eastAsia="黑体"/>
          <w:sz w:val="32"/>
        </w:rPr>
        <w:t>一、主要职能</w:t>
      </w:r>
    </w:p>
    <w:p w14:paraId="07BF59BE">
      <w:pPr>
        <w:spacing w:line="580" w:lineRule="exact"/>
        <w:ind w:firstLine="640"/>
        <w:jc w:val="both"/>
      </w:pPr>
      <w:r>
        <w:rPr>
          <w:rFonts w:ascii="仿宋_GB2312" w:hAnsi="仿宋_GB2312" w:eastAsia="仿宋_GB2312"/>
          <w:sz w:val="32"/>
        </w:rPr>
        <w:t>1.开展保密检查、保密培训、保密宣传，进一步提升保密干部的保密意识，增强了保密职责使命，明确了保密工作方向。</w:t>
      </w:r>
    </w:p>
    <w:p w14:paraId="59F6B89F">
      <w:pPr>
        <w:spacing w:line="580" w:lineRule="exact"/>
        <w:ind w:firstLine="640"/>
        <w:jc w:val="both"/>
      </w:pPr>
      <w:r>
        <w:rPr>
          <w:rFonts w:ascii="仿宋_GB2312" w:hAnsi="仿宋_GB2312" w:eastAsia="仿宋_GB2312"/>
          <w:sz w:val="32"/>
        </w:rPr>
        <w:t>2.县电子政务内网建设，通过对州级、县级、乡级、街道级、村级五级电子政务内网内部域，涉密域的搭建，确保全县电子政务内网内部域和涉密域的信息安全，高效运转。节能低效，提高了办公效率，保障了信息传输的安全和畅通。</w:t>
      </w:r>
    </w:p>
    <w:p w14:paraId="2EF0ED62">
      <w:pPr>
        <w:spacing w:line="580" w:lineRule="exact"/>
        <w:ind w:firstLine="640"/>
        <w:jc w:val="both"/>
      </w:pPr>
      <w:r>
        <w:rPr>
          <w:rFonts w:ascii="仿宋_GB2312" w:hAnsi="仿宋_GB2312" w:eastAsia="仿宋_GB2312"/>
          <w:sz w:val="32"/>
        </w:rPr>
        <w:t>3.密码信息渠道的建设，确保了中央、自治区、州、县四级信息的绝对安全和绝对畅通，能够有效进行上情下达和下情上报。</w:t>
      </w:r>
    </w:p>
    <w:p w14:paraId="60DA5864">
      <w:pPr>
        <w:spacing w:line="640" w:lineRule="exact"/>
        <w:ind w:firstLine="640"/>
        <w:jc w:val="both"/>
        <w:outlineLvl w:val="2"/>
      </w:pPr>
      <w:r>
        <w:rPr>
          <w:rFonts w:ascii="黑体" w:hAnsi="黑体" w:eastAsia="黑体"/>
          <w:sz w:val="32"/>
        </w:rPr>
        <w:t>二、机构设置及人员情况</w:t>
      </w:r>
    </w:p>
    <w:p w14:paraId="07B70531">
      <w:pPr>
        <w:spacing w:line="580" w:lineRule="exact"/>
        <w:ind w:firstLine="640"/>
        <w:jc w:val="both"/>
      </w:pPr>
      <w:r>
        <w:rPr>
          <w:rFonts w:ascii="仿宋_GB2312" w:hAnsi="仿宋_GB2312" w:eastAsia="仿宋_GB2312"/>
          <w:sz w:val="32"/>
        </w:rPr>
        <w:t>中共阿克陶县委员会机要保密局2024年度，实有人数10人，其中：在职人员9人，增加1人；离休人员0人，增加0人；退休人员1人,增加0人。</w:t>
      </w:r>
    </w:p>
    <w:p w14:paraId="12FD4AD6">
      <w:pPr>
        <w:spacing w:line="580" w:lineRule="exact"/>
        <w:ind w:firstLine="640"/>
        <w:jc w:val="both"/>
      </w:pPr>
      <w:r>
        <w:rPr>
          <w:rFonts w:ascii="仿宋_GB2312" w:hAnsi="仿宋_GB2312" w:eastAsia="仿宋_GB2312"/>
          <w:sz w:val="32"/>
        </w:rPr>
        <w:t>中共阿克陶县委员会机要保密局无下属预算单位，下设1个科室，分别是：党委信息化管理办公室。</w:t>
      </w:r>
    </w:p>
    <w:p w14:paraId="5ADC4E85">
      <w:r>
        <w:br w:type="page"/>
      </w:r>
    </w:p>
    <w:p w14:paraId="1D27DFCC">
      <w:pPr>
        <w:spacing w:line="240" w:lineRule="auto"/>
        <w:jc w:val="center"/>
        <w:outlineLvl w:val="1"/>
      </w:pPr>
      <w:r>
        <w:rPr>
          <w:rFonts w:ascii="黑体" w:hAnsi="黑体" w:eastAsia="黑体"/>
          <w:sz w:val="32"/>
        </w:rPr>
        <w:t>第二部分 部门决算情况说明</w:t>
      </w:r>
    </w:p>
    <w:p w14:paraId="77916014">
      <w:pPr>
        <w:spacing w:line="640" w:lineRule="exact"/>
        <w:ind w:firstLine="640"/>
        <w:jc w:val="both"/>
        <w:outlineLvl w:val="2"/>
      </w:pPr>
      <w:r>
        <w:rPr>
          <w:rFonts w:ascii="黑体" w:hAnsi="黑体" w:eastAsia="黑体"/>
          <w:sz w:val="32"/>
        </w:rPr>
        <w:t>一、收入支出决算总体情况说明</w:t>
      </w:r>
    </w:p>
    <w:p w14:paraId="4C8EF88B">
      <w:pPr>
        <w:spacing w:line="580" w:lineRule="exact"/>
        <w:ind w:firstLine="640"/>
        <w:jc w:val="both"/>
      </w:pPr>
      <w:r>
        <w:rPr>
          <w:rFonts w:ascii="仿宋_GB2312" w:hAnsi="仿宋_GB2312" w:eastAsia="仿宋_GB2312"/>
          <w:b/>
          <w:sz w:val="32"/>
        </w:rPr>
        <w:t>2024年度收入总计557.50万元，</w:t>
      </w:r>
      <w:r>
        <w:rPr>
          <w:rFonts w:ascii="仿宋_GB2312" w:hAnsi="仿宋_GB2312" w:eastAsia="仿宋_GB2312"/>
          <w:b w:val="0"/>
          <w:sz w:val="32"/>
        </w:rPr>
        <w:t>其中：本年收入合计180.26万元，使用非财政拨款结余（含专用结余）0.00万元，年初结转和结余377.24万元。</w:t>
      </w:r>
    </w:p>
    <w:p w14:paraId="58ED9D72">
      <w:pPr>
        <w:spacing w:line="580" w:lineRule="exact"/>
        <w:ind w:firstLine="640"/>
        <w:jc w:val="both"/>
      </w:pPr>
      <w:r>
        <w:rPr>
          <w:rFonts w:ascii="仿宋_GB2312" w:hAnsi="仿宋_GB2312" w:eastAsia="仿宋_GB2312"/>
          <w:b/>
          <w:sz w:val="32"/>
        </w:rPr>
        <w:t>2024年度支出总计557.50万元，</w:t>
      </w:r>
      <w:r>
        <w:rPr>
          <w:rFonts w:ascii="仿宋_GB2312" w:hAnsi="仿宋_GB2312" w:eastAsia="仿宋_GB2312"/>
          <w:b w:val="0"/>
          <w:sz w:val="32"/>
        </w:rPr>
        <w:t>其中：本年支出合计550.35万元，结余分配0.00万元，年末结转和结余7.14万元。</w:t>
      </w:r>
    </w:p>
    <w:p w14:paraId="53C11EF9">
      <w:pPr>
        <w:spacing w:line="580" w:lineRule="exact"/>
        <w:ind w:firstLine="640"/>
        <w:jc w:val="both"/>
      </w:pPr>
      <w:r>
        <w:rPr>
          <w:rFonts w:ascii="仿宋_GB2312" w:hAnsi="仿宋_GB2312" w:eastAsia="仿宋_GB2312"/>
          <w:b w:val="0"/>
          <w:sz w:val="32"/>
        </w:rPr>
        <w:t>收入支出总体与上年相比，减少200.64万元，下降26.46%，主要原因是：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减少村（社区）电子政务内网建设项目及屏蔽机房建设项目。</w:t>
      </w:r>
    </w:p>
    <w:p w14:paraId="3E8F3DC7">
      <w:pPr>
        <w:spacing w:line="640" w:lineRule="exact"/>
        <w:ind w:firstLine="640"/>
        <w:jc w:val="both"/>
        <w:outlineLvl w:val="2"/>
      </w:pPr>
      <w:r>
        <w:rPr>
          <w:rFonts w:ascii="黑体" w:hAnsi="黑体" w:eastAsia="黑体"/>
          <w:sz w:val="32"/>
        </w:rPr>
        <w:t>二、收入决算情况说明</w:t>
      </w:r>
    </w:p>
    <w:p w14:paraId="3D94E80A">
      <w:pPr>
        <w:spacing w:line="580" w:lineRule="exact"/>
        <w:ind w:firstLine="640"/>
        <w:jc w:val="both"/>
      </w:pPr>
      <w:r>
        <w:rPr>
          <w:rFonts w:ascii="仿宋_GB2312" w:hAnsi="仿宋_GB2312" w:eastAsia="仿宋_GB2312"/>
          <w:b/>
          <w:sz w:val="32"/>
        </w:rPr>
        <w:t>本年收入180.26万元，</w:t>
      </w:r>
      <w:r>
        <w:rPr>
          <w:rFonts w:ascii="仿宋_GB2312" w:hAnsi="仿宋_GB2312" w:eastAsia="仿宋_GB2312"/>
          <w:b w:val="0"/>
          <w:sz w:val="32"/>
        </w:rPr>
        <w:t>其中：财政拨款收入179.98万元，占99.84%；上级补助收入0.00万元，占0.00%；事业收入0.00万元，占0.00%；经营收入0.00万元，占0.00%；附属单位上缴收入0.00万元，占0.00%；其他收入0.28万元，占0.16%。</w:t>
      </w:r>
    </w:p>
    <w:p w14:paraId="733F3DF0">
      <w:pPr>
        <w:spacing w:line="640" w:lineRule="exact"/>
        <w:ind w:firstLine="640"/>
        <w:jc w:val="both"/>
        <w:outlineLvl w:val="2"/>
      </w:pPr>
      <w:r>
        <w:rPr>
          <w:rFonts w:ascii="黑体" w:hAnsi="黑体" w:eastAsia="黑体"/>
          <w:sz w:val="32"/>
        </w:rPr>
        <w:t>三、支出决算情况说明</w:t>
      </w:r>
    </w:p>
    <w:p w14:paraId="710277CA">
      <w:pPr>
        <w:spacing w:line="580" w:lineRule="exact"/>
        <w:ind w:firstLine="640"/>
        <w:jc w:val="both"/>
      </w:pPr>
      <w:r>
        <w:rPr>
          <w:rFonts w:ascii="仿宋_GB2312" w:hAnsi="仿宋_GB2312" w:eastAsia="仿宋_GB2312"/>
          <w:b/>
          <w:sz w:val="32"/>
        </w:rPr>
        <w:t>本年支出550.35万元，</w:t>
      </w:r>
      <w:r>
        <w:rPr>
          <w:rFonts w:ascii="仿宋_GB2312" w:hAnsi="仿宋_GB2312" w:eastAsia="仿宋_GB2312"/>
          <w:b w:val="0"/>
          <w:sz w:val="32"/>
        </w:rPr>
        <w:t>其中：基本支出174.36万元，占31.68%；项目支出375.99万元，占68.32%；上缴上级支出0.00万元，占0.00%；经营支出0.00万元，占0.00%；对附属单位补助支出0.00万元，占0.00%。</w:t>
      </w:r>
    </w:p>
    <w:p w14:paraId="0F3185B9">
      <w:pPr>
        <w:spacing w:line="640" w:lineRule="exact"/>
        <w:ind w:firstLine="640"/>
        <w:jc w:val="both"/>
        <w:outlineLvl w:val="2"/>
      </w:pPr>
      <w:r>
        <w:rPr>
          <w:rFonts w:ascii="黑体" w:hAnsi="黑体" w:eastAsia="黑体"/>
          <w:sz w:val="32"/>
        </w:rPr>
        <w:t>四、财政拨款收入支出决算总体情况说明</w:t>
      </w:r>
    </w:p>
    <w:p w14:paraId="05C0BC18">
      <w:pPr>
        <w:spacing w:line="580" w:lineRule="exact"/>
        <w:ind w:firstLine="640"/>
        <w:jc w:val="both"/>
      </w:pPr>
      <w:r>
        <w:rPr>
          <w:rFonts w:ascii="仿宋_GB2312" w:hAnsi="仿宋_GB2312" w:eastAsia="仿宋_GB2312"/>
          <w:b/>
          <w:sz w:val="32"/>
        </w:rPr>
        <w:t>2024年度财政拨款收入总计179.98万元，</w:t>
      </w:r>
      <w:r>
        <w:rPr>
          <w:rFonts w:ascii="仿宋_GB2312" w:hAnsi="仿宋_GB2312" w:eastAsia="仿宋_GB2312"/>
          <w:b w:val="0"/>
          <w:sz w:val="32"/>
        </w:rPr>
        <w:t>其中：年初财政拨款结转和结余0.00万元，本年财政拨款收入179.98万元。</w:t>
      </w:r>
      <w:r>
        <w:rPr>
          <w:rFonts w:ascii="仿宋_GB2312" w:hAnsi="仿宋_GB2312" w:eastAsia="仿宋_GB2312"/>
          <w:b/>
          <w:sz w:val="32"/>
        </w:rPr>
        <w:t>财政拨款支出总计179.98万元，</w:t>
      </w:r>
      <w:r>
        <w:rPr>
          <w:rFonts w:ascii="仿宋_GB2312" w:hAnsi="仿宋_GB2312" w:eastAsia="仿宋_GB2312"/>
          <w:b w:val="0"/>
          <w:sz w:val="32"/>
        </w:rPr>
        <w:t>其中：年末财政拨款结转和结余0.00万元，本年财政拨款支出179.98万元。</w:t>
      </w:r>
    </w:p>
    <w:p w14:paraId="61A0A58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减少34.53万元，下降16.10%，主要原因是：上年因业务需要，购置设备，本年无设备购置费。</w:t>
      </w:r>
      <w:r>
        <w:rPr>
          <w:rFonts w:ascii="仿宋_GB2312" w:hAnsi="仿宋_GB2312" w:eastAsia="仿宋_GB2312"/>
          <w:b/>
          <w:sz w:val="32"/>
        </w:rPr>
        <w:t>与年初预算相比，</w:t>
      </w:r>
      <w:r>
        <w:rPr>
          <w:rFonts w:ascii="仿宋_GB2312" w:hAnsi="仿宋_GB2312" w:eastAsia="仿宋_GB2312"/>
          <w:b w:val="0"/>
          <w:sz w:val="32"/>
        </w:rPr>
        <w:t>年初预算数404.81万元，决算数179.98万元，预决算差异率-55.54%，主要原因是：村（社区）电子政务内网建设项目及屏蔽机房建设项目未执行，年中调减经费，导致预决算存在差异。</w:t>
      </w:r>
    </w:p>
    <w:p w14:paraId="43C05008">
      <w:pPr>
        <w:spacing w:line="640" w:lineRule="exact"/>
        <w:ind w:firstLine="640"/>
        <w:jc w:val="both"/>
        <w:outlineLvl w:val="2"/>
      </w:pPr>
      <w:r>
        <w:rPr>
          <w:rFonts w:ascii="黑体" w:hAnsi="黑体" w:eastAsia="黑体"/>
          <w:sz w:val="32"/>
        </w:rPr>
        <w:t>五、一般公共预算财政拨款支出决算情况说明</w:t>
      </w:r>
    </w:p>
    <w:p w14:paraId="4BED0A63">
      <w:pPr>
        <w:spacing w:line="640" w:lineRule="exact"/>
        <w:ind w:firstLine="640"/>
        <w:jc w:val="both"/>
        <w:outlineLvl w:val="3"/>
      </w:pPr>
      <w:r>
        <w:rPr>
          <w:rFonts w:ascii="楷体_GB2312" w:hAnsi="楷体_GB2312" w:eastAsia="楷体_GB2312"/>
          <w:b/>
          <w:sz w:val="32"/>
        </w:rPr>
        <w:t>（一）一般公共预算财政拨款支出决算总体情况</w:t>
      </w:r>
    </w:p>
    <w:p w14:paraId="7638B3E0">
      <w:pPr>
        <w:spacing w:line="580" w:lineRule="exact"/>
        <w:ind w:firstLine="640"/>
        <w:jc w:val="both"/>
      </w:pPr>
      <w:r>
        <w:rPr>
          <w:rFonts w:ascii="仿宋_GB2312" w:hAnsi="仿宋_GB2312" w:eastAsia="仿宋_GB2312"/>
          <w:b/>
          <w:sz w:val="32"/>
        </w:rPr>
        <w:t>2024年度一般公共预算财政拨款支出179.98万元，</w:t>
      </w:r>
      <w:r>
        <w:rPr>
          <w:rFonts w:ascii="仿宋_GB2312" w:hAnsi="仿宋_GB2312" w:eastAsia="仿宋_GB2312"/>
          <w:b w:val="0"/>
          <w:sz w:val="32"/>
        </w:rPr>
        <w:t>占本年支出合计的32.70%。</w:t>
      </w:r>
      <w:r>
        <w:rPr>
          <w:rFonts w:ascii="仿宋_GB2312" w:hAnsi="仿宋_GB2312" w:eastAsia="仿宋_GB2312"/>
          <w:b/>
          <w:sz w:val="32"/>
        </w:rPr>
        <w:t>与上年相比，</w:t>
      </w:r>
      <w:r>
        <w:rPr>
          <w:rFonts w:ascii="仿宋_GB2312" w:hAnsi="仿宋_GB2312" w:eastAsia="仿宋_GB2312"/>
          <w:b w:val="0"/>
          <w:sz w:val="32"/>
        </w:rPr>
        <w:t>减少29.69万元，下降14.16%，主要原因是：上年因业务需要，购置设备，本年无设备购置费。</w:t>
      </w:r>
      <w:r>
        <w:rPr>
          <w:rFonts w:ascii="仿宋_GB2312" w:hAnsi="仿宋_GB2312" w:eastAsia="仿宋_GB2312"/>
          <w:b/>
          <w:sz w:val="32"/>
        </w:rPr>
        <w:t>与年初预算相比,</w:t>
      </w:r>
      <w:r>
        <w:rPr>
          <w:rFonts w:ascii="仿宋_GB2312" w:hAnsi="仿宋_GB2312" w:eastAsia="仿宋_GB2312"/>
          <w:b w:val="0"/>
          <w:sz w:val="32"/>
        </w:rPr>
        <w:t>年初预算数404.81万元，决算数179.98万元，预决算差异率-55.54%，主要原因是：村（社区）电子政务内网建设项目及屏蔽机房建设项目未执行，年中调减经费，导致预决算存在差异。</w:t>
      </w:r>
    </w:p>
    <w:p w14:paraId="6DCD2BB6">
      <w:pPr>
        <w:spacing w:line="640" w:lineRule="exact"/>
        <w:ind w:firstLine="640"/>
        <w:jc w:val="both"/>
        <w:outlineLvl w:val="3"/>
      </w:pPr>
      <w:r>
        <w:rPr>
          <w:rFonts w:ascii="楷体_GB2312" w:hAnsi="楷体_GB2312" w:eastAsia="楷体_GB2312"/>
          <w:b/>
          <w:sz w:val="32"/>
        </w:rPr>
        <w:t>（二）一般公共预算财政拨款支出决算结构情况</w:t>
      </w:r>
    </w:p>
    <w:p w14:paraId="49DF89A6">
      <w:pPr>
        <w:spacing w:line="580" w:lineRule="exact"/>
        <w:ind w:firstLine="640"/>
        <w:jc w:val="both"/>
      </w:pPr>
      <w:r>
        <w:rPr>
          <w:rFonts w:ascii="仿宋_GB2312" w:hAnsi="仿宋_GB2312" w:eastAsia="仿宋_GB2312"/>
          <w:b w:val="0"/>
          <w:sz w:val="32"/>
        </w:rPr>
        <w:t>1.一般公共服务支出(类)139.63万元,占77.58%。</w:t>
      </w:r>
    </w:p>
    <w:p w14:paraId="1F3F6A65">
      <w:pPr>
        <w:spacing w:line="580" w:lineRule="exact"/>
        <w:ind w:firstLine="640"/>
        <w:jc w:val="both"/>
      </w:pPr>
      <w:r>
        <w:rPr>
          <w:rFonts w:ascii="仿宋_GB2312" w:hAnsi="仿宋_GB2312" w:eastAsia="仿宋_GB2312"/>
          <w:b w:val="0"/>
          <w:sz w:val="32"/>
        </w:rPr>
        <w:t>2.社会保障和就业支出(类)18.96万元,占10.53%。</w:t>
      </w:r>
    </w:p>
    <w:p w14:paraId="6B5D158C">
      <w:pPr>
        <w:spacing w:line="580" w:lineRule="exact"/>
        <w:ind w:firstLine="640"/>
        <w:jc w:val="both"/>
      </w:pPr>
      <w:r>
        <w:rPr>
          <w:rFonts w:ascii="仿宋_GB2312" w:hAnsi="仿宋_GB2312" w:eastAsia="仿宋_GB2312"/>
          <w:b w:val="0"/>
          <w:sz w:val="32"/>
        </w:rPr>
        <w:t>3.卫生健康支出(类)7.32万元,占4.07%。</w:t>
      </w:r>
    </w:p>
    <w:p w14:paraId="6E685387">
      <w:pPr>
        <w:spacing w:line="580" w:lineRule="exact"/>
        <w:ind w:firstLine="640"/>
        <w:jc w:val="both"/>
      </w:pPr>
      <w:r>
        <w:rPr>
          <w:rFonts w:ascii="仿宋_GB2312" w:hAnsi="仿宋_GB2312" w:eastAsia="仿宋_GB2312"/>
          <w:b w:val="0"/>
          <w:sz w:val="32"/>
        </w:rPr>
        <w:t>4.住房保障支出(类)14.07万元,占7.82%。</w:t>
      </w:r>
    </w:p>
    <w:p w14:paraId="03231222">
      <w:pPr>
        <w:spacing w:line="640" w:lineRule="exact"/>
        <w:ind w:firstLine="640"/>
        <w:jc w:val="both"/>
        <w:outlineLvl w:val="3"/>
      </w:pPr>
      <w:r>
        <w:rPr>
          <w:rFonts w:ascii="楷体_GB2312" w:hAnsi="楷体_GB2312" w:eastAsia="楷体_GB2312"/>
          <w:b/>
          <w:sz w:val="32"/>
        </w:rPr>
        <w:t>（三）一般公共预算财政拨款支出决算具体情况</w:t>
      </w:r>
    </w:p>
    <w:p w14:paraId="43225F55">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74.18万元，比上年决算减少9.99万元，下降11.87%,主要原因是：本年在职人员调入调出，人员职级不同，工资基数不同，导致人员经费较上年减少。</w:t>
      </w:r>
    </w:p>
    <w:p w14:paraId="5BF8B10F">
      <w:pPr>
        <w:spacing w:line="580" w:lineRule="exact"/>
        <w:ind w:firstLine="640"/>
        <w:jc w:val="both"/>
      </w:pPr>
      <w:r>
        <w:rPr>
          <w:rFonts w:ascii="仿宋_GB2312" w:hAnsi="仿宋_GB2312" w:eastAsia="仿宋_GB2312"/>
          <w:b w:val="0"/>
          <w:sz w:val="32"/>
        </w:rPr>
        <w:t>2.一般公共服务支出(类)党委办公厅（室）及相关机构事务(款)事业运行(项):支出决算数为59.84万元，比上年决算减少1.32万元，下降2.16%,主要原因是：本年无补发绩效工资，经费减少。</w:t>
      </w:r>
    </w:p>
    <w:p w14:paraId="3F115281">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支出决算数为5.61万元，比上年决算减少15.00万元，下降72.78%,主要原因是：上年因业务需要，购置设备，本年无设备购置费。</w:t>
      </w:r>
    </w:p>
    <w:p w14:paraId="13E68DDD">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4.社会保障和就业支出(类)行政事业单位养老支出(款)行政单位离退休(项):支出决算数为1.28万元，比上年决算增加0.79万元，增长161.22%,主要原因是：本年增加退休人员基础绩效奖，退休费支出增加。</w:t>
      </w:r>
    </w:p>
    <w:p w14:paraId="6247076A">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17.68万元，比上年决算增加1.50万元，增长9.27%,主要原因是：本年在职人员工资基数调增，养老缴费基数上涨，相应支出增加。</w:t>
      </w:r>
    </w:p>
    <w:p w14:paraId="7E137CD9">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6.社会保障和就业支出(类)行政事业单位养老支出(款)机关事业单位职业年金缴费支出(项):支出决算数为0.00万元，比上年决算减少7.08万元，下降100.00%,主要原因是：本年无退休人员，无职业年金缴费支出。</w:t>
      </w:r>
    </w:p>
    <w:p w14:paraId="59775D6B">
      <w:pPr>
        <w:spacing w:line="580" w:lineRule="exact"/>
        <w:ind w:firstLine="640"/>
        <w:jc w:val="both"/>
      </w:pPr>
      <w:r>
        <w:rPr>
          <w:rFonts w:ascii="仿宋_GB2312" w:hAnsi="仿宋_GB2312" w:eastAsia="仿宋_GB2312"/>
          <w:b w:val="0"/>
          <w:sz w:val="32"/>
        </w:rPr>
        <w:t>7.卫生健康支出(类)行政事业单位医疗(款)行政单位医疗(项):支出决算数为4.66万元，比上年决算增加0.18万元，增长4.02%,主要原因是：本年在职人员工资基数调增，医疗缴费基数上涨，相应支出增加。</w:t>
      </w:r>
    </w:p>
    <w:p w14:paraId="62A4E342">
      <w:pPr>
        <w:spacing w:line="580" w:lineRule="exact"/>
        <w:ind w:firstLine="640"/>
        <w:jc w:val="both"/>
      </w:pPr>
      <w:r>
        <w:rPr>
          <w:rFonts w:ascii="仿宋_GB2312" w:hAnsi="仿宋_GB2312" w:eastAsia="仿宋_GB2312"/>
          <w:b w:val="0"/>
          <w:sz w:val="32"/>
        </w:rPr>
        <w:t>8.卫生健康支出(类)行政事业单位医疗(款)事业单位医疗(项):支出决算数为2.66万元，比上年决算增加0.29万元，增长12.24%,主要原因是：本年在职人员工资基数调增，医疗缴费基数上涨，相应支出增加。</w:t>
      </w:r>
    </w:p>
    <w:p w14:paraId="39749AB3">
      <w:pPr>
        <w:spacing w:line="580" w:lineRule="exact"/>
        <w:ind w:firstLine="640"/>
        <w:jc w:val="both"/>
      </w:pPr>
      <w:r>
        <w:rPr>
          <w:rFonts w:ascii="仿宋_GB2312" w:hAnsi="仿宋_GB2312" w:eastAsia="仿宋_GB2312"/>
          <w:b w:val="0"/>
          <w:sz w:val="32"/>
        </w:rPr>
        <w:t>9.住房保障支出(类)住房改革支出(款)住房公积金(项):支出决算数为14.07万元，比上年决算增加0.93万元，增长7.08%,主要原因是：本年在职人员工资基数调增，公积金缴费基数上涨，相应支出增加。</w:t>
      </w:r>
    </w:p>
    <w:p w14:paraId="275F5186">
      <w:pPr>
        <w:spacing w:line="640" w:lineRule="exact"/>
        <w:ind w:firstLine="640"/>
        <w:jc w:val="both"/>
        <w:outlineLvl w:val="2"/>
      </w:pPr>
      <w:r>
        <w:rPr>
          <w:rFonts w:ascii="黑体" w:hAnsi="黑体" w:eastAsia="黑体"/>
          <w:sz w:val="32"/>
        </w:rPr>
        <w:t>六、一般公共预算财政拨款基本支出决算情况说明</w:t>
      </w:r>
    </w:p>
    <w:p w14:paraId="187E5455">
      <w:pPr>
        <w:spacing w:line="580" w:lineRule="exact"/>
        <w:ind w:firstLine="640"/>
        <w:jc w:val="both"/>
      </w:pPr>
      <w:r>
        <w:rPr>
          <w:rFonts w:ascii="仿宋_GB2312" w:hAnsi="仿宋_GB2312" w:eastAsia="仿宋_GB2312"/>
          <w:b w:val="0"/>
          <w:sz w:val="32"/>
        </w:rPr>
        <w:t>2024年度一般公共预算财政拨款基本支出174.36万元，其中：</w:t>
      </w:r>
      <w:r>
        <w:rPr>
          <w:rFonts w:ascii="仿宋_GB2312" w:hAnsi="仿宋_GB2312" w:eastAsia="仿宋_GB2312"/>
          <w:b/>
          <w:sz w:val="32"/>
        </w:rPr>
        <w:t>人员经费172.61万元，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661D712A">
      <w:pPr>
        <w:spacing w:line="580" w:lineRule="exact"/>
        <w:ind w:firstLine="640"/>
        <w:jc w:val="both"/>
      </w:pPr>
      <w:r>
        <w:rPr>
          <w:rFonts w:ascii="仿宋_GB2312" w:hAnsi="仿宋_GB2312" w:eastAsia="仿宋_GB2312"/>
          <w:b/>
          <w:sz w:val="32"/>
        </w:rPr>
        <w:t>公用经费1.75万元，</w:t>
      </w:r>
      <w:r>
        <w:rPr>
          <w:rFonts w:ascii="仿宋_GB2312" w:hAnsi="仿宋_GB2312" w:eastAsia="仿宋_GB2312"/>
          <w:b w:val="0"/>
          <w:sz w:val="32"/>
        </w:rPr>
        <w:t>包括：办公费。</w:t>
      </w:r>
    </w:p>
    <w:p w14:paraId="3DA25F0D">
      <w:pPr>
        <w:spacing w:line="640" w:lineRule="exact"/>
        <w:ind w:firstLine="640"/>
        <w:jc w:val="both"/>
        <w:outlineLvl w:val="2"/>
      </w:pPr>
      <w:r>
        <w:rPr>
          <w:rFonts w:ascii="黑体" w:hAnsi="黑体" w:eastAsia="黑体"/>
          <w:sz w:val="32"/>
        </w:rPr>
        <w:t>七、政府性基金预算财政拨款收入支出决算情况说明</w:t>
      </w:r>
    </w:p>
    <w:p w14:paraId="41ACA09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52F76C9">
      <w:pPr>
        <w:spacing w:line="640" w:lineRule="exact"/>
        <w:ind w:firstLine="640"/>
        <w:jc w:val="both"/>
        <w:outlineLvl w:val="2"/>
      </w:pPr>
      <w:r>
        <w:rPr>
          <w:rFonts w:ascii="黑体" w:hAnsi="黑体" w:eastAsia="黑体"/>
          <w:sz w:val="32"/>
        </w:rPr>
        <w:t>八、国有资本经营预算财政拨款收入支出决算情况说明</w:t>
      </w:r>
    </w:p>
    <w:p w14:paraId="11C35B3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D96DF65">
      <w:pPr>
        <w:spacing w:line="640" w:lineRule="exact"/>
        <w:ind w:firstLine="640"/>
        <w:jc w:val="both"/>
        <w:outlineLvl w:val="2"/>
      </w:pPr>
      <w:r>
        <w:rPr>
          <w:rFonts w:ascii="黑体" w:hAnsi="黑体" w:eastAsia="黑体"/>
          <w:sz w:val="32"/>
        </w:rPr>
        <w:t>九、财政拨款“三公”经费支出决算情况说明</w:t>
      </w:r>
    </w:p>
    <w:p w14:paraId="1BEC095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0.55万元，下降100.00%，主要原因是：本年公务用车未使用，未产生维修费，经费减少。其中：因公出国（境）费支出0.00万元，占0.00%，比上年增加0.00万元，增长0.00%，主要原因是：2023年与2024年均未安排因公出国（境）费支出。公务用车购置及运行维护费支出0.00万元，占0.00%，比上年减少0.55万元，下降100.00%，主要原因是：本年公务用车未使用，未产生维修费，经费减少。公务接待费支出0.00万元，占0.00%，比上年增加0.00万元，增长0.00%，主要原因是：2023年与2024年均未安排公务接待费支出。</w:t>
      </w:r>
    </w:p>
    <w:p w14:paraId="79764E53">
      <w:pPr>
        <w:spacing w:line="580" w:lineRule="exact"/>
        <w:ind w:firstLine="640"/>
        <w:jc w:val="both"/>
      </w:pPr>
      <w:r>
        <w:rPr>
          <w:rFonts w:ascii="仿宋_GB2312" w:hAnsi="仿宋_GB2312" w:eastAsia="仿宋_GB2312"/>
          <w:b/>
          <w:sz w:val="32"/>
        </w:rPr>
        <w:t>具体情况如下：</w:t>
      </w:r>
    </w:p>
    <w:p w14:paraId="6122F2C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423AFD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E39030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4E4276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6C76B7E">
      <w:pPr>
        <w:spacing w:line="640" w:lineRule="exact"/>
        <w:ind w:firstLine="640"/>
        <w:jc w:val="both"/>
        <w:outlineLvl w:val="2"/>
      </w:pPr>
      <w:r>
        <w:rPr>
          <w:rFonts w:ascii="黑体" w:hAnsi="黑体" w:eastAsia="黑体"/>
          <w:sz w:val="32"/>
        </w:rPr>
        <w:t>十、其他重要事项的情况说明</w:t>
      </w:r>
    </w:p>
    <w:p w14:paraId="58C4E8A9">
      <w:pPr>
        <w:spacing w:line="640" w:lineRule="exact"/>
        <w:ind w:firstLine="640"/>
        <w:jc w:val="both"/>
        <w:outlineLvl w:val="3"/>
      </w:pPr>
      <w:r>
        <w:rPr>
          <w:rFonts w:ascii="楷体_GB2312" w:hAnsi="楷体_GB2312" w:eastAsia="楷体_GB2312"/>
          <w:b/>
          <w:sz w:val="32"/>
        </w:rPr>
        <w:t>（一）机关运行经费及公用经费支出情况</w:t>
      </w:r>
    </w:p>
    <w:p w14:paraId="6FD2F146">
      <w:pPr>
        <w:spacing w:line="580" w:lineRule="exact"/>
        <w:ind w:firstLine="640"/>
        <w:jc w:val="both"/>
      </w:pPr>
      <w:r>
        <w:rPr>
          <w:rFonts w:ascii="仿宋_GB2312" w:hAnsi="仿宋_GB2312" w:eastAsia="仿宋_GB2312"/>
          <w:b w:val="0"/>
          <w:sz w:val="32"/>
        </w:rPr>
        <w:t>2024年度中共阿克陶县委员会机要保密局（行政单位和参照公务员法管理事业单位）机关运行经费支出1.75万元，比上年增加0.08万元，增长4.79%，主要原因是：本年外出学习较多，培训费及差旅费较上一年有所增加。</w:t>
      </w:r>
    </w:p>
    <w:p w14:paraId="57BAE73F">
      <w:pPr>
        <w:spacing w:line="640" w:lineRule="exact"/>
        <w:ind w:firstLine="640"/>
        <w:jc w:val="both"/>
        <w:outlineLvl w:val="3"/>
      </w:pPr>
      <w:r>
        <w:rPr>
          <w:rFonts w:ascii="楷体_GB2312" w:hAnsi="楷体_GB2312" w:eastAsia="楷体_GB2312"/>
          <w:b/>
          <w:sz w:val="32"/>
        </w:rPr>
        <w:t>（二）政府采购情况</w:t>
      </w:r>
    </w:p>
    <w:p w14:paraId="75DD7573">
      <w:pPr>
        <w:spacing w:line="580" w:lineRule="exact"/>
        <w:ind w:firstLine="640"/>
        <w:jc w:val="both"/>
      </w:pPr>
      <w:r>
        <w:rPr>
          <w:rFonts w:ascii="仿宋_GB2312" w:hAnsi="仿宋_GB2312" w:eastAsia="仿宋_GB2312"/>
          <w:b w:val="0"/>
          <w:sz w:val="32"/>
        </w:rPr>
        <w:t>2024年度政府采购支出总额2.39万元，其中：政府采购货物支出1.73万元、政府采购工程支出0.00万元、政府采购服务支出0.66万元。</w:t>
      </w:r>
    </w:p>
    <w:p w14:paraId="77EF79DC">
      <w:pPr>
        <w:spacing w:line="580" w:lineRule="exact"/>
        <w:ind w:firstLine="640"/>
        <w:jc w:val="both"/>
      </w:pPr>
      <w:r>
        <w:rPr>
          <w:rFonts w:ascii="仿宋_GB2312" w:hAnsi="仿宋_GB2312" w:eastAsia="仿宋_GB2312"/>
          <w:b w:val="0"/>
          <w:sz w:val="32"/>
        </w:rPr>
        <w:t>授予中小企业合同金额2.08万元，占政府采购支出总额的87.03%，其中：授予小微企业合同金额2.08万元，占政府采购支出总额的87.03%。</w:t>
      </w:r>
    </w:p>
    <w:p w14:paraId="0D3595B4">
      <w:pPr>
        <w:spacing w:line="640" w:lineRule="exact"/>
        <w:ind w:firstLine="640"/>
        <w:jc w:val="both"/>
        <w:outlineLvl w:val="3"/>
      </w:pPr>
      <w:r>
        <w:rPr>
          <w:rFonts w:ascii="楷体_GB2312" w:hAnsi="楷体_GB2312" w:eastAsia="楷体_GB2312"/>
          <w:b/>
          <w:sz w:val="32"/>
        </w:rPr>
        <w:t>（三）国有资产占用情况说明</w:t>
      </w:r>
    </w:p>
    <w:p w14:paraId="5B9D9F55">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98DDB28">
      <w:pPr>
        <w:spacing w:line="640" w:lineRule="exact"/>
        <w:ind w:firstLine="640"/>
        <w:jc w:val="both"/>
        <w:outlineLvl w:val="2"/>
      </w:pPr>
      <w:r>
        <w:rPr>
          <w:rFonts w:ascii="黑体" w:hAnsi="黑体" w:eastAsia="黑体"/>
          <w:sz w:val="32"/>
        </w:rPr>
        <w:t>十一、预算绩效的情况说明</w:t>
      </w:r>
    </w:p>
    <w:p w14:paraId="1698F63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557.5</w:t>
      </w:r>
      <w:r>
        <w:rPr>
          <w:rFonts w:hint="eastAsia" w:ascii="仿宋_GB2312" w:hAnsi="仿宋_GB2312" w:eastAsia="仿宋_GB2312"/>
          <w:b w:val="0"/>
          <w:sz w:val="32"/>
          <w:lang w:val="en-US" w:eastAsia="zh-CN"/>
        </w:rPr>
        <w:t>0</w:t>
      </w:r>
      <w:r>
        <w:rPr>
          <w:rFonts w:ascii="仿宋_GB2312" w:hAnsi="仿宋_GB2312" w:eastAsia="仿宋_GB2312"/>
          <w:b w:val="0"/>
          <w:sz w:val="32"/>
        </w:rPr>
        <w:t>万元，实际执行总额</w:t>
      </w:r>
      <w:r>
        <w:rPr>
          <w:rFonts w:hint="eastAsia" w:ascii="仿宋_GB2312" w:hAnsi="仿宋_GB2312" w:eastAsia="仿宋_GB2312"/>
          <w:b w:val="0"/>
          <w:sz w:val="32"/>
        </w:rPr>
        <w:t>550.35</w:t>
      </w:r>
      <w:bookmarkStart w:id="0" w:name="_GoBack"/>
      <w:bookmarkEnd w:id="0"/>
      <w:r>
        <w:rPr>
          <w:rFonts w:ascii="仿宋_GB2312" w:hAnsi="仿宋_GB2312" w:eastAsia="仿宋_GB2312"/>
          <w:b w:val="0"/>
          <w:sz w:val="32"/>
        </w:rPr>
        <w:t>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w:t>
      </w:r>
    </w:p>
    <w:p w14:paraId="1BD57087">
      <w:r>
        <w:br w:type="page"/>
      </w:r>
    </w:p>
    <w:p w14:paraId="5ABCC8F2">
      <w:pPr>
        <w:spacing w:line="640" w:lineRule="exact"/>
        <w:ind w:firstLine="640"/>
        <w:jc w:val="both"/>
        <w:outlineLvl w:val="2"/>
      </w:pPr>
      <w:r>
        <w:rPr>
          <w:rFonts w:ascii="黑体" w:hAnsi="黑体" w:eastAsia="黑体"/>
          <w:sz w:val="32"/>
        </w:rPr>
        <w:t>十二、其他需说明的事项</w:t>
      </w:r>
    </w:p>
    <w:p w14:paraId="2EBF0EAB">
      <w:pPr>
        <w:spacing w:line="580" w:lineRule="exact"/>
        <w:ind w:firstLine="640"/>
        <w:jc w:val="both"/>
      </w:pPr>
      <w:r>
        <w:rPr>
          <w:rFonts w:ascii="仿宋_GB2312" w:hAnsi="仿宋_GB2312" w:eastAsia="仿宋_GB2312"/>
          <w:b w:val="0"/>
          <w:sz w:val="32"/>
        </w:rPr>
        <w:t>本年度本单位整体绩效自评表不予公开。</w:t>
      </w:r>
    </w:p>
    <w:p w14:paraId="2D275F09">
      <w:r>
        <w:br w:type="page"/>
      </w:r>
    </w:p>
    <w:p w14:paraId="67E3250E">
      <w:pPr>
        <w:spacing w:line="240" w:lineRule="auto"/>
        <w:jc w:val="center"/>
        <w:outlineLvl w:val="1"/>
      </w:pPr>
      <w:r>
        <w:rPr>
          <w:rFonts w:ascii="黑体" w:hAnsi="黑体" w:eastAsia="黑体"/>
          <w:sz w:val="32"/>
        </w:rPr>
        <w:t>第三部分 专业名词解释</w:t>
      </w:r>
    </w:p>
    <w:p w14:paraId="3928D0E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C0BF6E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A149A6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4C0409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577E30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3E1FD4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CA38A5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8D3344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70C0A1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B41831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E0ED28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88C893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29086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92C48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B5683E1">
      <w:r>
        <w:br w:type="page"/>
      </w:r>
    </w:p>
    <w:p w14:paraId="4E8F7398">
      <w:pPr>
        <w:spacing w:line="240" w:lineRule="auto"/>
        <w:jc w:val="center"/>
        <w:outlineLvl w:val="1"/>
      </w:pPr>
      <w:r>
        <w:rPr>
          <w:rFonts w:ascii="黑体" w:hAnsi="黑体" w:eastAsia="黑体"/>
          <w:sz w:val="32"/>
        </w:rPr>
        <w:t>第四部分 部门决算报表（见附表）</w:t>
      </w:r>
    </w:p>
    <w:p w14:paraId="2E311B31">
      <w:pPr>
        <w:spacing w:line="240" w:lineRule="auto"/>
        <w:ind w:firstLine="640"/>
        <w:jc w:val="both"/>
      </w:pPr>
      <w:r>
        <w:rPr>
          <w:rFonts w:ascii="仿宋_GB2312" w:hAnsi="仿宋_GB2312" w:eastAsia="仿宋_GB2312"/>
          <w:b w:val="0"/>
          <w:sz w:val="32"/>
        </w:rPr>
        <w:t>一、《收入支出决算总表》</w:t>
      </w:r>
    </w:p>
    <w:p w14:paraId="4D501A42">
      <w:pPr>
        <w:spacing w:line="240" w:lineRule="auto"/>
        <w:ind w:firstLine="640"/>
        <w:jc w:val="both"/>
      </w:pPr>
      <w:r>
        <w:rPr>
          <w:rFonts w:ascii="仿宋_GB2312" w:hAnsi="仿宋_GB2312" w:eastAsia="仿宋_GB2312"/>
          <w:b w:val="0"/>
          <w:sz w:val="32"/>
        </w:rPr>
        <w:t>二、《收入决算表》</w:t>
      </w:r>
    </w:p>
    <w:p w14:paraId="184C1355">
      <w:pPr>
        <w:spacing w:line="240" w:lineRule="auto"/>
        <w:ind w:firstLine="640"/>
        <w:jc w:val="both"/>
      </w:pPr>
      <w:r>
        <w:rPr>
          <w:rFonts w:ascii="仿宋_GB2312" w:hAnsi="仿宋_GB2312" w:eastAsia="仿宋_GB2312"/>
          <w:b w:val="0"/>
          <w:sz w:val="32"/>
        </w:rPr>
        <w:t>三、《支出决算表》</w:t>
      </w:r>
    </w:p>
    <w:p w14:paraId="4AEB12CA">
      <w:pPr>
        <w:spacing w:line="240" w:lineRule="auto"/>
        <w:ind w:firstLine="640"/>
        <w:jc w:val="both"/>
      </w:pPr>
      <w:r>
        <w:rPr>
          <w:rFonts w:ascii="仿宋_GB2312" w:hAnsi="仿宋_GB2312" w:eastAsia="仿宋_GB2312"/>
          <w:b w:val="0"/>
          <w:sz w:val="32"/>
        </w:rPr>
        <w:t>四、《财政拨款收入支出决算总表》</w:t>
      </w:r>
    </w:p>
    <w:p w14:paraId="0CB63516">
      <w:pPr>
        <w:spacing w:line="240" w:lineRule="auto"/>
        <w:ind w:firstLine="640"/>
        <w:jc w:val="both"/>
      </w:pPr>
      <w:r>
        <w:rPr>
          <w:rFonts w:ascii="仿宋_GB2312" w:hAnsi="仿宋_GB2312" w:eastAsia="仿宋_GB2312"/>
          <w:b w:val="0"/>
          <w:sz w:val="32"/>
        </w:rPr>
        <w:t>五、《一般公共预算财政拨款支出决算表》</w:t>
      </w:r>
    </w:p>
    <w:p w14:paraId="07E24851">
      <w:pPr>
        <w:spacing w:line="240" w:lineRule="auto"/>
        <w:ind w:firstLine="640"/>
        <w:jc w:val="both"/>
      </w:pPr>
      <w:r>
        <w:rPr>
          <w:rFonts w:ascii="仿宋_GB2312" w:hAnsi="仿宋_GB2312" w:eastAsia="仿宋_GB2312"/>
          <w:b w:val="0"/>
          <w:sz w:val="32"/>
        </w:rPr>
        <w:t>六、《一般公共预算财政拨款基本支出决算表》</w:t>
      </w:r>
    </w:p>
    <w:p w14:paraId="453FAC92">
      <w:pPr>
        <w:spacing w:line="240" w:lineRule="auto"/>
        <w:ind w:firstLine="640"/>
        <w:jc w:val="both"/>
      </w:pPr>
      <w:r>
        <w:rPr>
          <w:rFonts w:ascii="仿宋_GB2312" w:hAnsi="仿宋_GB2312" w:eastAsia="仿宋_GB2312"/>
          <w:b w:val="0"/>
          <w:sz w:val="32"/>
        </w:rPr>
        <w:t>七、《政府性基金预算财政拨款收入支出决算表》</w:t>
      </w:r>
    </w:p>
    <w:p w14:paraId="6E03CA6C">
      <w:pPr>
        <w:spacing w:line="240" w:lineRule="auto"/>
        <w:ind w:firstLine="640"/>
        <w:jc w:val="both"/>
      </w:pPr>
      <w:r>
        <w:rPr>
          <w:rFonts w:ascii="仿宋_GB2312" w:hAnsi="仿宋_GB2312" w:eastAsia="仿宋_GB2312"/>
          <w:b w:val="0"/>
          <w:sz w:val="32"/>
        </w:rPr>
        <w:t>八、《国有资本经营预算财政拨款收入支出决算表》</w:t>
      </w:r>
    </w:p>
    <w:p w14:paraId="14CF2249">
      <w:pPr>
        <w:spacing w:line="240" w:lineRule="auto"/>
        <w:ind w:firstLine="640"/>
        <w:jc w:val="both"/>
      </w:pPr>
      <w:r>
        <w:rPr>
          <w:rFonts w:ascii="仿宋_GB2312" w:hAnsi="仿宋_GB2312" w:eastAsia="仿宋_GB2312"/>
          <w:b w:val="0"/>
          <w:sz w:val="32"/>
        </w:rPr>
        <w:t>九、《财政拨款“三公”经费支出决算表》</w:t>
      </w:r>
    </w:p>
    <w:p w14:paraId="56C173C6">
      <w:pPr>
        <w:spacing w:line="240" w:lineRule="auto"/>
        <w:ind w:firstLine="640"/>
        <w:jc w:val="both"/>
      </w:pPr>
    </w:p>
    <w:p w14:paraId="0CAE6049">
      <w:pPr>
        <w:spacing w:line="240" w:lineRule="auto"/>
        <w:ind w:firstLine="640"/>
        <w:jc w:val="both"/>
      </w:pPr>
    </w:p>
    <w:p w14:paraId="221CBCF0">
      <w:pPr>
        <w:spacing w:line="240" w:lineRule="auto"/>
        <w:ind w:firstLine="640"/>
        <w:jc w:val="both"/>
      </w:pPr>
    </w:p>
    <w:p w14:paraId="291F8683">
      <w:pPr>
        <w:spacing w:line="240" w:lineRule="auto"/>
        <w:ind w:firstLine="640"/>
        <w:jc w:val="both"/>
      </w:pPr>
    </w:p>
    <w:p w14:paraId="36A0294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AB26262"/>
    <w:rsid w:val="0B8C3ECC"/>
    <w:rsid w:val="0C3613A3"/>
    <w:rsid w:val="0C7227A7"/>
    <w:rsid w:val="0DCA6EF7"/>
    <w:rsid w:val="0E4B1576"/>
    <w:rsid w:val="0EA04331"/>
    <w:rsid w:val="0F9811B3"/>
    <w:rsid w:val="11E15093"/>
    <w:rsid w:val="120E0809"/>
    <w:rsid w:val="19071D6C"/>
    <w:rsid w:val="19B5554D"/>
    <w:rsid w:val="1B8F2D19"/>
    <w:rsid w:val="1BF917D2"/>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A7266A"/>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5291</Words>
  <Characters>5937</Characters>
  <Lines>0</Lines>
  <Paragraphs>0</Paragraphs>
  <TotalTime>8</TotalTime>
  <ScaleCrop>false</ScaleCrop>
  <LinksUpToDate>false</LinksUpToDate>
  <CharactersWithSpaces>5947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2025-09-23T04:31:51Z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