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2EB3F">
      <w:pPr>
        <w:spacing w:line="570" w:lineRule="exact"/>
        <w:jc w:val="center"/>
        <w:rPr>
          <w:rFonts w:ascii="华文中宋" w:hAnsi="华文中宋" w:eastAsia="华文中宋" w:cs="宋体"/>
          <w:b/>
          <w:kern w:val="0"/>
          <w:sz w:val="52"/>
          <w:szCs w:val="52"/>
        </w:rPr>
      </w:pPr>
    </w:p>
    <w:p w14:paraId="7ADD18EB">
      <w:pPr>
        <w:spacing w:line="570" w:lineRule="exact"/>
        <w:jc w:val="center"/>
        <w:rPr>
          <w:rFonts w:ascii="华文中宋" w:hAnsi="华文中宋" w:eastAsia="华文中宋" w:cs="宋体"/>
          <w:b/>
          <w:kern w:val="0"/>
          <w:sz w:val="52"/>
          <w:szCs w:val="52"/>
        </w:rPr>
      </w:pPr>
    </w:p>
    <w:p w14:paraId="4A935C45">
      <w:pPr>
        <w:spacing w:line="570" w:lineRule="exact"/>
        <w:jc w:val="center"/>
        <w:rPr>
          <w:rFonts w:ascii="华文中宋" w:hAnsi="华文中宋" w:eastAsia="华文中宋" w:cs="宋体"/>
          <w:b/>
          <w:kern w:val="0"/>
          <w:sz w:val="52"/>
          <w:szCs w:val="52"/>
        </w:rPr>
      </w:pPr>
    </w:p>
    <w:p w14:paraId="1BDA316E">
      <w:pPr>
        <w:spacing w:line="570" w:lineRule="exact"/>
        <w:jc w:val="center"/>
        <w:rPr>
          <w:rFonts w:ascii="华文中宋" w:hAnsi="华文中宋" w:eastAsia="华文中宋" w:cs="宋体"/>
          <w:b/>
          <w:kern w:val="0"/>
          <w:sz w:val="52"/>
          <w:szCs w:val="52"/>
        </w:rPr>
      </w:pPr>
    </w:p>
    <w:p w14:paraId="776C38EC">
      <w:pPr>
        <w:spacing w:line="570" w:lineRule="exact"/>
        <w:jc w:val="both"/>
        <w:rPr>
          <w:rFonts w:ascii="华文中宋" w:hAnsi="华文中宋" w:eastAsia="华文中宋" w:cs="宋体"/>
          <w:b/>
          <w:kern w:val="0"/>
          <w:sz w:val="52"/>
          <w:szCs w:val="52"/>
        </w:rPr>
      </w:pPr>
    </w:p>
    <w:p w14:paraId="1EAD1099">
      <w:pPr>
        <w:spacing w:line="570" w:lineRule="exact"/>
        <w:jc w:val="center"/>
        <w:rPr>
          <w:rFonts w:ascii="华文中宋" w:hAnsi="华文中宋" w:eastAsia="华文中宋" w:cs="宋体"/>
          <w:b/>
          <w:kern w:val="0"/>
          <w:sz w:val="52"/>
          <w:szCs w:val="52"/>
        </w:rPr>
      </w:pPr>
    </w:p>
    <w:p w14:paraId="06A94A5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1DD012F">
      <w:pPr>
        <w:spacing w:line="570" w:lineRule="exact"/>
        <w:jc w:val="center"/>
        <w:rPr>
          <w:rFonts w:ascii="华文中宋" w:hAnsi="华文中宋" w:eastAsia="华文中宋" w:cs="宋体"/>
          <w:b/>
          <w:kern w:val="0"/>
          <w:sz w:val="52"/>
          <w:szCs w:val="52"/>
        </w:rPr>
      </w:pPr>
    </w:p>
    <w:p w14:paraId="7F05DBA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6F6BE3D">
      <w:pPr>
        <w:spacing w:line="570" w:lineRule="exact"/>
        <w:jc w:val="center"/>
        <w:rPr>
          <w:rFonts w:hAnsi="宋体" w:eastAsia="仿宋_GB2312" w:cs="宋体"/>
          <w:kern w:val="0"/>
          <w:sz w:val="30"/>
          <w:szCs w:val="30"/>
        </w:rPr>
      </w:pPr>
    </w:p>
    <w:p w14:paraId="03880F24">
      <w:pPr>
        <w:spacing w:line="570" w:lineRule="exact"/>
        <w:jc w:val="center"/>
        <w:rPr>
          <w:rFonts w:hAnsi="宋体" w:eastAsia="仿宋_GB2312" w:cs="宋体"/>
          <w:kern w:val="0"/>
          <w:sz w:val="30"/>
          <w:szCs w:val="30"/>
        </w:rPr>
      </w:pPr>
    </w:p>
    <w:p w14:paraId="12CAD63D">
      <w:pPr>
        <w:spacing w:line="570" w:lineRule="exact"/>
        <w:jc w:val="center"/>
        <w:rPr>
          <w:rFonts w:hAnsi="宋体" w:eastAsia="仿宋_GB2312" w:cs="宋体"/>
          <w:kern w:val="0"/>
          <w:sz w:val="30"/>
          <w:szCs w:val="30"/>
        </w:rPr>
      </w:pPr>
    </w:p>
    <w:p w14:paraId="1F537BBC">
      <w:pPr>
        <w:spacing w:line="570" w:lineRule="exact"/>
        <w:jc w:val="center"/>
        <w:rPr>
          <w:rFonts w:hAnsi="宋体" w:eastAsia="仿宋_GB2312" w:cs="宋体"/>
          <w:kern w:val="0"/>
          <w:sz w:val="30"/>
          <w:szCs w:val="30"/>
        </w:rPr>
      </w:pPr>
    </w:p>
    <w:p w14:paraId="44DDFF56">
      <w:pPr>
        <w:spacing w:line="570" w:lineRule="exact"/>
        <w:jc w:val="center"/>
        <w:rPr>
          <w:rFonts w:hAnsi="宋体" w:eastAsia="仿宋_GB2312" w:cs="宋体"/>
          <w:kern w:val="0"/>
          <w:sz w:val="30"/>
          <w:szCs w:val="30"/>
        </w:rPr>
      </w:pPr>
    </w:p>
    <w:p w14:paraId="52DFEECC">
      <w:pPr>
        <w:spacing w:line="570" w:lineRule="exact"/>
        <w:jc w:val="center"/>
        <w:rPr>
          <w:rFonts w:hAnsi="宋体" w:eastAsia="仿宋_GB2312" w:cs="宋体"/>
          <w:kern w:val="0"/>
          <w:sz w:val="30"/>
          <w:szCs w:val="30"/>
        </w:rPr>
      </w:pPr>
    </w:p>
    <w:p w14:paraId="54BFCDBA">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2024年城乡医保补助项目</w:t>
      </w:r>
    </w:p>
    <w:p w14:paraId="7B3BC9B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阿克陶县医疗保障局</w:t>
      </w:r>
    </w:p>
    <w:p w14:paraId="01CC77A9">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bookmarkStart w:id="0" w:name="_GoBack"/>
      <w:bookmarkEnd w:id="0"/>
      <w:r>
        <w:rPr>
          <w:rStyle w:val="18"/>
          <w:rFonts w:hint="eastAsia" w:ascii="仿宋" w:hAnsi="仿宋" w:eastAsia="仿宋" w:cs="仿宋"/>
          <w:b w:val="0"/>
          <w:bCs w:val="0"/>
          <w:spacing w:val="-4"/>
          <w:sz w:val="32"/>
          <w:szCs w:val="32"/>
        </w:rPr>
        <w:t>阿克陶县医疗保障局</w:t>
      </w:r>
    </w:p>
    <w:p w14:paraId="291F0D54">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西尔万姑·依斯拉木</w:t>
      </w:r>
    </w:p>
    <w:p w14:paraId="62640641">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2025年03月24日</w:t>
      </w:r>
    </w:p>
    <w:p w14:paraId="603800F5">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7DD361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0937478">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FA2E82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自治区党委自治区人民政府关于加快推进城市社区卫生服务和新型农牧区合作医疗制度的意见》（新党发〔2006〕13号）;《关于印发2015年阿克陶县新型农牧区合作医疗实施方案的通知》（陶政办发〔2015〕6号）。原新型农牧区合作医疗试点县（市）级财政（国家、自治区级贫困县）要按本县实际农牧业人口数，以每人每年不少于0.5元的标准安排合作医疗工作经费，列入当地财政预算保障经办机构的工作经费。贯彻落实文件精神和党委政府的工作部署，该项目资金用于保障日常业务正常运转，采购办公用品，公务出差，公车运行维护，单位订阅报刊等，及单位所需的其他事项。通过该项目的实施更好地服务广大群众，促进城乡居民医疗保险制度健康发展，提高参保率及医疗保险覆盖率，确保参保群众共享经济发展成果。维护社会和谐稳定，助力脱贫攻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用于医保机构需要进行各类医保业务管理和运作，包括基金征缴、医疗费用结算、参保人员信息管理等。这些业务的运行费用需要通过医保工作经费来支付。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截至2024年12月预算执行率为80.4%，资金还剩19.6%未支付。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建设单位：阿克陶县医疗保障局。主要职责：阿克陶县确保城乡居民医保制度全覆盖、保基本、多层次、可持续；坚持筹资水平、保障标准与经济社会发展水平相适应；在保证参保居民基本医疗保险待遇的基础上，逐步提升补偿标准，稳步提高城乡居民医保待遇水平。城乡居民基本医疗保险制度覆盖除职工医保应参保人员以外的其他所有城乡居民。农村居民以家庭为单位缴费，征缴工作由（税务征收、医保部门注册参保人员信息及变更、乡（镇）人民政府具体负责征缴。其他居民在社区统筹安排下进行缴费，中小学生在校学生以学校为单位参保缴费。流动人员在居住地参保。灵活就业人员自愿选择参加城镇职工基本医疗保险或城乡居民基本医疗保险。参加城镇职工基本医疗保险有困难的居民工，可以自愿选择参加户籍所在地的城乡居民基本医疗保险，实行应保尽保。</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项目监督部门为阿克陶县财政局，负责组织项目资金年度预算编制、办理资金划拨和组织重点项目绩效评价工作，合理预计、妥善安排，列入政府一般公共预算。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党发[2006]13号）、（陶政办发[2015]6号）文件2024年度安排下达资金5.1万元，为县级资金，最终确定项目资金总数为5.1万元。其中：中央财政拨款0万元，自治区财政拨款0万元，本级财政拨款5.1万元，上年结余0万元。截至2024年12月31日，实际支出4.1万元，预算执行率80.4%。</w:t>
      </w:r>
    </w:p>
    <w:p w14:paraId="56E5817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1A24DD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通过该项目的实施更好地服务广大群众，促进城乡居民医疗保险制度健康发展，提高参保率及医疗保险覆盖率，确保参保群众共享经济发展成果。维护社会和谐稳定，助力脱贫攻坚。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该项目资金主要用于其他对个人家庭补助、生活补助费、办公设备购置等费用的支出。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“办公设备购置（次）”指标，预期指标值为=3次；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“设备到货验收合格率（%）”指标，预期指标值为&gt;=95%；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“资金使用合格率（%）”指标，预期指标值为&gt;=100%；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“资金使用时效（月）”指标，预期指标值为=12个月；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（2）成本目标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“办公设备购置（万元）成本”指标，预期指标值为=2.45万元；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“志愿者生活补助（万元）成本”指标，预期指标值为=1.1万元；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“三支一扶生活补助（万元）成本”指标，预期指标值为=1.55万元.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“提升公共服务能力”指标，预期指标值为提升；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“推进医疗事业可持续发展”指标，预期指标值为推进；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“工作人员的满意度（%）”指标，预期指标值为≥95%。</w:t>
      </w:r>
    </w:p>
    <w:p w14:paraId="34AC5B6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F0FE7D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53E7DB9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5620CA5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BE9A9E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该项目的实施更好地服务广大群众，促进城乡居民医疗保险制度健康发展，提高参保率及医疗保险覆盖率，确保参保群众共享经济发展成果，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210485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BAC1A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西尔万姑·依斯拉木任评价组组长，职务为党组副书记、局长，绩效评价工作职责为负责全盘工作。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努尔加玛丽·多日任评价组副组长，绩效评价工作职责为对项目实施情况进行实地调查。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郭辉民、吴玉星任评价组成员，绩效评价工作职责为负责资料审核等工作。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2B5797B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3E2144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城乡医保工作经费”项目绩效进行客观公正的评价，本项目总得分97.73分，绩效评级属于“优”。其中，决策类指标得分20分，过程类指标得分19.02分，产出类指标得分38.71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未能达到了年初设立的绩效目标，在实施过程中取得了一定的成效，但还有不足之处，具体表现在：通过该项目的实施更好地服务广大群众，促进城乡居民医疗保险制度健康发展，提高参保率及医疗保险覆盖率，确保参保群众共享经济发展成果。维护社会和谐稳定，助力脱贫攻坚。突出现代文化引领，落实民生建设任务，关心关爱群众，实现维护社会稳定和长治久安总目标。推动新疆经济社会发展和全面建设小康社会具有重大的战略意义。</w:t>
      </w:r>
    </w:p>
    <w:p w14:paraId="68E22442">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9473C3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788EAE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自治区党委自治区人民政府关于加快推进城市社区卫生服务和新型农牧区合作医疗制度的意见》（新党发〔2006〕13号）;《关于印发2015年阿克陶县新型农牧区合作医疗实施方案的通知》（陶政办发〔2015〕6号）。原新型农牧区合作医疗试点县（市）级财政（国家、自治区级贫困县）要按本县实际农牧业人口数，以每人每年不少于0.5元的标准安排合作医疗工作经费，列入当地财政预算保障经办机构的工作经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（1）立项依据充分性：围绕阿克陶县医疗保障局2024年度工作重点和工作计划制定经费预算，根据评分标准，该指标不扣分，得3分。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阿克陶县医疗保障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按照《关于下达阿克陶县本级2024年部门预算的通知》陶财预【2024】001号文件金额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（6）资金分配合理性：资金分配按照根据关于《关于下达阿克陶县本级2024年部门预算的通知》陶财预【2024】001号要求，资金分配与实际相适应，根据评分标准，该指标不扣分，得5分。</w:t>
      </w:r>
    </w:p>
    <w:p w14:paraId="24E9B13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6F659F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项目过程类指标包括资金管理和组织实施两方面的内容，由5个三级指标构成，权重分为20分，实际得分19.02分，得分率为95.1%。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（1）资金到位率：该项目总投资5.1万元，阿克陶县财政局实际下达经费5.1万元，其中当年财政拨款5.1万元，上年结转资金0万元，财政资金足额拨付到位，根据评分标准，该指标不扣分，得5分。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5.1万元，预算批复实际下达金额为5.1万元截至2024年12月31日，资金执行4.1万元，资金执行率80.4%。项目资金支出总体能够按照预算执行，根据评分标准，该指标扣0.98分，得4.02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关于下达阿克陶县本级2023年部门预算的通知》陶财预【2023】001号文件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医疗保障局财务制度》及根据《关于下达阿克陶县本级2024年部门预算的通知》陶财预【2023】001号相关的制度和管理规定实施，对财政专项资金进行严格管理，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921D64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E0D4A1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项目产出类指标包括产出数量、产出质量、产出时效、产出成本四方面的内容，由7个三级指标构成，权重分为40分，实际得分38.71分，得分率为96.78%。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“办公设备购置3次”指标，与预期目标一致，根据评分标准，该指标不扣分，得10分；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“设备到货验收合格率95%”，与预期目标一致，根据评分标准，该指标不扣分，得5分。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资金使用时效=12个月，与预期目标指标一致，根据评分标准，该指标不扣分，得10分。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“办公设备购置购买成本2.45万元”，与预期目标指标一致，根据评分标准，该指标不扣分，得5分；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“志愿者生活补助费成本1.1万元”，与预期目标指标一致，根据评分标准，该指标不扣分，得3分；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支一扶生活补助费成本1.55万元”，与预期目标指标存在偏差，完成值0.55万元，完成率35.48%，偏离度64.52%。偏差原因：三支一扶补助经费中途由人社局进行发放，导致我单位该项资金未使用完毕。根据评分标准，该指标扣1.29分，得0.71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合计得分8.71分。</w:t>
      </w:r>
    </w:p>
    <w:p w14:paraId="51328E6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27EA8BB8">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项目效益类指标包括项目效益和满意度2个方面的内容，由3个三级指标构成，权重分为20分，实际得分20分，得分率为100%。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提升公共服务能力，与预期指标一致，根据评分标准，该指标不扣分，得5分。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推进医疗事业可持续发展，与预期指标一致，根据评分标准，该指标不扣分，得5分。</w:t>
      </w:r>
    </w:p>
    <w:p w14:paraId="16475B89">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“社会工作对本部门履职效果满意度95%”，与预期目标一致，根据评分标准，该指标不扣分，得5分；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“在职人员满意度95%”，与预期目标一致，根据评分标准，该指标不扣分，得5分；</w:t>
      </w:r>
    </w:p>
    <w:p w14:paraId="6D005402">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76BA8A9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475371B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2B3670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14:paraId="0990B78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243C9586">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7C46281">
        <w:pPr>
          <w:pStyle w:val="12"/>
          <w:jc w:val="center"/>
        </w:pPr>
        <w:r>
          <w:fldChar w:fldCharType="begin"/>
        </w:r>
        <w:r>
          <w:instrText xml:space="preserve">PAGE   \* MERGEFORMAT</w:instrText>
        </w:r>
        <w:r>
          <w:fldChar w:fldCharType="separate"/>
        </w:r>
        <w:r>
          <w:rPr>
            <w:lang w:val="zh-CN"/>
          </w:rPr>
          <w:t>1</w:t>
        </w:r>
        <w:r>
          <w:fldChar w:fldCharType="end"/>
        </w:r>
      </w:p>
    </w:sdtContent>
  </w:sdt>
  <w:p w14:paraId="641E1CC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1CFE6EA9"/>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7737</Words>
  <Characters>8069</Characters>
  <Lines>5</Lines>
  <Paragraphs>1</Paragraphs>
  <TotalTime>0</TotalTime>
  <ScaleCrop>false</ScaleCrop>
  <LinksUpToDate>false</LinksUpToDate>
  <CharactersWithSpaces>8079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GaYi.</cp:lastModifiedBy>
  <cp:lastPrinted>2018-12-31T10:56:00Z</cp:lastPrinted>
  <dcterms:modified xsi:type="dcterms:W3CDTF">2025-09-15T04:50:15Z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eyJoZGlkIjoiNjg0OWE4YjI3YjAxN2QwYzY1NGYyMjc5MDIwNzJhMTUiLCJ1c2VySWQiOiI0NDQ5NDYzNjEifQ==</vt:lpwstr>
  </property>
  <property fmtid="{D5CDD505-2E9C-101B-9397-08002B2CF9AE}" pid="4" name="ICV">
    <vt:lpwstr>138B8BF6938940DCA9DD43B05ABC45DB_12</vt:lpwstr>
  </property>
</Properties>
</file>