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阿克陶县布伦口乡中心幼儿园2024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5ABDFD9">
      <w:r>
        <w:br w:type="page"/>
      </w:r>
    </w:p>
    <w:p w14:paraId="40D91317">
      <w:pPr>
        <w:spacing w:line="640" w:lineRule="exact"/>
        <w:jc w:val="center"/>
        <w:outlineLvl w:val="1"/>
      </w:pPr>
      <w:r>
        <w:rPr>
          <w:rFonts w:ascii="黑体" w:hAnsi="黑体" w:eastAsia="黑体"/>
          <w:sz w:val="32"/>
        </w:rPr>
        <w:t>第一部分 单位概况</w:t>
      </w:r>
    </w:p>
    <w:p w14:paraId="20545F47">
      <w:pPr>
        <w:spacing w:line="640" w:lineRule="exact"/>
        <w:ind w:firstLine="640"/>
        <w:jc w:val="both"/>
        <w:outlineLvl w:val="2"/>
      </w:pPr>
      <w:r>
        <w:rPr>
          <w:rFonts w:ascii="黑体" w:hAnsi="黑体" w:eastAsia="黑体"/>
          <w:sz w:val="32"/>
        </w:rPr>
        <w:t>一、主要职能</w:t>
      </w:r>
    </w:p>
    <w:p w14:paraId="2CEAF9B5">
      <w:pPr>
        <w:spacing w:line="580" w:lineRule="exact"/>
        <w:ind w:firstLine="640"/>
        <w:jc w:val="both"/>
      </w:pPr>
      <w:r>
        <w:rPr>
          <w:rFonts w:ascii="仿宋_GB2312" w:hAnsi="仿宋_GB2312" w:eastAsia="仿宋_GB2312"/>
          <w:sz w:val="32"/>
        </w:rPr>
        <w:t>（1）认真贯彻执行党和国家的有关法律法规、方针、政策，坚持民主管理，依法办园，执行上级主管部门的指标和决定。</w:t>
      </w:r>
    </w:p>
    <w:p w14:paraId="7B5A3605">
      <w:pPr>
        <w:spacing w:line="580" w:lineRule="exact"/>
        <w:ind w:firstLine="640"/>
        <w:jc w:val="both"/>
      </w:pPr>
      <w:r>
        <w:rPr>
          <w:rFonts w:ascii="仿宋_GB2312" w:hAnsi="仿宋_GB2312" w:eastAsia="仿宋_GB2312"/>
          <w:sz w:val="32"/>
        </w:rPr>
        <w:t>（2）实行保育和教育相结合的原则，对幼儿实施体、智、德、美诸方面全面发展的教育，促进其身心和谐发展。为家长解除后顾之忧，热忱为家长服务。</w:t>
      </w:r>
    </w:p>
    <w:p w14:paraId="56ED6054">
      <w:pPr>
        <w:spacing w:line="580" w:lineRule="exact"/>
        <w:ind w:firstLine="640"/>
        <w:jc w:val="both"/>
      </w:pPr>
      <w:r>
        <w:rPr>
          <w:rFonts w:ascii="仿宋_GB2312" w:hAnsi="仿宋_GB2312" w:eastAsia="仿宋_GB2312"/>
          <w:sz w:val="32"/>
        </w:rPr>
        <w:t>（3）尊重儿童的人格尊严和基本权利，尊重儿童身心发展的特点和规律，为儿童提供健康、丰富的生活和生活环境。合理组织幼儿一日生活活动和其他活动，促进幼儿体智美德等和谐发展，全面实施素质教育。</w:t>
      </w:r>
    </w:p>
    <w:p w14:paraId="5B711AAD">
      <w:pPr>
        <w:spacing w:line="580" w:lineRule="exact"/>
        <w:ind w:firstLine="640"/>
        <w:jc w:val="both"/>
      </w:pPr>
      <w:r>
        <w:rPr>
          <w:rFonts w:ascii="仿宋_GB2312" w:hAnsi="仿宋_GB2312" w:eastAsia="仿宋_GB2312"/>
          <w:sz w:val="32"/>
        </w:rPr>
        <w:t>（4）严格执行幼儿园安全、卫生保健制度，保证幼儿身心健康和生命安全。</w:t>
      </w:r>
    </w:p>
    <w:p w14:paraId="1FE50A4D">
      <w:pPr>
        <w:spacing w:line="580" w:lineRule="exact"/>
        <w:ind w:firstLine="640"/>
        <w:jc w:val="both"/>
      </w:pPr>
      <w:r>
        <w:rPr>
          <w:rFonts w:ascii="仿宋_GB2312" w:hAnsi="仿宋_GB2312" w:eastAsia="仿宋_GB2312"/>
          <w:sz w:val="32"/>
        </w:rPr>
        <w:t>（5）充分利用幼儿和社区的资源优势，面向家长开展多种形式的早期教育宣传、指导等服务，促进家庭教育质量的不断提高。</w:t>
      </w:r>
    </w:p>
    <w:p w14:paraId="7D59B02F">
      <w:pPr>
        <w:spacing w:line="580" w:lineRule="exact"/>
        <w:ind w:firstLine="640"/>
        <w:jc w:val="both"/>
      </w:pPr>
      <w:r>
        <w:rPr>
          <w:rFonts w:ascii="仿宋_GB2312" w:hAnsi="仿宋_GB2312" w:eastAsia="仿宋_GB2312"/>
          <w:sz w:val="32"/>
        </w:rPr>
        <w:t>（6）贯彻幼儿教育法规、传播科学教育理念。</w:t>
      </w:r>
    </w:p>
    <w:p w14:paraId="401D4459">
      <w:pPr>
        <w:spacing w:line="640" w:lineRule="exact"/>
        <w:ind w:firstLine="640"/>
        <w:jc w:val="both"/>
        <w:outlineLvl w:val="2"/>
      </w:pPr>
      <w:r>
        <w:rPr>
          <w:rFonts w:ascii="黑体" w:hAnsi="黑体" w:eastAsia="黑体"/>
          <w:sz w:val="32"/>
        </w:rPr>
        <w:t>二、机构设置及人员情况</w:t>
      </w:r>
    </w:p>
    <w:p w14:paraId="5D69A238">
      <w:pPr>
        <w:spacing w:line="580" w:lineRule="exact"/>
        <w:ind w:firstLine="640"/>
        <w:jc w:val="both"/>
      </w:pPr>
      <w:r>
        <w:rPr>
          <w:rFonts w:ascii="仿宋_GB2312" w:hAnsi="仿宋_GB2312" w:eastAsia="仿宋_GB2312"/>
          <w:sz w:val="32"/>
        </w:rPr>
        <w:t>阿克陶县布伦口乡中心幼儿园2024年度，实有人数44人，其中：在职人员44人，增加0人；离休人员0人，增加0人；退休人员0人</w:t>
      </w:r>
      <w:r>
        <w:rPr>
          <w:rFonts w:hint="eastAsia" w:ascii="仿宋_GB2312" w:hAnsi="仿宋_GB2312" w:eastAsia="仿宋_GB2312"/>
          <w:sz w:val="32"/>
          <w:lang w:eastAsia="zh-CN"/>
        </w:rPr>
        <w:t>，</w:t>
      </w:r>
      <w:r>
        <w:rPr>
          <w:rFonts w:ascii="仿宋_GB2312" w:hAnsi="仿宋_GB2312" w:eastAsia="仿宋_GB2312"/>
          <w:sz w:val="32"/>
        </w:rPr>
        <w:t>增加0人。</w:t>
      </w:r>
    </w:p>
    <w:p w14:paraId="5C9E9805">
      <w:pPr>
        <w:spacing w:line="580" w:lineRule="exact"/>
        <w:ind w:firstLine="640"/>
        <w:jc w:val="both"/>
      </w:pPr>
      <w:r>
        <w:rPr>
          <w:rFonts w:ascii="仿宋_GB2312" w:hAnsi="仿宋_GB2312" w:eastAsia="仿宋_GB2312"/>
          <w:sz w:val="32"/>
        </w:rPr>
        <w:t>阿克陶县布伦口乡中心幼儿园无下属预算单位，下设7个科室，分别是：党建办、校办、教务处、团支部、保健室、后勤部、财务室。</w:t>
      </w:r>
    </w:p>
    <w:p w14:paraId="10F0C05F">
      <w:r>
        <w:br w:type="page"/>
      </w:r>
    </w:p>
    <w:p w14:paraId="58107B12">
      <w:pPr>
        <w:spacing w:line="240" w:lineRule="auto"/>
        <w:jc w:val="center"/>
        <w:outlineLvl w:val="1"/>
      </w:pPr>
      <w:r>
        <w:rPr>
          <w:rFonts w:ascii="黑体" w:hAnsi="黑体" w:eastAsia="黑体"/>
          <w:sz w:val="32"/>
        </w:rPr>
        <w:t>第二部分 部门决算情况说明</w:t>
      </w:r>
    </w:p>
    <w:p w14:paraId="07AFA533">
      <w:pPr>
        <w:spacing w:line="640" w:lineRule="exact"/>
        <w:ind w:firstLine="640"/>
        <w:jc w:val="both"/>
        <w:outlineLvl w:val="2"/>
      </w:pPr>
      <w:r>
        <w:rPr>
          <w:rFonts w:ascii="黑体" w:hAnsi="黑体" w:eastAsia="黑体"/>
          <w:sz w:val="32"/>
        </w:rPr>
        <w:t>一、收入支出决算总体情况说明</w:t>
      </w:r>
    </w:p>
    <w:p w14:paraId="532946F9">
      <w:pPr>
        <w:spacing w:line="580" w:lineRule="exact"/>
        <w:ind w:firstLine="640"/>
        <w:jc w:val="both"/>
      </w:pPr>
      <w:r>
        <w:rPr>
          <w:rFonts w:ascii="仿宋_GB2312" w:hAnsi="仿宋_GB2312" w:eastAsia="仿宋_GB2312"/>
          <w:b/>
          <w:sz w:val="32"/>
        </w:rPr>
        <w:t>2024年度收入总计1,007.57万元，</w:t>
      </w:r>
      <w:r>
        <w:rPr>
          <w:rFonts w:ascii="仿宋_GB2312" w:hAnsi="仿宋_GB2312" w:eastAsia="仿宋_GB2312"/>
          <w:b w:val="0"/>
          <w:sz w:val="32"/>
        </w:rPr>
        <w:t>其中：本年收入合计1,007.57万元，使用非财政拨款结余（含专用结余）0.00万元，年初结转和结余0.00万元。</w:t>
      </w:r>
    </w:p>
    <w:p w14:paraId="38E61FBA">
      <w:pPr>
        <w:spacing w:line="580" w:lineRule="exact"/>
        <w:ind w:firstLine="640"/>
        <w:jc w:val="both"/>
      </w:pPr>
      <w:r>
        <w:rPr>
          <w:rFonts w:ascii="仿宋_GB2312" w:hAnsi="仿宋_GB2312" w:eastAsia="仿宋_GB2312"/>
          <w:b/>
          <w:sz w:val="32"/>
        </w:rPr>
        <w:t>2024年度支出总计1,007.57万元，</w:t>
      </w:r>
      <w:r>
        <w:rPr>
          <w:rFonts w:ascii="仿宋_GB2312" w:hAnsi="仿宋_GB2312" w:eastAsia="仿宋_GB2312"/>
          <w:b w:val="0"/>
          <w:sz w:val="32"/>
        </w:rPr>
        <w:t>其中：本年支出合计1,007.56万元，结余分配0.00万元，年末结转和结余0.01万元。</w:t>
      </w:r>
    </w:p>
    <w:p w14:paraId="68AD6EF9">
      <w:pPr>
        <w:spacing w:line="580" w:lineRule="exact"/>
        <w:ind w:firstLine="640"/>
        <w:jc w:val="both"/>
      </w:pPr>
      <w:r>
        <w:rPr>
          <w:rFonts w:ascii="仿宋_GB2312" w:hAnsi="仿宋_GB2312" w:eastAsia="仿宋_GB2312"/>
          <w:b w:val="0"/>
          <w:sz w:val="32"/>
        </w:rPr>
        <w:t>收入支出总体与上年相比，增加79.04万元，增长8.51%，主要原因是：本年补发基本工资和高海拔地区折算工龄补贴资金，在职人员工资调增，社保、公积金基数调增，人员经费增加。</w:t>
      </w:r>
    </w:p>
    <w:p w14:paraId="73FCB67D">
      <w:pPr>
        <w:spacing w:line="640" w:lineRule="exact"/>
        <w:ind w:firstLine="640"/>
        <w:jc w:val="both"/>
        <w:outlineLvl w:val="2"/>
      </w:pPr>
      <w:r>
        <w:rPr>
          <w:rFonts w:ascii="黑体" w:hAnsi="黑体" w:eastAsia="黑体"/>
          <w:sz w:val="32"/>
        </w:rPr>
        <w:t>二、收入决算情况说明</w:t>
      </w:r>
    </w:p>
    <w:p w14:paraId="359439E3">
      <w:pPr>
        <w:spacing w:line="580" w:lineRule="exact"/>
        <w:ind w:firstLine="640"/>
        <w:jc w:val="both"/>
      </w:pPr>
      <w:r>
        <w:rPr>
          <w:rFonts w:ascii="仿宋_GB2312" w:hAnsi="仿宋_GB2312" w:eastAsia="仿宋_GB2312"/>
          <w:b/>
          <w:sz w:val="32"/>
        </w:rPr>
        <w:t>本年收入1,007.57万元，</w:t>
      </w:r>
      <w:r>
        <w:rPr>
          <w:rFonts w:ascii="仿宋_GB2312" w:hAnsi="仿宋_GB2312" w:eastAsia="仿宋_GB2312"/>
          <w:b w:val="0"/>
          <w:sz w:val="32"/>
        </w:rPr>
        <w:t>其中：财政拨款收入1,007.56万元，占100.00%；上级补助收入0.00万元，占0.00%；事业收入0.00万元，占0.00%；经营收入0.00万元，占0.00%；附属单位上缴收入0.00万元，占0.00%；其他收入0.01万元，占0.001%。</w:t>
      </w:r>
    </w:p>
    <w:p w14:paraId="59A420C5">
      <w:pPr>
        <w:spacing w:line="640" w:lineRule="exact"/>
        <w:ind w:firstLine="640"/>
        <w:jc w:val="both"/>
        <w:outlineLvl w:val="2"/>
      </w:pPr>
      <w:r>
        <w:rPr>
          <w:rFonts w:ascii="黑体" w:hAnsi="黑体" w:eastAsia="黑体"/>
          <w:sz w:val="32"/>
        </w:rPr>
        <w:t>三、支出决算情况说明</w:t>
      </w:r>
    </w:p>
    <w:p w14:paraId="06B3350D">
      <w:pPr>
        <w:spacing w:line="580" w:lineRule="exact"/>
        <w:ind w:firstLine="640"/>
        <w:jc w:val="both"/>
      </w:pPr>
      <w:r>
        <w:rPr>
          <w:rFonts w:ascii="仿宋_GB2312" w:hAnsi="仿宋_GB2312" w:eastAsia="仿宋_GB2312"/>
          <w:b/>
          <w:sz w:val="32"/>
        </w:rPr>
        <w:t>本年支出1,007.56万元，</w:t>
      </w:r>
      <w:r>
        <w:rPr>
          <w:rFonts w:ascii="仿宋_GB2312" w:hAnsi="仿宋_GB2312" w:eastAsia="仿宋_GB2312"/>
          <w:b w:val="0"/>
          <w:sz w:val="32"/>
        </w:rPr>
        <w:t>其中：基本支出1,001.49万元，占99.40%；项目支出6.07万元，占0.60%；上缴上级支出0.00万元，占0.00%；经营支出0.00万元，占0.00%；对附属单位补助支出0.00万元，占0.00%。</w:t>
      </w:r>
    </w:p>
    <w:p w14:paraId="6194856C">
      <w:pPr>
        <w:spacing w:line="640" w:lineRule="exact"/>
        <w:ind w:firstLine="640"/>
        <w:jc w:val="both"/>
        <w:outlineLvl w:val="2"/>
      </w:pPr>
      <w:r>
        <w:rPr>
          <w:rFonts w:ascii="黑体" w:hAnsi="黑体" w:eastAsia="黑体"/>
          <w:sz w:val="32"/>
        </w:rPr>
        <w:t>四、财政拨款收入支出决算总体情况说明</w:t>
      </w:r>
    </w:p>
    <w:p w14:paraId="4440AC95">
      <w:pPr>
        <w:spacing w:line="580" w:lineRule="exact"/>
        <w:ind w:firstLine="640"/>
        <w:jc w:val="both"/>
      </w:pPr>
      <w:r>
        <w:rPr>
          <w:rFonts w:ascii="仿宋_GB2312" w:hAnsi="仿宋_GB2312" w:eastAsia="仿宋_GB2312"/>
          <w:b/>
          <w:sz w:val="32"/>
        </w:rPr>
        <w:t>2024年度财政拨款收入总计1,007.56万元，</w:t>
      </w:r>
      <w:r>
        <w:rPr>
          <w:rFonts w:ascii="仿宋_GB2312" w:hAnsi="仿宋_GB2312" w:eastAsia="仿宋_GB2312"/>
          <w:b w:val="0"/>
          <w:sz w:val="32"/>
        </w:rPr>
        <w:t>其中：年初财政拨款结转和结余0.00万元，本年财政拨款收入1,007.56万元。</w:t>
      </w:r>
      <w:r>
        <w:rPr>
          <w:rFonts w:ascii="仿宋_GB2312" w:hAnsi="仿宋_GB2312" w:eastAsia="仿宋_GB2312"/>
          <w:b/>
          <w:sz w:val="32"/>
        </w:rPr>
        <w:t>财政拨款支出总计1,007.56万元，</w:t>
      </w:r>
      <w:r>
        <w:rPr>
          <w:rFonts w:ascii="仿宋_GB2312" w:hAnsi="仿宋_GB2312" w:eastAsia="仿宋_GB2312"/>
          <w:b w:val="0"/>
          <w:sz w:val="32"/>
        </w:rPr>
        <w:t>其中：年末财政拨款结转和结余0.00万元，本年财政拨款支出1,007.56万元。</w:t>
      </w:r>
    </w:p>
    <w:p w14:paraId="6B52C6E3">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增加79.03万元，增长8.51%，主要原因是：本年补发基本工资和高海拔地区折算工龄补贴资金，在职人员工资调增，社保、公积金基数调增，人员经费增加。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年初预算数906.78万元，决算数1,007.56万元，预决算差异率11.11%，主要原因是：年中追加高海拔地区折算工龄补贴资金、人员工资、社保、公积金基数调增部分资金，导致预决算存在差异。</w:t>
      </w:r>
    </w:p>
    <w:p w14:paraId="25C7BAD1">
      <w:pPr>
        <w:spacing w:line="640" w:lineRule="exact"/>
        <w:ind w:firstLine="640"/>
        <w:jc w:val="both"/>
        <w:outlineLvl w:val="2"/>
      </w:pPr>
      <w:r>
        <w:rPr>
          <w:rFonts w:ascii="黑体" w:hAnsi="黑体" w:eastAsia="黑体"/>
          <w:sz w:val="32"/>
        </w:rPr>
        <w:t>五、一般公共预算财政拨款支出决算情况说明</w:t>
      </w:r>
    </w:p>
    <w:p w14:paraId="215E50A1">
      <w:pPr>
        <w:spacing w:line="640" w:lineRule="exact"/>
        <w:ind w:firstLine="640"/>
        <w:jc w:val="both"/>
        <w:outlineLvl w:val="3"/>
      </w:pPr>
      <w:r>
        <w:rPr>
          <w:rFonts w:ascii="楷体_GB2312" w:hAnsi="楷体_GB2312" w:eastAsia="楷体_GB2312"/>
          <w:b/>
          <w:sz w:val="32"/>
        </w:rPr>
        <w:t>（一）一般公共预算财政拨款支出决算总体情况</w:t>
      </w:r>
    </w:p>
    <w:p w14:paraId="46586500">
      <w:pPr>
        <w:spacing w:line="580" w:lineRule="exact"/>
        <w:ind w:firstLine="640"/>
        <w:jc w:val="both"/>
      </w:pPr>
      <w:r>
        <w:rPr>
          <w:rFonts w:ascii="仿宋_GB2312" w:hAnsi="仿宋_GB2312" w:eastAsia="仿宋_GB2312"/>
          <w:b/>
          <w:sz w:val="32"/>
        </w:rPr>
        <w:t>2024年度一般公共预算财政拨款支出1,007.56万元，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增加79.03万元，增长8.51%，主要原因是：本年补发基本工资和高海拔地区折算工龄补贴资金，在职人员工资调增，社保、公积金基数调增，人员经费增加。</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年初预算数906.78万元，决算数1,007.56万元，预决算差异率11.11%，主要原因是：年中追加高海拔地区折算工龄补贴资金、人员工资、社保、公积金基数调增部分资金，导致预决算存在差异。</w:t>
      </w:r>
    </w:p>
    <w:p w14:paraId="081B34BC">
      <w:pPr>
        <w:spacing w:line="640" w:lineRule="exact"/>
        <w:ind w:firstLine="640"/>
        <w:jc w:val="both"/>
        <w:outlineLvl w:val="3"/>
      </w:pPr>
      <w:r>
        <w:rPr>
          <w:rFonts w:ascii="楷体_GB2312" w:hAnsi="楷体_GB2312" w:eastAsia="楷体_GB2312"/>
          <w:b/>
          <w:sz w:val="32"/>
        </w:rPr>
        <w:t>（二）一般公共预算财政拨款支出决算结构情况</w:t>
      </w:r>
    </w:p>
    <w:p w14:paraId="331B8867">
      <w:pPr>
        <w:spacing w:line="580" w:lineRule="exact"/>
        <w:ind w:firstLine="640"/>
        <w:jc w:val="both"/>
      </w:pPr>
      <w:r>
        <w:rPr>
          <w:rFonts w:ascii="仿宋_GB2312" w:hAnsi="仿宋_GB2312" w:eastAsia="仿宋_GB2312"/>
          <w:b w:val="0"/>
          <w:sz w:val="32"/>
        </w:rPr>
        <w:t>1.教育支出(类)1,007.56万元</w:t>
      </w:r>
      <w:r>
        <w:rPr>
          <w:rFonts w:hint="eastAsia" w:ascii="仿宋_GB2312" w:hAnsi="仿宋_GB2312" w:eastAsia="仿宋_GB2312"/>
          <w:b w:val="0"/>
          <w:sz w:val="32"/>
          <w:lang w:eastAsia="zh-CN"/>
        </w:rPr>
        <w:t>，</w:t>
      </w:r>
      <w:r>
        <w:rPr>
          <w:rFonts w:ascii="仿宋_GB2312" w:hAnsi="仿宋_GB2312" w:eastAsia="仿宋_GB2312"/>
          <w:b w:val="0"/>
          <w:sz w:val="32"/>
        </w:rPr>
        <w:t>占100.00%。</w:t>
      </w:r>
    </w:p>
    <w:p w14:paraId="28CFFC44">
      <w:pPr>
        <w:spacing w:line="640" w:lineRule="exact"/>
        <w:ind w:firstLine="640"/>
        <w:jc w:val="both"/>
        <w:outlineLvl w:val="3"/>
      </w:pPr>
      <w:r>
        <w:rPr>
          <w:rFonts w:ascii="楷体_GB2312" w:hAnsi="楷体_GB2312" w:eastAsia="楷体_GB2312"/>
          <w:b/>
          <w:sz w:val="32"/>
        </w:rPr>
        <w:t>（三）一般公共预算财政拨款支出决算具体情况</w:t>
      </w:r>
    </w:p>
    <w:p w14:paraId="0110D66B">
      <w:pPr>
        <w:spacing w:line="580" w:lineRule="exact"/>
        <w:ind w:firstLine="640"/>
        <w:jc w:val="both"/>
      </w:pPr>
      <w:r>
        <w:rPr>
          <w:rFonts w:ascii="仿宋_GB2312" w:hAnsi="仿宋_GB2312" w:eastAsia="仿宋_GB2312"/>
          <w:b w:val="0"/>
          <w:sz w:val="32"/>
        </w:rPr>
        <w:t>1.教育支出(类)普通教育(款)学前教育(项):支出决算数为1,007.56万元，比上年决算增加87.27万元，增长9.48%</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功能科目调整，养老保险缴费上年度单独列支，本年调整至主科目列支，导致经费较上年增加；本年补发基本工资和高海拔地区折算工龄补贴资金，在职人员工资调增，社保、公积金基数调增，人员经费增加。</w:t>
      </w:r>
    </w:p>
    <w:p w14:paraId="76148250">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2.社会保障和就业支出(类)行政事业单位养老支出(款)机关事业单位基本养老保险缴费支出(项):支出决算数为0.00万元，比上年决算减少8.24万元，下降100.00%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主要原因是：本年功能科目调整，养老保险缴费上年度单独列支，本年调整至主科目列支，导致经费较上年减少。</w:t>
      </w:r>
    </w:p>
    <w:p w14:paraId="77309887">
      <w:pPr>
        <w:spacing w:line="640" w:lineRule="exact"/>
        <w:ind w:firstLine="640"/>
        <w:jc w:val="both"/>
        <w:outlineLvl w:val="2"/>
      </w:pPr>
      <w:r>
        <w:rPr>
          <w:rFonts w:ascii="黑体" w:hAnsi="黑体" w:eastAsia="黑体"/>
          <w:sz w:val="32"/>
        </w:rPr>
        <w:t>六、一般公共预算财政拨款基本支出决算情况说明</w:t>
      </w:r>
    </w:p>
    <w:p w14:paraId="3312680D">
      <w:pPr>
        <w:spacing w:line="580" w:lineRule="exact"/>
        <w:ind w:firstLine="640"/>
        <w:jc w:val="both"/>
      </w:pPr>
      <w:r>
        <w:rPr>
          <w:rFonts w:ascii="仿宋_GB2312" w:hAnsi="仿宋_GB2312" w:eastAsia="仿宋_GB2312"/>
          <w:b w:val="0"/>
          <w:sz w:val="32"/>
        </w:rPr>
        <w:t>2024年度一般公共预算财政拨款基本支出1,001.49万元，其中：</w:t>
      </w:r>
      <w:r>
        <w:rPr>
          <w:rFonts w:ascii="仿宋_GB2312" w:hAnsi="仿宋_GB2312" w:eastAsia="仿宋_GB2312"/>
          <w:b/>
          <w:sz w:val="32"/>
        </w:rPr>
        <w:t>人员经费980.45万元，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包括：基本工资、津贴补贴、奖金、机关事业单位基本养老保险缴费、职业年金缴费、职工基本医疗保险缴费、其他社会保障缴费、住房公积金、奖励金。</w:t>
      </w:r>
    </w:p>
    <w:p w14:paraId="668578B6">
      <w:pPr>
        <w:spacing w:line="580" w:lineRule="exact"/>
        <w:ind w:firstLine="640"/>
        <w:jc w:val="both"/>
      </w:pPr>
      <w:r>
        <w:rPr>
          <w:rFonts w:ascii="仿宋_GB2312" w:hAnsi="仿宋_GB2312" w:eastAsia="仿宋_GB2312"/>
          <w:b/>
          <w:sz w:val="32"/>
        </w:rPr>
        <w:t>公用经费21.04万元，</w:t>
      </w:r>
      <w:r>
        <w:rPr>
          <w:rFonts w:ascii="仿宋_GB2312" w:hAnsi="仿宋_GB2312" w:eastAsia="仿宋_GB2312"/>
          <w:b w:val="0"/>
          <w:sz w:val="32"/>
        </w:rPr>
        <w:t>包括：办公费、水费、电费、邮电费、取暖费、物业管理费、维修（护）费、培训费、其他商品和服务支出。</w:t>
      </w:r>
    </w:p>
    <w:p w14:paraId="48371EA5">
      <w:pPr>
        <w:spacing w:line="640" w:lineRule="exact"/>
        <w:ind w:firstLine="640"/>
        <w:jc w:val="both"/>
        <w:outlineLvl w:val="2"/>
      </w:pPr>
      <w:r>
        <w:rPr>
          <w:rFonts w:ascii="黑体" w:hAnsi="黑体" w:eastAsia="黑体"/>
          <w:sz w:val="32"/>
        </w:rPr>
        <w:t>七、政府性基金预算财政拨款收入支出决算情况说明</w:t>
      </w:r>
    </w:p>
    <w:p w14:paraId="42C3F739">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362738DA">
      <w:pPr>
        <w:spacing w:line="640" w:lineRule="exact"/>
        <w:ind w:firstLine="640"/>
        <w:jc w:val="both"/>
        <w:outlineLvl w:val="2"/>
      </w:pPr>
      <w:r>
        <w:rPr>
          <w:rFonts w:ascii="黑体" w:hAnsi="黑体" w:eastAsia="黑体"/>
          <w:sz w:val="32"/>
        </w:rPr>
        <w:t>八、国有资本经营预算财政拨款收入支出决算情况说明</w:t>
      </w:r>
    </w:p>
    <w:p w14:paraId="77F4D5EF">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D9F5EA8">
      <w:pPr>
        <w:spacing w:line="640" w:lineRule="exact"/>
        <w:ind w:firstLine="640"/>
        <w:jc w:val="both"/>
        <w:outlineLvl w:val="2"/>
      </w:pPr>
      <w:r>
        <w:rPr>
          <w:rFonts w:ascii="黑体" w:hAnsi="黑体" w:eastAsia="黑体"/>
          <w:sz w:val="32"/>
        </w:rPr>
        <w:t>九、财政拨款“三公”经费支出决算情况说明</w:t>
      </w:r>
    </w:p>
    <w:p w14:paraId="0CDC3215">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62202CCF">
      <w:pPr>
        <w:spacing w:line="580" w:lineRule="exact"/>
        <w:ind w:firstLine="640"/>
        <w:jc w:val="both"/>
      </w:pPr>
      <w:r>
        <w:rPr>
          <w:rFonts w:ascii="仿宋_GB2312" w:hAnsi="仿宋_GB2312" w:eastAsia="仿宋_GB2312"/>
          <w:b/>
          <w:sz w:val="32"/>
        </w:rPr>
        <w:t>具体情况如下：</w:t>
      </w:r>
    </w:p>
    <w:p w14:paraId="6FC897E8">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3BD177C">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03726E08">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0D6F7AF">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2DE28328">
      <w:pPr>
        <w:spacing w:line="640" w:lineRule="exact"/>
        <w:ind w:firstLine="640"/>
        <w:jc w:val="both"/>
        <w:outlineLvl w:val="2"/>
      </w:pPr>
      <w:r>
        <w:rPr>
          <w:rFonts w:ascii="黑体" w:hAnsi="黑体" w:eastAsia="黑体"/>
          <w:sz w:val="32"/>
        </w:rPr>
        <w:t>十、其他重要事项的情况说明</w:t>
      </w:r>
    </w:p>
    <w:p w14:paraId="69A04EC8">
      <w:pPr>
        <w:spacing w:line="640" w:lineRule="exact"/>
        <w:ind w:firstLine="640"/>
        <w:jc w:val="both"/>
        <w:outlineLvl w:val="3"/>
      </w:pPr>
      <w:r>
        <w:rPr>
          <w:rFonts w:ascii="楷体_GB2312" w:hAnsi="楷体_GB2312" w:eastAsia="楷体_GB2312"/>
          <w:b/>
          <w:sz w:val="32"/>
        </w:rPr>
        <w:t>（一）机关运行经费及公用经费支出情况</w:t>
      </w:r>
    </w:p>
    <w:p w14:paraId="7988C6CD">
      <w:pPr>
        <w:spacing w:line="580" w:lineRule="exact"/>
        <w:ind w:firstLine="640"/>
        <w:jc w:val="both"/>
      </w:pPr>
      <w:r>
        <w:rPr>
          <w:rFonts w:ascii="仿宋_GB2312" w:hAnsi="仿宋_GB2312" w:eastAsia="仿宋_GB2312"/>
          <w:b w:val="0"/>
          <w:sz w:val="32"/>
        </w:rPr>
        <w:t>2024年度阿克陶县布伦口乡中心幼儿园（事业单位）公用经费支出21.04万元，比上年增加1.78万元，增长9.24%，主要原因是：本年维护补充办公用品，导致公用经费较上年增加。</w:t>
      </w:r>
    </w:p>
    <w:p w14:paraId="4AC096A6">
      <w:pPr>
        <w:spacing w:line="640" w:lineRule="exact"/>
        <w:ind w:firstLine="640"/>
        <w:jc w:val="both"/>
        <w:outlineLvl w:val="3"/>
      </w:pPr>
      <w:r>
        <w:rPr>
          <w:rFonts w:ascii="楷体_GB2312" w:hAnsi="楷体_GB2312" w:eastAsia="楷体_GB2312"/>
          <w:b/>
          <w:sz w:val="32"/>
        </w:rPr>
        <w:t>（二）政府采购情况</w:t>
      </w:r>
    </w:p>
    <w:p w14:paraId="4CBD8D5C">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265EE127">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250A6ED0">
      <w:pPr>
        <w:spacing w:line="640" w:lineRule="exact"/>
        <w:ind w:firstLine="640"/>
        <w:jc w:val="both"/>
        <w:outlineLvl w:val="3"/>
      </w:pPr>
      <w:r>
        <w:rPr>
          <w:rFonts w:ascii="楷体_GB2312" w:hAnsi="楷体_GB2312" w:eastAsia="楷体_GB2312"/>
          <w:b/>
          <w:sz w:val="32"/>
        </w:rPr>
        <w:t>（三）国有资产占用情况说明</w:t>
      </w:r>
    </w:p>
    <w:p w14:paraId="70AEAEE5">
      <w:pPr>
        <w:spacing w:line="580" w:lineRule="exact"/>
        <w:ind w:firstLine="640"/>
        <w:jc w:val="both"/>
      </w:pPr>
      <w:r>
        <w:rPr>
          <w:rFonts w:ascii="仿宋_GB2312" w:hAnsi="仿宋_GB2312" w:eastAsia="仿宋_GB2312"/>
          <w:b w:val="0"/>
          <w:sz w:val="32"/>
        </w:rPr>
        <w:t>截至2024年12月31日，房屋1,734.26平方米，价值280.07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6BD0F928">
      <w:pPr>
        <w:spacing w:line="640" w:lineRule="exact"/>
        <w:ind w:firstLine="640"/>
        <w:jc w:val="both"/>
        <w:outlineLvl w:val="2"/>
      </w:pPr>
      <w:r>
        <w:rPr>
          <w:rFonts w:ascii="黑体" w:hAnsi="黑体" w:eastAsia="黑体"/>
          <w:sz w:val="32"/>
        </w:rPr>
        <w:t>十一、预算绩效的情况说明</w:t>
      </w:r>
    </w:p>
    <w:p w14:paraId="2F465DFE">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1,007.57万元，实际执行总额1,007.56万元；预算绩效评价项目0个，全年预算数0.00万元，全年执行数0.00万元。预算绩效管理取得的成效：2024年</w:t>
      </w:r>
      <w:bookmarkStart w:id="0" w:name="_GoBack"/>
      <w:r>
        <w:rPr>
          <w:rFonts w:hint="eastAsia" w:ascii="仿宋_GB2312" w:hAnsi="仿宋_GB2312" w:eastAsia="仿宋_GB2312"/>
          <w:b w:val="0"/>
          <w:sz w:val="32"/>
          <w:lang w:eastAsia="zh-CN"/>
        </w:rPr>
        <w:t>本单位</w:t>
      </w:r>
      <w:bookmarkEnd w:id="0"/>
      <w:r>
        <w:rPr>
          <w:rFonts w:ascii="仿宋_GB2312" w:hAnsi="仿宋_GB2312" w:eastAsia="仿宋_GB2312"/>
          <w:b w:val="0"/>
          <w:sz w:val="32"/>
        </w:rPr>
        <w:t>无预算绩效项目。发现的问题及原因：2024年</w:t>
      </w:r>
      <w:r>
        <w:rPr>
          <w:rFonts w:hint="eastAsia" w:ascii="仿宋_GB2312" w:hAnsi="仿宋_GB2312" w:eastAsia="仿宋_GB2312"/>
          <w:b w:val="0"/>
          <w:sz w:val="32"/>
          <w:lang w:eastAsia="zh-CN"/>
        </w:rPr>
        <w:t>本单位</w:t>
      </w:r>
      <w:r>
        <w:rPr>
          <w:rFonts w:ascii="仿宋_GB2312" w:hAnsi="仿宋_GB2312" w:eastAsia="仿宋_GB2312"/>
          <w:b w:val="0"/>
          <w:sz w:val="32"/>
        </w:rPr>
        <w:t>无预算绩效项目。下一步改进措施：2024年</w:t>
      </w:r>
      <w:r>
        <w:rPr>
          <w:rFonts w:hint="eastAsia" w:ascii="仿宋_GB2312" w:hAnsi="仿宋_GB2312" w:eastAsia="仿宋_GB2312"/>
          <w:b w:val="0"/>
          <w:sz w:val="32"/>
          <w:lang w:eastAsia="zh-CN"/>
        </w:rPr>
        <w:t>本单位</w:t>
      </w:r>
      <w:r>
        <w:rPr>
          <w:rFonts w:ascii="仿宋_GB2312" w:hAnsi="仿宋_GB2312" w:eastAsia="仿宋_GB2312"/>
          <w:b w:val="0"/>
          <w:sz w:val="32"/>
        </w:rPr>
        <w:t>无预算绩效项目。具体附整体支出绩效自评表。</w:t>
      </w:r>
    </w:p>
    <w:p w14:paraId="72F3A386">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3D367E8B">
        <w:tblPrEx>
          <w:tblCellMar>
            <w:top w:w="0" w:type="dxa"/>
            <w:left w:w="108" w:type="dxa"/>
            <w:bottom w:w="0" w:type="dxa"/>
            <w:right w:w="108" w:type="dxa"/>
          </w:tblCellMar>
        </w:tblPrEx>
        <w:tc>
          <w:tcPr>
            <w:tcW w:w="8840" w:type="dxa"/>
            <w:gridSpan w:val="8"/>
            <w:vAlign w:val="center"/>
          </w:tcPr>
          <w:p w14:paraId="20CC4C96">
            <w:pPr>
              <w:jc w:val="center"/>
            </w:pPr>
            <w:r>
              <w:rPr>
                <w:rFonts w:ascii="宋体" w:hAnsi="宋体" w:eastAsia="宋体"/>
                <w:sz w:val="24"/>
              </w:rPr>
              <w:t>单位整体支出绩效自评表</w:t>
            </w:r>
          </w:p>
        </w:tc>
      </w:tr>
      <w:tr w14:paraId="131F1F9E">
        <w:tblPrEx>
          <w:tblCellMar>
            <w:top w:w="0" w:type="dxa"/>
            <w:left w:w="108" w:type="dxa"/>
            <w:bottom w:w="0" w:type="dxa"/>
            <w:right w:w="108" w:type="dxa"/>
          </w:tblCellMar>
        </w:tblPrEx>
        <w:tc>
          <w:tcPr>
            <w:tcW w:w="8840" w:type="dxa"/>
            <w:gridSpan w:val="8"/>
            <w:vAlign w:val="center"/>
          </w:tcPr>
          <w:p w14:paraId="1D7970AD">
            <w:pPr>
              <w:jc w:val="center"/>
            </w:pPr>
            <w:r>
              <w:rPr>
                <w:rFonts w:ascii="宋体" w:hAnsi="宋体" w:eastAsia="宋体"/>
                <w:sz w:val="24"/>
              </w:rPr>
              <w:t>（2024年度）</w:t>
            </w:r>
          </w:p>
        </w:tc>
      </w:tr>
      <w:tr w14:paraId="55A62DC6">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423D82">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3A6041">
            <w:pPr>
              <w:jc w:val="center"/>
            </w:pPr>
            <w:r>
              <w:rPr>
                <w:rFonts w:ascii="宋体" w:hAnsi="宋体" w:eastAsia="宋体"/>
                <w:sz w:val="16"/>
              </w:rPr>
              <w:t>阿克陶县布伦口乡中心幼儿园</w:t>
            </w:r>
          </w:p>
        </w:tc>
      </w:tr>
      <w:tr w14:paraId="183EF15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8D2648">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9BE4C9">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3C1D6D">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3CBC5B">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35703F">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2324E1">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19015C">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5E0613">
            <w:pPr>
              <w:jc w:val="center"/>
            </w:pPr>
            <w:r>
              <w:rPr>
                <w:rFonts w:ascii="宋体" w:hAnsi="宋体" w:eastAsia="宋体"/>
                <w:sz w:val="16"/>
              </w:rPr>
              <w:t>得分</w:t>
            </w:r>
          </w:p>
        </w:tc>
      </w:tr>
      <w:tr w14:paraId="04CFCEB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81B741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7A5031">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452B6F">
            <w:pPr>
              <w:jc w:val="center"/>
            </w:pPr>
            <w:r>
              <w:rPr>
                <w:rFonts w:ascii="宋体" w:hAnsi="宋体" w:eastAsia="宋体"/>
                <w:sz w:val="16"/>
              </w:rPr>
              <w:t>904.14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E8E5A5">
            <w:pPr>
              <w:jc w:val="center"/>
            </w:pPr>
            <w:r>
              <w:rPr>
                <w:rFonts w:ascii="宋体" w:hAnsi="宋体" w:eastAsia="宋体"/>
                <w:sz w:val="16"/>
              </w:rPr>
              <w:t>1,007.57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8C80C9">
            <w:pPr>
              <w:jc w:val="center"/>
            </w:pPr>
            <w:r>
              <w:rPr>
                <w:rFonts w:ascii="宋体" w:hAnsi="宋体" w:eastAsia="宋体"/>
                <w:sz w:val="16"/>
              </w:rPr>
              <w:t>1,007.56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BA4F3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9C4696">
            <w:pPr>
              <w:jc w:val="center"/>
            </w:pPr>
            <w:r>
              <w:rPr>
                <w:rFonts w:ascii="宋体" w:hAnsi="宋体" w:eastAsia="宋体"/>
                <w:sz w:val="16"/>
              </w:rPr>
              <w:t>100.00%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E48ECE">
            <w:pPr>
              <w:jc w:val="center"/>
            </w:pPr>
            <w:r>
              <w:rPr>
                <w:rFonts w:ascii="宋体" w:hAnsi="宋体" w:eastAsia="宋体"/>
                <w:sz w:val="16"/>
              </w:rPr>
              <w:t>10</w:t>
            </w:r>
          </w:p>
        </w:tc>
      </w:tr>
      <w:tr w14:paraId="1B0AAA0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8F188D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3B2E1A">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65E63A">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C10F83">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FA9834">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2595F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3555D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018EAB">
            <w:pPr>
              <w:jc w:val="center"/>
            </w:pPr>
            <w:r>
              <w:rPr>
                <w:rFonts w:ascii="宋体" w:hAnsi="宋体" w:eastAsia="宋体"/>
                <w:sz w:val="16"/>
              </w:rPr>
              <w:t>—</w:t>
            </w:r>
          </w:p>
        </w:tc>
      </w:tr>
      <w:tr w14:paraId="0BB687E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DA6FFB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23D2F2">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C3D911">
            <w:pPr>
              <w:jc w:val="center"/>
            </w:pPr>
            <w:r>
              <w:rPr>
                <w:rFonts w:ascii="宋体" w:hAnsi="宋体" w:eastAsia="宋体"/>
                <w:sz w:val="16"/>
              </w:rPr>
              <w:t>904.14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BA68E6">
            <w:pPr>
              <w:jc w:val="center"/>
            </w:pPr>
            <w:r>
              <w:rPr>
                <w:rFonts w:ascii="宋体" w:hAnsi="宋体" w:eastAsia="宋体"/>
                <w:sz w:val="16"/>
              </w:rPr>
              <w:t>1,007.57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22B86D">
            <w:pPr>
              <w:jc w:val="center"/>
            </w:pPr>
            <w:r>
              <w:rPr>
                <w:rFonts w:ascii="宋体" w:hAnsi="宋体" w:eastAsia="宋体"/>
                <w:sz w:val="16"/>
              </w:rPr>
              <w:t>1,007.56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28615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1C532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01129C">
            <w:pPr>
              <w:jc w:val="center"/>
            </w:pPr>
            <w:r>
              <w:rPr>
                <w:rFonts w:ascii="宋体" w:hAnsi="宋体" w:eastAsia="宋体"/>
                <w:sz w:val="16"/>
              </w:rPr>
              <w:t>—</w:t>
            </w:r>
          </w:p>
        </w:tc>
      </w:tr>
      <w:tr w14:paraId="10B03E9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A2A190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1A299B">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880C84">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1891CE">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3E1EFF">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12AAB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7A0D0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4B3AE5">
            <w:pPr>
              <w:jc w:val="center"/>
            </w:pPr>
            <w:r>
              <w:rPr>
                <w:rFonts w:ascii="宋体" w:hAnsi="宋体" w:eastAsia="宋体"/>
                <w:sz w:val="16"/>
              </w:rPr>
              <w:t>—</w:t>
            </w:r>
          </w:p>
        </w:tc>
      </w:tr>
      <w:tr w14:paraId="19C3EA94">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94872A">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27C3C6F">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BCA0BD8">
            <w:pPr>
              <w:jc w:val="center"/>
            </w:pPr>
            <w:r>
              <w:rPr>
                <w:rFonts w:ascii="宋体" w:hAnsi="宋体" w:eastAsia="宋体"/>
                <w:sz w:val="16"/>
              </w:rPr>
              <w:t>实际完成情况</w:t>
            </w:r>
          </w:p>
        </w:tc>
      </w:tr>
      <w:tr w14:paraId="250BFCC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54A12A1"/>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34CF437">
            <w:pPr>
              <w:jc w:val="both"/>
            </w:pPr>
            <w:r>
              <w:rPr>
                <w:rFonts w:ascii="宋体" w:hAnsi="宋体" w:eastAsia="宋体"/>
                <w:sz w:val="16"/>
              </w:rPr>
              <w:t>确保在职人员的工资、津贴、补贴、社保、医保、公积金等人员保障性经费能够依规、按时、足额发放或缴纳，提升部门人员工作积极性和服务质量；保障部门日常运转，为部门正常履职和开展综合性事务管理提供有效支撑。</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4E67DBC">
            <w:pPr>
              <w:jc w:val="both"/>
            </w:pPr>
            <w:r>
              <w:rPr>
                <w:rFonts w:ascii="宋体" w:hAnsi="宋体" w:eastAsia="宋体"/>
                <w:sz w:val="16"/>
              </w:rPr>
              <w:t>确保了在职人员的工资、津贴、补贴、社保、医保、公积金等以及医疗费，遗属人员生活补助等人员保障性经费能够依规、按时、足额发放或缴纳，学生升学率100%，学生入学率100%，有效提升部门人员工作积极性和服务质量；有效保障部门日常运转，为部门正常履职和开展综合性事务提供有效支撑，并大大提升我校教育教学水平，最大程度提高师生的满意度。</w:t>
            </w:r>
          </w:p>
        </w:tc>
      </w:tr>
      <w:tr w14:paraId="74961CA2">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6D972B">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C9926D">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0CDE9B">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D4CEB1">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8D5972">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936288">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773C00">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00AB73">
            <w:pPr>
              <w:jc w:val="center"/>
            </w:pPr>
            <w:r>
              <w:rPr>
                <w:rFonts w:ascii="宋体" w:hAnsi="宋体" w:eastAsia="宋体"/>
                <w:sz w:val="16"/>
              </w:rPr>
              <w:t>得分</w:t>
            </w:r>
          </w:p>
        </w:tc>
      </w:tr>
      <w:tr w14:paraId="5C824A3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F8A5E9">
            <w:pPr>
              <w:jc w:val="center"/>
            </w:pPr>
            <w:r>
              <w:rPr>
                <w:rFonts w:ascii="宋体" w:hAnsi="宋体" w:eastAsia="宋体"/>
                <w:sz w:val="16"/>
              </w:rPr>
              <w:t>运行成本</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4E3243">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9E0D3D">
            <w:pPr>
              <w:jc w:val="center"/>
            </w:pPr>
            <w:r>
              <w:rPr>
                <w:rFonts w:ascii="宋体" w:hAnsi="宋体" w:eastAsia="宋体"/>
                <w:sz w:val="16"/>
              </w:rPr>
              <w:t>人员工资福利支出预算保障人数(人)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3821BD">
            <w:pPr>
              <w:jc w:val="center"/>
            </w:pPr>
            <w:r>
              <w:rPr>
                <w:rFonts w:ascii="宋体" w:hAnsi="宋体" w:eastAsia="宋体"/>
                <w:sz w:val="16"/>
              </w:rPr>
              <w:t>&gt;=44人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125A08">
            <w:pPr>
              <w:jc w:val="center"/>
            </w:pPr>
            <w:r>
              <w:rPr>
                <w:rFonts w:ascii="宋体" w:hAnsi="宋体" w:eastAsia="宋体"/>
                <w:sz w:val="16"/>
              </w:rPr>
              <w:t>上年度末工资汇总表\人员编制增减变动的批复文件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496230">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0DC75D">
            <w:pPr>
              <w:jc w:val="center"/>
            </w:pPr>
            <w:r>
              <w:rPr>
                <w:rFonts w:ascii="宋体" w:hAnsi="宋体" w:eastAsia="宋体"/>
                <w:sz w:val="16"/>
              </w:rPr>
              <w:t>44人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731A47">
            <w:pPr>
              <w:jc w:val="center"/>
            </w:pPr>
            <w:r>
              <w:rPr>
                <w:rFonts w:ascii="宋体" w:hAnsi="宋体" w:eastAsia="宋体"/>
                <w:sz w:val="16"/>
              </w:rPr>
              <w:t>10</w:t>
            </w:r>
          </w:p>
        </w:tc>
      </w:tr>
      <w:tr w14:paraId="365F871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EEF576A"/>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E7DFE5">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6D3CCB">
            <w:pPr>
              <w:jc w:val="center"/>
            </w:pPr>
            <w:r>
              <w:rPr>
                <w:rFonts w:ascii="宋体" w:hAnsi="宋体" w:eastAsia="宋体"/>
                <w:sz w:val="16"/>
              </w:rPr>
              <w:t>人员保障性资金支出控制数（万元）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C4D175">
            <w:pPr>
              <w:jc w:val="center"/>
            </w:pPr>
            <w:r>
              <w:rPr>
                <w:rFonts w:ascii="宋体" w:hAnsi="宋体" w:eastAsia="宋体"/>
                <w:sz w:val="16"/>
              </w:rPr>
              <w:t>&lt;=892.92万元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D13EC3">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397809">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522C2B">
            <w:pPr>
              <w:jc w:val="center"/>
            </w:pPr>
            <w:r>
              <w:rPr>
                <w:rFonts w:ascii="宋体" w:hAnsi="宋体" w:eastAsia="宋体"/>
                <w:sz w:val="16"/>
              </w:rPr>
              <w:t>980.45万元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2727E5">
            <w:pPr>
              <w:jc w:val="center"/>
            </w:pPr>
            <w:r>
              <w:rPr>
                <w:rFonts w:ascii="宋体" w:hAnsi="宋体" w:eastAsia="宋体"/>
                <w:sz w:val="16"/>
              </w:rPr>
              <w:t>9.11</w:t>
            </w:r>
          </w:p>
        </w:tc>
      </w:tr>
      <w:tr w14:paraId="1A424AB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DC4CD82"/>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EA53B7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4E94F1">
            <w:pPr>
              <w:jc w:val="center"/>
            </w:pPr>
            <w:r>
              <w:rPr>
                <w:rFonts w:ascii="宋体" w:hAnsi="宋体" w:eastAsia="宋体"/>
                <w:sz w:val="16"/>
              </w:rPr>
              <w:t>公用经费支出控制数（万元）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7CC703">
            <w:pPr>
              <w:jc w:val="center"/>
            </w:pPr>
            <w:r>
              <w:rPr>
                <w:rFonts w:ascii="宋体" w:hAnsi="宋体" w:eastAsia="宋体"/>
                <w:sz w:val="16"/>
              </w:rPr>
              <w:t>&lt;=11.22万元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00E95C">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D55E6E">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FDC44E">
            <w:pPr>
              <w:jc w:val="center"/>
            </w:pPr>
            <w:r>
              <w:rPr>
                <w:rFonts w:ascii="宋体" w:hAnsi="宋体" w:eastAsia="宋体"/>
                <w:sz w:val="16"/>
              </w:rPr>
              <w:t>0万元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6C4EA7">
            <w:pPr>
              <w:jc w:val="center"/>
            </w:pPr>
            <w:r>
              <w:rPr>
                <w:rFonts w:ascii="宋体" w:hAnsi="宋体" w:eastAsia="宋体"/>
                <w:sz w:val="16"/>
              </w:rPr>
              <w:t>0</w:t>
            </w:r>
          </w:p>
        </w:tc>
      </w:tr>
      <w:tr w14:paraId="1C4CFFEF">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8ED047">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20492B">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69F106">
            <w:pPr>
              <w:jc w:val="center"/>
            </w:pPr>
            <w:r>
              <w:rPr>
                <w:rFonts w:ascii="宋体" w:hAnsi="宋体" w:eastAsia="宋体"/>
                <w:sz w:val="16"/>
              </w:rPr>
              <w:t>适龄儿童入学率（%）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81C472">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2CC6FE">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F31DB3">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50F916">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AB6AE2">
            <w:pPr>
              <w:jc w:val="center"/>
            </w:pPr>
            <w:r>
              <w:rPr>
                <w:rFonts w:ascii="宋体" w:hAnsi="宋体" w:eastAsia="宋体"/>
                <w:sz w:val="16"/>
              </w:rPr>
              <w:t>15</w:t>
            </w:r>
          </w:p>
        </w:tc>
      </w:tr>
      <w:tr w14:paraId="1D3AB92D">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5B6399">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466034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9BB449">
            <w:pPr>
              <w:jc w:val="center"/>
            </w:pPr>
            <w:r>
              <w:rPr>
                <w:rFonts w:ascii="宋体" w:hAnsi="宋体" w:eastAsia="宋体"/>
                <w:sz w:val="16"/>
              </w:rPr>
              <w:t>保障幼儿园升学率（%）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6834C7">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500491">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4AB652">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72C24B">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8A0347">
            <w:pPr>
              <w:jc w:val="center"/>
            </w:pPr>
            <w:r>
              <w:rPr>
                <w:rFonts w:ascii="宋体" w:hAnsi="宋体" w:eastAsia="宋体"/>
                <w:sz w:val="16"/>
              </w:rPr>
              <w:t>15</w:t>
            </w:r>
          </w:p>
        </w:tc>
      </w:tr>
      <w:tr w14:paraId="7EC5AE44">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DC5A4E">
            <w:pPr>
              <w:jc w:val="center"/>
            </w:pPr>
            <w:r>
              <w:rPr>
                <w:rFonts w:ascii="宋体" w:hAnsi="宋体" w:eastAsia="宋体"/>
                <w:sz w:val="16"/>
              </w:rPr>
              <w:t>社会效益</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5F4FBF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016B68">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BE8E51">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8F1837">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D494EE">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5C1039">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97A2F3">
            <w:pPr>
              <w:jc w:val="center"/>
            </w:pPr>
            <w:r>
              <w:rPr>
                <w:rFonts w:ascii="宋体" w:hAnsi="宋体" w:eastAsia="宋体"/>
                <w:sz w:val="16"/>
              </w:rPr>
              <w:t>10</w:t>
            </w:r>
          </w:p>
        </w:tc>
      </w:tr>
      <w:tr w14:paraId="3AD214B5">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01324D">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977661">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E78BFD">
            <w:pPr>
              <w:jc w:val="center"/>
            </w:pPr>
            <w:r>
              <w:rPr>
                <w:rFonts w:ascii="宋体" w:hAnsi="宋体" w:eastAsia="宋体"/>
                <w:sz w:val="16"/>
              </w:rPr>
              <w:t>社会公众对本部门履职效果的满意度(%)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1E05DD">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02EE2A">
            <w:pPr>
              <w:jc w:val="center"/>
            </w:pPr>
            <w:r>
              <w:rPr>
                <w:rFonts w:hint="eastAsia" w:ascii="宋体" w:hAnsi="宋体"/>
                <w:sz w:val="16"/>
                <w:lang w:eastAsia="zh-CN"/>
              </w:rPr>
              <w:t>“十四五”发展规划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15563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29AAF8">
            <w:pPr>
              <w:jc w:val="center"/>
            </w:pPr>
            <w:r>
              <w:rPr>
                <w:rFonts w:ascii="宋体" w:hAnsi="宋体" w:eastAsia="宋体"/>
                <w:sz w:val="16"/>
              </w:rPr>
              <w: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8227BF">
            <w:pPr>
              <w:jc w:val="center"/>
            </w:pPr>
            <w:r>
              <w:rPr>
                <w:rFonts w:ascii="宋体" w:hAnsi="宋体" w:eastAsia="宋体"/>
                <w:sz w:val="16"/>
              </w:rPr>
              <w:t>10</w:t>
            </w:r>
          </w:p>
        </w:tc>
      </w:tr>
      <w:tr w14:paraId="4EA4675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413044C"/>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CC2AC2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831E35">
            <w:pPr>
              <w:jc w:val="center"/>
            </w:pPr>
            <w:r>
              <w:rPr>
                <w:rFonts w:ascii="宋体" w:hAnsi="宋体" w:eastAsia="宋体"/>
                <w:sz w:val="16"/>
              </w:rPr>
              <w:t>在职人员的满意度(%)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C85F30">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56CC69">
            <w:pPr>
              <w:jc w:val="center"/>
            </w:pPr>
            <w:r>
              <w:rPr>
                <w:rFonts w:hint="eastAsia" w:ascii="宋体" w:hAnsi="宋体"/>
                <w:sz w:val="16"/>
                <w:lang w:eastAsia="zh-CN"/>
              </w:rPr>
              <w:t>“十四五”发展规划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8DF25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5978D8">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1D5260">
            <w:pPr>
              <w:jc w:val="center"/>
            </w:pPr>
            <w:r>
              <w:rPr>
                <w:rFonts w:ascii="宋体" w:hAnsi="宋体" w:eastAsia="宋体"/>
                <w:sz w:val="16"/>
              </w:rPr>
              <w:t>10</w:t>
            </w:r>
          </w:p>
        </w:tc>
      </w:tr>
    </w:tbl>
    <w:p w14:paraId="78FCA141">
      <w:r>
        <w:br w:type="page"/>
      </w:r>
    </w:p>
    <w:p w14:paraId="1772F301">
      <w:pPr>
        <w:spacing w:line="640" w:lineRule="exact"/>
        <w:ind w:firstLine="640"/>
        <w:jc w:val="both"/>
        <w:outlineLvl w:val="2"/>
      </w:pPr>
      <w:r>
        <w:rPr>
          <w:rFonts w:ascii="黑体" w:hAnsi="黑体" w:eastAsia="黑体"/>
          <w:sz w:val="32"/>
        </w:rPr>
        <w:t>十二、其他需说明的事项</w:t>
      </w:r>
    </w:p>
    <w:p w14:paraId="6D75EA11">
      <w:pPr>
        <w:spacing w:line="580" w:lineRule="exact"/>
        <w:ind w:firstLine="640"/>
        <w:jc w:val="both"/>
      </w:pPr>
      <w:r>
        <w:rPr>
          <w:rFonts w:ascii="仿宋_GB2312" w:hAnsi="仿宋_GB2312" w:eastAsia="仿宋_GB2312"/>
          <w:b w:val="0"/>
          <w:sz w:val="32"/>
        </w:rPr>
        <w:t>本单位2024年度无政府采购支出，授予中小企业合同金额0.00万元。</w:t>
      </w:r>
    </w:p>
    <w:p w14:paraId="2867EDA9">
      <w:r>
        <w:br w:type="page"/>
      </w:r>
    </w:p>
    <w:p w14:paraId="4FBF4C8D">
      <w:pPr>
        <w:spacing w:line="240" w:lineRule="auto"/>
        <w:jc w:val="center"/>
        <w:outlineLvl w:val="1"/>
      </w:pPr>
      <w:r>
        <w:rPr>
          <w:rFonts w:ascii="黑体" w:hAnsi="黑体" w:eastAsia="黑体"/>
          <w:sz w:val="32"/>
        </w:rPr>
        <w:t>第三部分 专业名词解释</w:t>
      </w:r>
    </w:p>
    <w:p w14:paraId="3FFDAE21">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2248E5B">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46C69C2">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BCF7B30">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787D12A">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9BA2A5B">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4AB3058">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4A4BAB2">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91BFF8B">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E05FE43">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4D2329B">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04CF745">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E795D35">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F1A71B8">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350A138">
      <w:r>
        <w:br w:type="page"/>
      </w:r>
    </w:p>
    <w:p w14:paraId="3851099D">
      <w:pPr>
        <w:spacing w:line="240" w:lineRule="auto"/>
        <w:jc w:val="center"/>
        <w:outlineLvl w:val="1"/>
      </w:pPr>
      <w:r>
        <w:rPr>
          <w:rFonts w:ascii="黑体" w:hAnsi="黑体" w:eastAsia="黑体"/>
          <w:sz w:val="32"/>
        </w:rPr>
        <w:t>第四部分 部门决算报表（见附表）</w:t>
      </w:r>
    </w:p>
    <w:p w14:paraId="7437CF5C">
      <w:pPr>
        <w:spacing w:line="240" w:lineRule="auto"/>
        <w:ind w:firstLine="640"/>
        <w:jc w:val="both"/>
      </w:pPr>
      <w:r>
        <w:rPr>
          <w:rFonts w:ascii="仿宋_GB2312" w:hAnsi="仿宋_GB2312" w:eastAsia="仿宋_GB2312"/>
          <w:b w:val="0"/>
          <w:sz w:val="32"/>
        </w:rPr>
        <w:t>一、《收入支出决算总表》</w:t>
      </w:r>
    </w:p>
    <w:p w14:paraId="79EB3FCC">
      <w:pPr>
        <w:spacing w:line="240" w:lineRule="auto"/>
        <w:ind w:firstLine="640"/>
        <w:jc w:val="both"/>
      </w:pPr>
      <w:r>
        <w:rPr>
          <w:rFonts w:ascii="仿宋_GB2312" w:hAnsi="仿宋_GB2312" w:eastAsia="仿宋_GB2312"/>
          <w:b w:val="0"/>
          <w:sz w:val="32"/>
        </w:rPr>
        <w:t>二、《收入决算表》</w:t>
      </w:r>
    </w:p>
    <w:p w14:paraId="39D0CDDF">
      <w:pPr>
        <w:spacing w:line="240" w:lineRule="auto"/>
        <w:ind w:firstLine="640"/>
        <w:jc w:val="both"/>
      </w:pPr>
      <w:r>
        <w:rPr>
          <w:rFonts w:ascii="仿宋_GB2312" w:hAnsi="仿宋_GB2312" w:eastAsia="仿宋_GB2312"/>
          <w:b w:val="0"/>
          <w:sz w:val="32"/>
        </w:rPr>
        <w:t>三、《支出决算表》</w:t>
      </w:r>
    </w:p>
    <w:p w14:paraId="7A735CC6">
      <w:pPr>
        <w:spacing w:line="240" w:lineRule="auto"/>
        <w:ind w:firstLine="640"/>
        <w:jc w:val="both"/>
      </w:pPr>
      <w:r>
        <w:rPr>
          <w:rFonts w:ascii="仿宋_GB2312" w:hAnsi="仿宋_GB2312" w:eastAsia="仿宋_GB2312"/>
          <w:b w:val="0"/>
          <w:sz w:val="32"/>
        </w:rPr>
        <w:t>四、《财政拨款收入支出决算总表》</w:t>
      </w:r>
    </w:p>
    <w:p w14:paraId="3F13416C">
      <w:pPr>
        <w:spacing w:line="240" w:lineRule="auto"/>
        <w:ind w:firstLine="640"/>
        <w:jc w:val="both"/>
      </w:pPr>
      <w:r>
        <w:rPr>
          <w:rFonts w:ascii="仿宋_GB2312" w:hAnsi="仿宋_GB2312" w:eastAsia="仿宋_GB2312"/>
          <w:b w:val="0"/>
          <w:sz w:val="32"/>
        </w:rPr>
        <w:t>五、《一般公共预算财政拨款支出决算表》</w:t>
      </w:r>
    </w:p>
    <w:p w14:paraId="09E8E318">
      <w:pPr>
        <w:spacing w:line="240" w:lineRule="auto"/>
        <w:ind w:firstLine="640"/>
        <w:jc w:val="both"/>
      </w:pPr>
      <w:r>
        <w:rPr>
          <w:rFonts w:ascii="仿宋_GB2312" w:hAnsi="仿宋_GB2312" w:eastAsia="仿宋_GB2312"/>
          <w:b w:val="0"/>
          <w:sz w:val="32"/>
        </w:rPr>
        <w:t>六、《一般公共预算财政拨款基本支出决算表》</w:t>
      </w:r>
    </w:p>
    <w:p w14:paraId="2A66A8CC">
      <w:pPr>
        <w:spacing w:line="240" w:lineRule="auto"/>
        <w:ind w:firstLine="640"/>
        <w:jc w:val="both"/>
      </w:pPr>
      <w:r>
        <w:rPr>
          <w:rFonts w:ascii="仿宋_GB2312" w:hAnsi="仿宋_GB2312" w:eastAsia="仿宋_GB2312"/>
          <w:b w:val="0"/>
          <w:sz w:val="32"/>
        </w:rPr>
        <w:t>七、《政府性基金预算财政拨款收入支出决算表》</w:t>
      </w:r>
    </w:p>
    <w:p w14:paraId="11A22354">
      <w:pPr>
        <w:spacing w:line="240" w:lineRule="auto"/>
        <w:ind w:firstLine="640"/>
        <w:jc w:val="both"/>
      </w:pPr>
      <w:r>
        <w:rPr>
          <w:rFonts w:ascii="仿宋_GB2312" w:hAnsi="仿宋_GB2312" w:eastAsia="仿宋_GB2312"/>
          <w:b w:val="0"/>
          <w:sz w:val="32"/>
        </w:rPr>
        <w:t>八、《国有资本经营预算财政拨款收入支出决算表》</w:t>
      </w:r>
    </w:p>
    <w:p w14:paraId="20A3C20B">
      <w:pPr>
        <w:spacing w:line="240" w:lineRule="auto"/>
        <w:ind w:firstLine="640"/>
        <w:jc w:val="both"/>
      </w:pPr>
      <w:r>
        <w:rPr>
          <w:rFonts w:ascii="仿宋_GB2312" w:hAnsi="仿宋_GB2312" w:eastAsia="仿宋_GB2312"/>
          <w:b w:val="0"/>
          <w:sz w:val="32"/>
        </w:rPr>
        <w:t>九、《财政拨款“三公”经费支出决算表》</w:t>
      </w:r>
    </w:p>
    <w:p w14:paraId="32A411D6">
      <w:pPr>
        <w:spacing w:line="240" w:lineRule="auto"/>
        <w:ind w:firstLine="640"/>
        <w:jc w:val="both"/>
      </w:pPr>
    </w:p>
    <w:p w14:paraId="76A4951A">
      <w:pPr>
        <w:spacing w:line="240" w:lineRule="auto"/>
        <w:ind w:firstLine="640"/>
        <w:jc w:val="both"/>
      </w:pPr>
    </w:p>
    <w:p w14:paraId="666CF3D1">
      <w:pPr>
        <w:spacing w:line="240" w:lineRule="auto"/>
        <w:ind w:firstLine="640"/>
        <w:jc w:val="both"/>
      </w:pPr>
    </w:p>
    <w:p w14:paraId="768EF3D8">
      <w:pPr>
        <w:spacing w:line="240" w:lineRule="auto"/>
        <w:ind w:firstLine="640"/>
        <w:jc w:val="both"/>
      </w:pPr>
    </w:p>
    <w:p w14:paraId="688F980E">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DE9A291-3E80-4C4D-880E-F454DA6F2AA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9974526B-68EC-4CE6-A3E7-253C3DD523A2}"/>
  </w:font>
  <w:font w:name="仿宋_GB2312">
    <w:altName w:val="仿宋"/>
    <w:panose1 w:val="02010609030101010101"/>
    <w:charset w:val="86"/>
    <w:family w:val="modern"/>
    <w:pitch w:val="default"/>
    <w:sig w:usb0="00000000" w:usb1="00000000" w:usb2="00000000" w:usb3="00000000" w:csb0="00040000" w:csb1="00000000"/>
    <w:embedRegular r:id="rId3" w:fontKey="{8B0E1719-F19D-409A-84AD-C53CBCF9F653}"/>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embedRegular r:id="rId4" w:fontKey="{2315A7F8-D093-4509-B30F-E0FAA27A599F}"/>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6"/>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EFC6632"/>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B760F1"/>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3915</Words>
  <Characters>4492</Characters>
  <Lines>0</Lines>
  <Paragraphs>0</Paragraphs>
  <TotalTime>4</TotalTime>
  <ScaleCrop>false</ScaleCrop>
  <LinksUpToDate>false</LinksUpToDate>
  <CharactersWithSpaces>4500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2025-09-15T08:23:43Z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