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阿克陶县加马铁热克乡中心幼儿园2024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0E491A">
      <w:r>
        <w:br w:type="page"/>
      </w:r>
    </w:p>
    <w:p w14:paraId="33687102">
      <w:pPr>
        <w:spacing w:line="640" w:lineRule="exact"/>
        <w:jc w:val="center"/>
        <w:outlineLvl w:val="1"/>
      </w:pPr>
      <w:r>
        <w:rPr>
          <w:rFonts w:ascii="黑体" w:hAnsi="黑体" w:eastAsia="黑体"/>
          <w:sz w:val="32"/>
        </w:rPr>
        <w:t>第一部分 单位概况</w:t>
      </w:r>
    </w:p>
    <w:p w14:paraId="1F29D7BA">
      <w:pPr>
        <w:spacing w:line="640" w:lineRule="exact"/>
        <w:ind w:firstLine="640"/>
        <w:jc w:val="both"/>
        <w:outlineLvl w:val="2"/>
      </w:pPr>
      <w:r>
        <w:rPr>
          <w:rFonts w:ascii="黑体" w:hAnsi="黑体" w:eastAsia="黑体"/>
          <w:sz w:val="32"/>
        </w:rPr>
        <w:t>一、主要职能</w:t>
      </w:r>
    </w:p>
    <w:p w14:paraId="33CA886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6D0953B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4537322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2DCE7C78">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64C2204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167E6613">
      <w:pPr>
        <w:spacing w:line="640" w:lineRule="exact"/>
        <w:ind w:firstLine="640"/>
        <w:jc w:val="both"/>
        <w:outlineLvl w:val="2"/>
      </w:pPr>
      <w:r>
        <w:rPr>
          <w:rFonts w:ascii="黑体" w:hAnsi="黑体" w:eastAsia="黑体"/>
          <w:sz w:val="32"/>
        </w:rPr>
        <w:t>二、机构设置及人员情况</w:t>
      </w:r>
    </w:p>
    <w:p w14:paraId="365DFADA">
      <w:pPr>
        <w:spacing w:line="580" w:lineRule="exact"/>
        <w:ind w:firstLine="640"/>
        <w:jc w:val="both"/>
      </w:pPr>
      <w:r>
        <w:rPr>
          <w:rFonts w:ascii="仿宋_GB2312" w:hAnsi="仿宋_GB2312" w:eastAsia="仿宋_GB2312"/>
          <w:sz w:val="32"/>
        </w:rPr>
        <w:t>阿克陶县加马铁热克乡中心幼儿园2024年度，实有人数87人，其中：在职人员86人，减少1人；离休人员0人，增加0人；退休人员1人</w:t>
      </w:r>
      <w:r>
        <w:rPr>
          <w:rFonts w:hint="eastAsia" w:ascii="仿宋_GB2312" w:hAnsi="仿宋_GB2312" w:eastAsia="仿宋_GB2312"/>
          <w:sz w:val="32"/>
          <w:lang w:eastAsia="zh-CN"/>
        </w:rPr>
        <w:t>，</w:t>
      </w:r>
      <w:r>
        <w:rPr>
          <w:rFonts w:ascii="仿宋_GB2312" w:hAnsi="仿宋_GB2312" w:eastAsia="仿宋_GB2312"/>
          <w:sz w:val="32"/>
        </w:rPr>
        <w:t>增加1人。</w:t>
      </w:r>
    </w:p>
    <w:p w14:paraId="5387E722">
      <w:pPr>
        <w:spacing w:line="580" w:lineRule="exact"/>
        <w:ind w:firstLine="640"/>
        <w:jc w:val="both"/>
      </w:pPr>
      <w:r>
        <w:rPr>
          <w:rFonts w:ascii="仿宋_GB2312" w:hAnsi="仿宋_GB2312" w:eastAsia="仿宋_GB2312"/>
          <w:sz w:val="32"/>
        </w:rPr>
        <w:t>阿克陶县加马铁热克乡中心幼儿园无下属预算单位，下设6个科室，分别是：党建办、德育办、保健室、教研办、财务室、工会办。</w:t>
      </w:r>
    </w:p>
    <w:p w14:paraId="352B363C">
      <w:r>
        <w:br w:type="page"/>
      </w:r>
    </w:p>
    <w:p w14:paraId="2E856E0A">
      <w:pPr>
        <w:spacing w:line="240" w:lineRule="auto"/>
        <w:jc w:val="center"/>
        <w:outlineLvl w:val="1"/>
      </w:pPr>
      <w:r>
        <w:rPr>
          <w:rFonts w:ascii="黑体" w:hAnsi="黑体" w:eastAsia="黑体"/>
          <w:sz w:val="32"/>
        </w:rPr>
        <w:t>第二部分 部门决算情况说明</w:t>
      </w:r>
    </w:p>
    <w:p w14:paraId="24533104">
      <w:pPr>
        <w:spacing w:line="640" w:lineRule="exact"/>
        <w:ind w:firstLine="640"/>
        <w:jc w:val="both"/>
        <w:outlineLvl w:val="2"/>
      </w:pPr>
      <w:r>
        <w:rPr>
          <w:rFonts w:ascii="黑体" w:hAnsi="黑体" w:eastAsia="黑体"/>
          <w:sz w:val="32"/>
        </w:rPr>
        <w:t>一、收入支出决算总体情况说明</w:t>
      </w:r>
    </w:p>
    <w:p w14:paraId="1A18F261">
      <w:pPr>
        <w:spacing w:line="580" w:lineRule="exact"/>
        <w:ind w:firstLine="640"/>
        <w:jc w:val="both"/>
      </w:pPr>
      <w:r>
        <w:rPr>
          <w:rFonts w:ascii="仿宋_GB2312" w:hAnsi="仿宋_GB2312" w:eastAsia="仿宋_GB2312"/>
          <w:b/>
          <w:sz w:val="32"/>
        </w:rPr>
        <w:t>2024年度收入总计1,886.40万元，</w:t>
      </w:r>
      <w:r>
        <w:rPr>
          <w:rFonts w:ascii="仿宋_GB2312" w:hAnsi="仿宋_GB2312" w:eastAsia="仿宋_GB2312"/>
          <w:b w:val="0"/>
          <w:sz w:val="32"/>
        </w:rPr>
        <w:t>其中：本年收入合计1,885.90万元，使用非财政拨款结余（含专用结余）0.00万元，年初结转和结余0.50万元。</w:t>
      </w:r>
    </w:p>
    <w:p w14:paraId="5F9B4660">
      <w:pPr>
        <w:spacing w:line="580" w:lineRule="exact"/>
        <w:ind w:firstLine="640"/>
        <w:jc w:val="both"/>
      </w:pPr>
      <w:r>
        <w:rPr>
          <w:rFonts w:ascii="仿宋_GB2312" w:hAnsi="仿宋_GB2312" w:eastAsia="仿宋_GB2312"/>
          <w:b/>
          <w:sz w:val="32"/>
        </w:rPr>
        <w:t>2024年度支出总计1,886.40万元，</w:t>
      </w:r>
      <w:r>
        <w:rPr>
          <w:rFonts w:ascii="仿宋_GB2312" w:hAnsi="仿宋_GB2312" w:eastAsia="仿宋_GB2312"/>
          <w:b w:val="0"/>
          <w:sz w:val="32"/>
        </w:rPr>
        <w:t>其中：本年支出合计1,885.90万元，结余分配0.00万元，年末结转和结余0.50万元。</w:t>
      </w:r>
    </w:p>
    <w:p w14:paraId="5549D3FB">
      <w:pPr>
        <w:spacing w:line="580" w:lineRule="exact"/>
        <w:ind w:firstLine="640"/>
        <w:jc w:val="both"/>
      </w:pPr>
      <w:r>
        <w:rPr>
          <w:rFonts w:ascii="仿宋_GB2312" w:hAnsi="仿宋_GB2312" w:eastAsia="仿宋_GB2312"/>
          <w:b w:val="0"/>
          <w:sz w:val="32"/>
        </w:rPr>
        <w:t>收入支出总体与上年相比，减少27.09万元，下降1.42%，主要原因是：本年在职人员减少1人，相关人员经费较上年减少。</w:t>
      </w:r>
    </w:p>
    <w:p w14:paraId="3B2A160B">
      <w:pPr>
        <w:spacing w:line="640" w:lineRule="exact"/>
        <w:ind w:firstLine="640"/>
        <w:jc w:val="both"/>
        <w:outlineLvl w:val="2"/>
      </w:pPr>
      <w:r>
        <w:rPr>
          <w:rFonts w:ascii="黑体" w:hAnsi="黑体" w:eastAsia="黑体"/>
          <w:sz w:val="32"/>
        </w:rPr>
        <w:t>二、收入决算情况说明</w:t>
      </w:r>
    </w:p>
    <w:p w14:paraId="41A55D41">
      <w:pPr>
        <w:spacing w:line="580" w:lineRule="exact"/>
        <w:ind w:firstLine="640"/>
        <w:jc w:val="both"/>
      </w:pPr>
      <w:r>
        <w:rPr>
          <w:rFonts w:ascii="仿宋_GB2312" w:hAnsi="仿宋_GB2312" w:eastAsia="仿宋_GB2312"/>
          <w:b/>
          <w:sz w:val="32"/>
        </w:rPr>
        <w:t>本年收入1,885.90万元，</w:t>
      </w:r>
      <w:r>
        <w:rPr>
          <w:rFonts w:ascii="仿宋_GB2312" w:hAnsi="仿宋_GB2312" w:eastAsia="仿宋_GB2312"/>
          <w:b w:val="0"/>
          <w:sz w:val="32"/>
        </w:rPr>
        <w:t>其中：财政拨款收入1,885.90万元，占100.00%；上级补助收入0.00万元，占0.00%；事业收入0.00万元，占0.00%；经营收入0.00万元，占0.00%；附属单位上缴收入0.00万元，占0.00%；其他收入0.00万元，占0.00%。</w:t>
      </w:r>
    </w:p>
    <w:p w14:paraId="13CA7762">
      <w:pPr>
        <w:spacing w:line="640" w:lineRule="exact"/>
        <w:ind w:firstLine="640"/>
        <w:jc w:val="both"/>
        <w:outlineLvl w:val="2"/>
      </w:pPr>
      <w:r>
        <w:rPr>
          <w:rFonts w:ascii="黑体" w:hAnsi="黑体" w:eastAsia="黑体"/>
          <w:sz w:val="32"/>
        </w:rPr>
        <w:t>三、支出决算情况说明</w:t>
      </w:r>
    </w:p>
    <w:p w14:paraId="67A75B42">
      <w:pPr>
        <w:spacing w:line="580" w:lineRule="exact"/>
        <w:ind w:firstLine="640"/>
        <w:jc w:val="both"/>
      </w:pPr>
      <w:r>
        <w:rPr>
          <w:rFonts w:ascii="仿宋_GB2312" w:hAnsi="仿宋_GB2312" w:eastAsia="仿宋_GB2312"/>
          <w:b/>
          <w:sz w:val="32"/>
        </w:rPr>
        <w:t>本年支出1,885.90万元，</w:t>
      </w:r>
      <w:r>
        <w:rPr>
          <w:rFonts w:ascii="仿宋_GB2312" w:hAnsi="仿宋_GB2312" w:eastAsia="仿宋_GB2312"/>
          <w:b w:val="0"/>
          <w:sz w:val="32"/>
        </w:rPr>
        <w:t>其中：基本支出1,811.76万元，占96.07%；项目支出74.14万元，占3.93%；上缴上级支出0.00万元，占0.00%；经营支出0.00万元，占0.00%；对附属单位补助支出0.00万元，占0.00%。</w:t>
      </w:r>
    </w:p>
    <w:p w14:paraId="0835D831">
      <w:pPr>
        <w:spacing w:line="640" w:lineRule="exact"/>
        <w:ind w:firstLine="640"/>
        <w:jc w:val="both"/>
        <w:outlineLvl w:val="2"/>
      </w:pPr>
      <w:r>
        <w:rPr>
          <w:rFonts w:ascii="黑体" w:hAnsi="黑体" w:eastAsia="黑体"/>
          <w:sz w:val="32"/>
        </w:rPr>
        <w:t>四、财政拨款收入支出决算总体情况说明</w:t>
      </w:r>
    </w:p>
    <w:p w14:paraId="3DD9B5EF">
      <w:pPr>
        <w:spacing w:line="580" w:lineRule="exact"/>
        <w:ind w:firstLine="640"/>
        <w:jc w:val="both"/>
      </w:pPr>
      <w:r>
        <w:rPr>
          <w:rFonts w:ascii="仿宋_GB2312" w:hAnsi="仿宋_GB2312" w:eastAsia="仿宋_GB2312"/>
          <w:b/>
          <w:sz w:val="32"/>
        </w:rPr>
        <w:t>2024年度财政拨款收入总计1,885.90万元，</w:t>
      </w:r>
      <w:r>
        <w:rPr>
          <w:rFonts w:ascii="仿宋_GB2312" w:hAnsi="仿宋_GB2312" w:eastAsia="仿宋_GB2312"/>
          <w:b w:val="0"/>
          <w:sz w:val="32"/>
        </w:rPr>
        <w:t>其中：年初财政拨款结转和结余0.00万元，本年财政拨款收入1,885.90万元。</w:t>
      </w:r>
      <w:r>
        <w:rPr>
          <w:rFonts w:ascii="仿宋_GB2312" w:hAnsi="仿宋_GB2312" w:eastAsia="仿宋_GB2312"/>
          <w:b/>
          <w:sz w:val="32"/>
        </w:rPr>
        <w:t>财政拨款支出总计1,885.90万元，</w:t>
      </w:r>
      <w:r>
        <w:rPr>
          <w:rFonts w:ascii="仿宋_GB2312" w:hAnsi="仿宋_GB2312" w:eastAsia="仿宋_GB2312"/>
          <w:b w:val="0"/>
          <w:sz w:val="32"/>
        </w:rPr>
        <w:t>其中：年末财政拨款结转和结余0.00万元，本年财政拨款支出1,885.90万元。</w:t>
      </w:r>
    </w:p>
    <w:p w14:paraId="597776B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减少27.02万元，下降1.41%，主要原因是：本年在职人员减少1人，相关人员经费较上年减少。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年初预算数1,828.52万元，决算数1,885.90万元，预决算差异率3.14%，主要原因是：年中追加人员工资、社保、公积金基数调增部分资金，导致预决算存在差异。</w:t>
      </w:r>
    </w:p>
    <w:p w14:paraId="5898ADFA">
      <w:pPr>
        <w:spacing w:line="640" w:lineRule="exact"/>
        <w:ind w:firstLine="640"/>
        <w:jc w:val="both"/>
        <w:outlineLvl w:val="2"/>
      </w:pPr>
      <w:r>
        <w:rPr>
          <w:rFonts w:ascii="黑体" w:hAnsi="黑体" w:eastAsia="黑体"/>
          <w:sz w:val="32"/>
        </w:rPr>
        <w:t>五、一般公共预算财政拨款支出决算情况说明</w:t>
      </w:r>
    </w:p>
    <w:p w14:paraId="23610D2D">
      <w:pPr>
        <w:spacing w:line="640" w:lineRule="exact"/>
        <w:ind w:firstLine="640"/>
        <w:jc w:val="both"/>
        <w:outlineLvl w:val="3"/>
      </w:pPr>
      <w:r>
        <w:rPr>
          <w:rFonts w:ascii="楷体_GB2312" w:hAnsi="楷体_GB2312" w:eastAsia="楷体_GB2312"/>
          <w:b/>
          <w:sz w:val="32"/>
        </w:rPr>
        <w:t>（一）一般公共预算财政拨款支出决算总体情况</w:t>
      </w:r>
    </w:p>
    <w:p w14:paraId="3FA206D9">
      <w:pPr>
        <w:spacing w:line="580" w:lineRule="exact"/>
        <w:ind w:firstLine="640"/>
        <w:jc w:val="both"/>
      </w:pPr>
      <w:r>
        <w:rPr>
          <w:rFonts w:ascii="仿宋_GB2312" w:hAnsi="仿宋_GB2312" w:eastAsia="仿宋_GB2312"/>
          <w:b/>
          <w:sz w:val="32"/>
        </w:rPr>
        <w:t>2024年度一般公共预算财政拨款支出1,885.90万元，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减少27.02万元，下降1.41%，主要原因是：本年在职人员减少1人，相关人员经费较上年减少。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年初预算数1,828.52万元，决算数1,885.90万元，预决算差异率3.14%，主要原因是：年中追加人员工资、社保、公积金基数调增部分资金，导致预决算存在差异。</w:t>
      </w:r>
    </w:p>
    <w:p w14:paraId="04FA161D">
      <w:pPr>
        <w:spacing w:line="640" w:lineRule="exact"/>
        <w:ind w:firstLine="640"/>
        <w:jc w:val="both"/>
        <w:outlineLvl w:val="3"/>
      </w:pPr>
      <w:r>
        <w:rPr>
          <w:rFonts w:ascii="楷体_GB2312" w:hAnsi="楷体_GB2312" w:eastAsia="楷体_GB2312"/>
          <w:b/>
          <w:sz w:val="32"/>
        </w:rPr>
        <w:t>（二）一般公共预算财政拨款支出决算结构情况</w:t>
      </w:r>
    </w:p>
    <w:p w14:paraId="4BA8944D">
      <w:pPr>
        <w:spacing w:line="580" w:lineRule="exact"/>
        <w:ind w:firstLine="640"/>
        <w:jc w:val="both"/>
      </w:pPr>
      <w:r>
        <w:rPr>
          <w:rFonts w:ascii="仿宋_GB2312" w:hAnsi="仿宋_GB2312" w:eastAsia="仿宋_GB2312"/>
          <w:b w:val="0"/>
          <w:sz w:val="32"/>
        </w:rPr>
        <w:t>1.教育支出(类)1,885.90万元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14:paraId="20267FF3">
      <w:pPr>
        <w:spacing w:line="640" w:lineRule="exact"/>
        <w:ind w:firstLine="640"/>
        <w:jc w:val="both"/>
        <w:outlineLvl w:val="3"/>
      </w:pPr>
      <w:r>
        <w:rPr>
          <w:rFonts w:ascii="楷体_GB2312" w:hAnsi="楷体_GB2312" w:eastAsia="楷体_GB2312"/>
          <w:b/>
          <w:sz w:val="32"/>
        </w:rPr>
        <w:t>（三）一般公共预算财政拨款支出决算具体情况</w:t>
      </w:r>
    </w:p>
    <w:p w14:paraId="3637EF15">
      <w:pPr>
        <w:spacing w:line="580" w:lineRule="exact"/>
        <w:ind w:firstLine="640"/>
        <w:jc w:val="both"/>
      </w:pPr>
      <w:r>
        <w:rPr>
          <w:rFonts w:ascii="仿宋_GB2312" w:hAnsi="仿宋_GB2312" w:eastAsia="仿宋_GB2312"/>
          <w:b w:val="0"/>
          <w:sz w:val="32"/>
        </w:rPr>
        <w:t>1.教育支出(类)普通教育(款)学前教育(项):支出决算数为1,885.90万元，比上年决算增加122.80万元，增长6.97%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主要原因是：本年在职人员工资调增，相关人员经费增加；科目调整，养老保险上年单独列支，本年调整至此科目，导致经费增加。</w:t>
      </w:r>
    </w:p>
    <w:p w14:paraId="439B01E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2.社会保障和就业支出(类)行政事业单位养老支出(款)机关事业单位基本养老保险缴费支出(项):支出决算数为0.00万元，比上年决算减少149.82万元，下降100.00%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14:paraId="6D443850">
      <w:pPr>
        <w:spacing w:line="640" w:lineRule="exact"/>
        <w:ind w:firstLine="640"/>
        <w:jc w:val="both"/>
        <w:outlineLvl w:val="2"/>
      </w:pPr>
      <w:r>
        <w:rPr>
          <w:rFonts w:ascii="黑体" w:hAnsi="黑体" w:eastAsia="黑体"/>
          <w:sz w:val="32"/>
        </w:rPr>
        <w:t>六、一般公共预算财政拨款基本支出决算情况说明</w:t>
      </w:r>
    </w:p>
    <w:p w14:paraId="5E3175F2">
      <w:pPr>
        <w:spacing w:line="580" w:lineRule="exact"/>
        <w:ind w:firstLine="640"/>
        <w:jc w:val="both"/>
      </w:pPr>
      <w:r>
        <w:rPr>
          <w:rFonts w:ascii="仿宋_GB2312" w:hAnsi="仿宋_GB2312" w:eastAsia="仿宋_GB2312"/>
          <w:b w:val="0"/>
          <w:sz w:val="32"/>
        </w:rPr>
        <w:t>2024年度一般公共预算财政拨款基本支出1,811.76万元，其中：</w:t>
      </w:r>
      <w:r>
        <w:rPr>
          <w:rFonts w:ascii="仿宋_GB2312" w:hAnsi="仿宋_GB2312" w:eastAsia="仿宋_GB2312"/>
          <w:b/>
          <w:sz w:val="32"/>
        </w:rPr>
        <w:t>人员经费1,811.76万元，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包括：基本工资、津贴补贴、奖金、机关事业单位基本养老保险缴费、职业年金缴费、职工基本医疗保险缴费、其他社会保障缴费、住房公积金、退休费、奖励金。</w:t>
      </w:r>
    </w:p>
    <w:p w14:paraId="7B863F5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8431AF8">
      <w:pPr>
        <w:spacing w:line="640" w:lineRule="exact"/>
        <w:ind w:firstLine="640"/>
        <w:jc w:val="both"/>
        <w:outlineLvl w:val="2"/>
      </w:pPr>
      <w:r>
        <w:rPr>
          <w:rFonts w:ascii="黑体" w:hAnsi="黑体" w:eastAsia="黑体"/>
          <w:sz w:val="32"/>
        </w:rPr>
        <w:t>七、政府性基金预算财政拨款收入支出决算情况说明</w:t>
      </w:r>
    </w:p>
    <w:p w14:paraId="4C2FFD9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07D45CD">
      <w:pPr>
        <w:spacing w:line="640" w:lineRule="exact"/>
        <w:ind w:firstLine="640"/>
        <w:jc w:val="both"/>
        <w:outlineLvl w:val="2"/>
      </w:pPr>
      <w:r>
        <w:rPr>
          <w:rFonts w:ascii="黑体" w:hAnsi="黑体" w:eastAsia="黑体"/>
          <w:sz w:val="32"/>
        </w:rPr>
        <w:t>八、国有资本经营预算财政拨款收入支出决算情况说明</w:t>
      </w:r>
    </w:p>
    <w:p w14:paraId="178602A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396FF81">
      <w:pPr>
        <w:spacing w:line="640" w:lineRule="exact"/>
        <w:ind w:firstLine="640"/>
        <w:jc w:val="both"/>
        <w:outlineLvl w:val="2"/>
      </w:pPr>
      <w:r>
        <w:rPr>
          <w:rFonts w:ascii="黑体" w:hAnsi="黑体" w:eastAsia="黑体"/>
          <w:sz w:val="32"/>
        </w:rPr>
        <w:t>九、财政拨款“三公”经费支出决算情况说明</w:t>
      </w:r>
    </w:p>
    <w:p w14:paraId="51D54EF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DD2782A">
      <w:pPr>
        <w:spacing w:line="580" w:lineRule="exact"/>
        <w:ind w:firstLine="640"/>
        <w:jc w:val="both"/>
      </w:pPr>
      <w:r>
        <w:rPr>
          <w:rFonts w:ascii="仿宋_GB2312" w:hAnsi="仿宋_GB2312" w:eastAsia="仿宋_GB2312"/>
          <w:b/>
          <w:sz w:val="32"/>
        </w:rPr>
        <w:t>具体情况如下：</w:t>
      </w:r>
    </w:p>
    <w:p w14:paraId="1D15E11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F218E5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6F52E6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CB69D5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7091B8D">
      <w:pPr>
        <w:spacing w:line="640" w:lineRule="exact"/>
        <w:ind w:firstLine="640"/>
        <w:jc w:val="both"/>
        <w:outlineLvl w:val="2"/>
      </w:pPr>
      <w:r>
        <w:rPr>
          <w:rFonts w:ascii="黑体" w:hAnsi="黑体" w:eastAsia="黑体"/>
          <w:sz w:val="32"/>
        </w:rPr>
        <w:t>十、其他重要事项的情况说明</w:t>
      </w:r>
    </w:p>
    <w:p w14:paraId="1ADDAF38">
      <w:pPr>
        <w:spacing w:line="640" w:lineRule="exact"/>
        <w:ind w:firstLine="640"/>
        <w:jc w:val="both"/>
        <w:outlineLvl w:val="3"/>
      </w:pPr>
      <w:r>
        <w:rPr>
          <w:rFonts w:ascii="楷体_GB2312" w:hAnsi="楷体_GB2312" w:eastAsia="楷体_GB2312"/>
          <w:b/>
          <w:sz w:val="32"/>
        </w:rPr>
        <w:t>（一）机关运行经费及公用经费支出情况</w:t>
      </w:r>
    </w:p>
    <w:p w14:paraId="7E8E3DC1">
      <w:pPr>
        <w:spacing w:line="580" w:lineRule="exact"/>
        <w:ind w:firstLine="640"/>
        <w:jc w:val="both"/>
      </w:pPr>
      <w:r>
        <w:rPr>
          <w:rFonts w:ascii="仿宋_GB2312" w:hAnsi="仿宋_GB2312" w:eastAsia="仿宋_GB2312"/>
          <w:b w:val="0"/>
          <w:sz w:val="32"/>
        </w:rPr>
        <w:t>2024年度阿克陶县加马铁热克乡中心幼儿园（事业单位）公用经费支出0.00万元，比上年增加0.00万元，增长0.00%，主要原因是：2023年与2024年均未安排公用经费支出。</w:t>
      </w:r>
    </w:p>
    <w:p w14:paraId="121F3B62">
      <w:pPr>
        <w:spacing w:line="640" w:lineRule="exact"/>
        <w:ind w:firstLine="640"/>
        <w:jc w:val="both"/>
        <w:outlineLvl w:val="3"/>
      </w:pPr>
      <w:r>
        <w:rPr>
          <w:rFonts w:ascii="楷体_GB2312" w:hAnsi="楷体_GB2312" w:eastAsia="楷体_GB2312"/>
          <w:b/>
          <w:sz w:val="32"/>
        </w:rPr>
        <w:t>（二）政府采购情况</w:t>
      </w:r>
    </w:p>
    <w:p w14:paraId="31A80433">
      <w:pPr>
        <w:spacing w:line="580" w:lineRule="exact"/>
        <w:ind w:firstLine="640"/>
        <w:jc w:val="both"/>
      </w:pPr>
      <w:r>
        <w:rPr>
          <w:rFonts w:ascii="仿宋_GB2312" w:hAnsi="仿宋_GB2312" w:eastAsia="仿宋_GB2312"/>
          <w:b w:val="0"/>
          <w:sz w:val="32"/>
        </w:rPr>
        <w:t>2024年度政府采购支出总额0.62万元，其中：政府采购货物支出0.12万元、政府采购工程支出0.00万元、政府采购服务支出0.50万元。</w:t>
      </w:r>
    </w:p>
    <w:p w14:paraId="515322B9">
      <w:pPr>
        <w:spacing w:line="580" w:lineRule="exact"/>
        <w:ind w:firstLine="640"/>
        <w:jc w:val="both"/>
      </w:pPr>
      <w:r>
        <w:rPr>
          <w:rFonts w:ascii="仿宋_GB2312" w:hAnsi="仿宋_GB2312" w:eastAsia="仿宋_GB2312"/>
          <w:b w:val="0"/>
          <w:sz w:val="32"/>
        </w:rPr>
        <w:t>授予中小企业合同金额0.62万元，占政府采购支出总额的100.00%，其中：授予小微企业合同金额0.62万元，占政府采购支出总额的100.00%。</w:t>
      </w:r>
    </w:p>
    <w:p w14:paraId="5C90CA98">
      <w:pPr>
        <w:spacing w:line="640" w:lineRule="exact"/>
        <w:ind w:firstLine="640"/>
        <w:jc w:val="both"/>
        <w:outlineLvl w:val="3"/>
      </w:pPr>
      <w:r>
        <w:rPr>
          <w:rFonts w:ascii="楷体_GB2312" w:hAnsi="楷体_GB2312" w:eastAsia="楷体_GB2312"/>
          <w:b/>
          <w:sz w:val="32"/>
        </w:rPr>
        <w:t>（三）国有资产占用情况说明</w:t>
      </w:r>
    </w:p>
    <w:p w14:paraId="0584D795">
      <w:pPr>
        <w:spacing w:line="580" w:lineRule="exact"/>
        <w:ind w:firstLine="640"/>
        <w:jc w:val="both"/>
      </w:pPr>
      <w:r>
        <w:rPr>
          <w:rFonts w:ascii="仿宋_GB2312" w:hAnsi="仿宋_GB2312" w:eastAsia="仿宋_GB2312"/>
          <w:b w:val="0"/>
          <w:sz w:val="32"/>
        </w:rPr>
        <w:t>截至2024年12月31日，房屋2,491.20平方米，价值344.91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97ECBFE">
      <w:pPr>
        <w:spacing w:line="640" w:lineRule="exact"/>
        <w:ind w:firstLine="640"/>
        <w:jc w:val="both"/>
        <w:outlineLvl w:val="2"/>
      </w:pPr>
      <w:r>
        <w:rPr>
          <w:rFonts w:ascii="黑体" w:hAnsi="黑体" w:eastAsia="黑体"/>
          <w:sz w:val="32"/>
        </w:rPr>
        <w:t>十一、预算绩效的情况说明</w:t>
      </w:r>
    </w:p>
    <w:p w14:paraId="0797726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1,886.40万元，实际执行总额1,885.90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无预算绩效项目自评表。具体附整体支出绩效自评表。</w:t>
      </w:r>
    </w:p>
    <w:p w14:paraId="544210D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A05301A">
        <w:tblPrEx>
          <w:tblCellMar>
            <w:top w:w="0" w:type="dxa"/>
            <w:left w:w="108" w:type="dxa"/>
            <w:bottom w:w="0" w:type="dxa"/>
            <w:right w:w="108" w:type="dxa"/>
          </w:tblCellMar>
        </w:tblPrEx>
        <w:tc>
          <w:tcPr>
            <w:tcW w:w="8840" w:type="dxa"/>
            <w:gridSpan w:val="8"/>
            <w:vAlign w:val="center"/>
          </w:tcPr>
          <w:p w14:paraId="0F70C25C">
            <w:pPr>
              <w:jc w:val="center"/>
            </w:pPr>
            <w:r>
              <w:rPr>
                <w:rFonts w:ascii="宋体" w:hAnsi="宋体" w:eastAsia="宋体"/>
                <w:sz w:val="24"/>
              </w:rPr>
              <w:t>单位整体支出绩效自评表</w:t>
            </w:r>
          </w:p>
        </w:tc>
      </w:tr>
      <w:tr w14:paraId="112C0309">
        <w:tblPrEx>
          <w:tblCellMar>
            <w:top w:w="0" w:type="dxa"/>
            <w:left w:w="108" w:type="dxa"/>
            <w:bottom w:w="0" w:type="dxa"/>
            <w:right w:w="108" w:type="dxa"/>
          </w:tblCellMar>
        </w:tblPrEx>
        <w:tc>
          <w:tcPr>
            <w:tcW w:w="8840" w:type="dxa"/>
            <w:gridSpan w:val="8"/>
            <w:vAlign w:val="center"/>
          </w:tcPr>
          <w:p w14:paraId="5FC17603">
            <w:pPr>
              <w:jc w:val="center"/>
            </w:pPr>
            <w:r>
              <w:rPr>
                <w:rFonts w:ascii="宋体" w:hAnsi="宋体" w:eastAsia="宋体"/>
                <w:sz w:val="24"/>
              </w:rPr>
              <w:t>（2024年度）</w:t>
            </w:r>
          </w:p>
        </w:tc>
      </w:tr>
      <w:tr w14:paraId="647C948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356D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2FB3AF">
            <w:pPr>
              <w:jc w:val="center"/>
            </w:pPr>
            <w:r>
              <w:rPr>
                <w:rFonts w:ascii="宋体" w:hAnsi="宋体" w:eastAsia="宋体"/>
                <w:sz w:val="16"/>
              </w:rPr>
              <w:t>阿克陶县加马铁热克乡中心幼儿园</w:t>
            </w:r>
          </w:p>
        </w:tc>
      </w:tr>
      <w:tr w14:paraId="27F96D4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FCC5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66AB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3E48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C5D7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5699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C46B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1DCF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A9916">
            <w:pPr>
              <w:jc w:val="center"/>
            </w:pPr>
            <w:r>
              <w:rPr>
                <w:rFonts w:ascii="宋体" w:hAnsi="宋体" w:eastAsia="宋体"/>
                <w:sz w:val="16"/>
              </w:rPr>
              <w:t>得分</w:t>
            </w:r>
          </w:p>
        </w:tc>
      </w:tr>
      <w:tr w14:paraId="1BECFA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2AF77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2C91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683B2">
            <w:pPr>
              <w:jc w:val="center"/>
            </w:pPr>
            <w:r>
              <w:rPr>
                <w:rFonts w:ascii="宋体" w:hAnsi="宋体" w:eastAsia="宋体"/>
                <w:sz w:val="16"/>
              </w:rPr>
              <w:t>1,815.64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EDA57">
            <w:pPr>
              <w:jc w:val="center"/>
            </w:pPr>
            <w:r>
              <w:rPr>
                <w:rFonts w:ascii="宋体" w:hAnsi="宋体" w:eastAsia="宋体"/>
                <w:sz w:val="16"/>
              </w:rPr>
              <w:t>1,886.40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62B80">
            <w:pPr>
              <w:jc w:val="center"/>
            </w:pPr>
            <w:r>
              <w:rPr>
                <w:rFonts w:ascii="宋体" w:hAnsi="宋体" w:eastAsia="宋体"/>
                <w:sz w:val="16"/>
              </w:rPr>
              <w:t>1,885.90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006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07621">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DE0C2">
            <w:pPr>
              <w:jc w:val="center"/>
            </w:pPr>
            <w:r>
              <w:rPr>
                <w:rFonts w:ascii="宋体" w:hAnsi="宋体" w:eastAsia="宋体"/>
                <w:sz w:val="16"/>
              </w:rPr>
              <w:t>9.99</w:t>
            </w:r>
          </w:p>
        </w:tc>
      </w:tr>
      <w:tr w14:paraId="03DB3A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B724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B3B8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4260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CC39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4AE5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6BEF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C1B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5F920">
            <w:pPr>
              <w:jc w:val="center"/>
            </w:pPr>
            <w:r>
              <w:rPr>
                <w:rFonts w:ascii="宋体" w:hAnsi="宋体" w:eastAsia="宋体"/>
                <w:sz w:val="16"/>
              </w:rPr>
              <w:t>—</w:t>
            </w:r>
          </w:p>
        </w:tc>
      </w:tr>
      <w:tr w14:paraId="1A36BC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AA11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4D04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15960">
            <w:pPr>
              <w:jc w:val="center"/>
            </w:pPr>
            <w:r>
              <w:rPr>
                <w:rFonts w:ascii="宋体" w:hAnsi="宋体" w:eastAsia="宋体"/>
                <w:sz w:val="16"/>
              </w:rPr>
              <w:t>1,815.64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6A4DE">
            <w:pPr>
              <w:jc w:val="center"/>
            </w:pPr>
            <w:r>
              <w:rPr>
                <w:rFonts w:ascii="宋体" w:hAnsi="宋体" w:eastAsia="宋体"/>
                <w:sz w:val="16"/>
              </w:rPr>
              <w:t>1,886.40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E3728">
            <w:pPr>
              <w:jc w:val="center"/>
            </w:pPr>
            <w:r>
              <w:rPr>
                <w:rFonts w:ascii="宋体" w:hAnsi="宋体" w:eastAsia="宋体"/>
                <w:sz w:val="16"/>
              </w:rPr>
              <w:t>1,885.90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9CE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DE63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F02C8">
            <w:pPr>
              <w:jc w:val="center"/>
            </w:pPr>
            <w:r>
              <w:rPr>
                <w:rFonts w:ascii="宋体" w:hAnsi="宋体" w:eastAsia="宋体"/>
                <w:sz w:val="16"/>
              </w:rPr>
              <w:t>—</w:t>
            </w:r>
          </w:p>
        </w:tc>
      </w:tr>
      <w:tr w14:paraId="48E707B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D4132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E3EC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90EF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95ED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9654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1E5C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A663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4E417">
            <w:pPr>
              <w:jc w:val="center"/>
            </w:pPr>
            <w:r>
              <w:rPr>
                <w:rFonts w:ascii="宋体" w:hAnsi="宋体" w:eastAsia="宋体"/>
                <w:sz w:val="16"/>
              </w:rPr>
              <w:t>—</w:t>
            </w:r>
          </w:p>
        </w:tc>
      </w:tr>
      <w:tr w14:paraId="76AFD97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D60F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A011D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D10502">
            <w:pPr>
              <w:jc w:val="center"/>
            </w:pPr>
            <w:r>
              <w:rPr>
                <w:rFonts w:ascii="宋体" w:hAnsi="宋体" w:eastAsia="宋体"/>
                <w:sz w:val="16"/>
              </w:rPr>
              <w:t>实际完成情况</w:t>
            </w:r>
          </w:p>
        </w:tc>
      </w:tr>
      <w:tr w14:paraId="1421C0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0C99E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F2B701">
            <w:pPr>
              <w:jc w:val="both"/>
            </w:pPr>
            <w:r>
              <w:rPr>
                <w:rFonts w:ascii="宋体" w:hAnsi="宋体" w:eastAsia="宋体"/>
                <w:sz w:val="16"/>
              </w:rPr>
              <w:t>全面贯彻执行党和国家的教育方针、政策、法规，实行保育与教育相结合的原则，促进幼儿身体机能协调发展，增强体质，坚持社会主义办学方向，努力培养德、智、体全面发展的社会主义事业的建设者和接班人。培养良好的行为习惯；同时，加强幼儿国家通用语言文字的掌握和使用。人员经费主要用于阿克陶县加马铁热克乡中心幼儿园教职工人员工资、基本养老保险、住房公积金、医疗保险等支出，从而保障教育教学工作质量，提升教师工作效率。公用经费主要用于更好</w:t>
            </w:r>
            <w:r>
              <w:rPr>
                <w:rFonts w:hint="eastAsia" w:ascii="宋体" w:hAnsi="宋体"/>
                <w:sz w:val="16"/>
                <w:lang w:eastAsia="zh-CN"/>
              </w:rPr>
              <w:t>地</w:t>
            </w:r>
            <w:r>
              <w:rPr>
                <w:rFonts w:ascii="宋体" w:hAnsi="宋体" w:eastAsia="宋体"/>
                <w:sz w:val="16"/>
              </w:rPr>
              <w:t>创造良好的教学环境，保障教学日常工作正常进行，提高教职工工作积极性。</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5E0E8C">
            <w:pPr>
              <w:jc w:val="both"/>
            </w:pPr>
            <w:r>
              <w:rPr>
                <w:rFonts w:ascii="宋体" w:hAnsi="宋体" w:eastAsia="宋体"/>
                <w:sz w:val="16"/>
              </w:rPr>
              <w:t>人员工资福利支出预算保障85人，全年工资足额按时发放，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76ED77F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8C6F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DDBA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FDCA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3C4F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4E0C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AB2A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40FC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BD3EA">
            <w:pPr>
              <w:jc w:val="center"/>
            </w:pPr>
            <w:r>
              <w:rPr>
                <w:rFonts w:ascii="宋体" w:hAnsi="宋体" w:eastAsia="宋体"/>
                <w:sz w:val="16"/>
              </w:rPr>
              <w:t>得分</w:t>
            </w:r>
          </w:p>
        </w:tc>
      </w:tr>
      <w:tr w14:paraId="580F845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B820F">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2B685">
            <w:pPr>
              <w:jc w:val="center"/>
            </w:pPr>
            <w:r>
              <w:rPr>
                <w:rFonts w:ascii="宋体" w:hAnsi="宋体" w:eastAsia="宋体"/>
                <w:sz w:val="16"/>
              </w:rPr>
              <w:tab/>
            </w: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78016">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86554">
            <w:pPr>
              <w:jc w:val="center"/>
            </w:pPr>
            <w:r>
              <w:rPr>
                <w:rFonts w:ascii="宋体" w:hAnsi="宋体" w:eastAsia="宋体"/>
                <w:sz w:val="16"/>
              </w:rPr>
              <w:t>&gt;=86人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F1B1E">
            <w:pPr>
              <w:jc w:val="center"/>
            </w:pPr>
            <w:r>
              <w:rPr>
                <w:rFonts w:ascii="宋体" w:hAnsi="宋体" w:eastAsia="宋体"/>
                <w:sz w:val="16"/>
              </w:rPr>
              <w:t>上年度10月工资册汇总表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0102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C34C6">
            <w:pPr>
              <w:jc w:val="center"/>
            </w:pPr>
            <w:r>
              <w:rPr>
                <w:rFonts w:ascii="宋体" w:hAnsi="宋体" w:eastAsia="宋体"/>
                <w:sz w:val="16"/>
              </w:rPr>
              <w:t>85人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E3524">
            <w:pPr>
              <w:jc w:val="center"/>
            </w:pPr>
            <w:r>
              <w:rPr>
                <w:rFonts w:ascii="宋体" w:hAnsi="宋体" w:eastAsia="宋体"/>
                <w:sz w:val="16"/>
              </w:rPr>
              <w:t>9.9</w:t>
            </w:r>
          </w:p>
        </w:tc>
      </w:tr>
      <w:tr w14:paraId="4A2AE0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CBD7C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8D07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C6B8C">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C7B95">
            <w:pPr>
              <w:jc w:val="center"/>
            </w:pPr>
            <w:r>
              <w:rPr>
                <w:rFonts w:ascii="宋体" w:hAnsi="宋体" w:eastAsia="宋体"/>
                <w:sz w:val="16"/>
              </w:rPr>
              <w:t>&lt;=1793.58万元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8E47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8F21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8D2C3">
            <w:pPr>
              <w:jc w:val="center"/>
            </w:pPr>
            <w:r>
              <w:rPr>
                <w:rFonts w:ascii="宋体" w:hAnsi="宋体" w:eastAsia="宋体"/>
                <w:sz w:val="16"/>
              </w:rPr>
              <w:t>1811.76万元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EF31F">
            <w:pPr>
              <w:jc w:val="center"/>
            </w:pPr>
            <w:r>
              <w:rPr>
                <w:rFonts w:ascii="宋体" w:hAnsi="宋体" w:eastAsia="宋体"/>
                <w:sz w:val="16"/>
              </w:rPr>
              <w:t>9.9</w:t>
            </w:r>
          </w:p>
        </w:tc>
      </w:tr>
      <w:tr w14:paraId="4BCFBD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6AD19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29DD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F849A">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C36D1">
            <w:pPr>
              <w:jc w:val="center"/>
            </w:pPr>
            <w:r>
              <w:rPr>
                <w:rFonts w:ascii="宋体" w:hAnsi="宋体" w:eastAsia="宋体"/>
                <w:sz w:val="16"/>
              </w:rPr>
              <w:t>&lt;=22.06万元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48F7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36AB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F86F6">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131B1">
            <w:pPr>
              <w:jc w:val="center"/>
            </w:pPr>
            <w:r>
              <w:rPr>
                <w:rFonts w:ascii="宋体" w:hAnsi="宋体" w:eastAsia="宋体"/>
                <w:sz w:val="16"/>
              </w:rPr>
              <w:t>0</w:t>
            </w:r>
          </w:p>
        </w:tc>
      </w:tr>
      <w:tr w14:paraId="7D08C68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021D0">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FE33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16EDB">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B51BB">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8ACB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C92F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297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6BB24">
            <w:pPr>
              <w:jc w:val="center"/>
            </w:pPr>
            <w:r>
              <w:rPr>
                <w:rFonts w:ascii="宋体" w:hAnsi="宋体" w:eastAsia="宋体"/>
                <w:sz w:val="16"/>
              </w:rPr>
              <w:t>15</w:t>
            </w:r>
          </w:p>
        </w:tc>
      </w:tr>
      <w:tr w14:paraId="2EB5EF5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F4FF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52F92">
            <w:pPr>
              <w:jc w:val="center"/>
            </w:pPr>
            <w:r>
              <w:rPr>
                <w:rFonts w:ascii="宋体" w:hAnsi="宋体" w:eastAsia="宋体"/>
                <w:sz w:val="16"/>
              </w:rPr>
              <w:t>质量指标</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D1514">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430F5">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D541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1157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A953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31664">
            <w:pPr>
              <w:jc w:val="center"/>
            </w:pPr>
            <w:r>
              <w:rPr>
                <w:rFonts w:ascii="宋体" w:hAnsi="宋体" w:eastAsia="宋体"/>
                <w:sz w:val="16"/>
              </w:rPr>
              <w:t>15</w:t>
            </w:r>
          </w:p>
        </w:tc>
      </w:tr>
      <w:tr w14:paraId="4C8120C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A2B9D">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6A8C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36C03">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30E6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4A9FA">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5A0D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79BB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5F5F3">
            <w:pPr>
              <w:jc w:val="center"/>
            </w:pPr>
            <w:r>
              <w:rPr>
                <w:rFonts w:ascii="宋体" w:hAnsi="宋体" w:eastAsia="宋体"/>
                <w:sz w:val="16"/>
              </w:rPr>
              <w:t>10</w:t>
            </w:r>
          </w:p>
        </w:tc>
      </w:tr>
      <w:tr w14:paraId="75F3220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7BB8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13904">
            <w:pPr>
              <w:jc w:val="center"/>
            </w:pPr>
            <w:r>
              <w:rPr>
                <w:rFonts w:ascii="宋体" w:hAnsi="宋体" w:eastAsia="宋体"/>
                <w:sz w:val="16"/>
              </w:rPr>
              <w:t>满意度指标</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5BC6A">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DAE4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3EE9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7912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3AD2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C99C0">
            <w:pPr>
              <w:jc w:val="center"/>
            </w:pPr>
            <w:r>
              <w:rPr>
                <w:rFonts w:ascii="宋体" w:hAnsi="宋体" w:eastAsia="宋体"/>
                <w:sz w:val="16"/>
              </w:rPr>
              <w:t>10</w:t>
            </w:r>
          </w:p>
        </w:tc>
      </w:tr>
      <w:tr w14:paraId="18DFCC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A785C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65E9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D0E51">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BC37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EFDFA">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70C6F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D726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8F277">
            <w:pPr>
              <w:jc w:val="center"/>
            </w:pPr>
            <w:r>
              <w:rPr>
                <w:rFonts w:ascii="宋体" w:hAnsi="宋体" w:eastAsia="宋体"/>
                <w:sz w:val="16"/>
              </w:rPr>
              <w:t>10</w:t>
            </w:r>
          </w:p>
        </w:tc>
      </w:tr>
    </w:tbl>
    <w:p w14:paraId="238237B3">
      <w:r>
        <w:br w:type="page"/>
      </w:r>
    </w:p>
    <w:p w14:paraId="6FE52196">
      <w:pPr>
        <w:spacing w:line="640" w:lineRule="exact"/>
        <w:ind w:firstLine="640"/>
        <w:jc w:val="both"/>
        <w:outlineLvl w:val="2"/>
      </w:pPr>
      <w:r>
        <w:rPr>
          <w:rFonts w:ascii="黑体" w:hAnsi="黑体" w:eastAsia="黑体"/>
          <w:sz w:val="32"/>
        </w:rPr>
        <w:t>十二、其他需说明的事项</w:t>
      </w:r>
    </w:p>
    <w:p w14:paraId="4BF605EF">
      <w:pPr>
        <w:spacing w:line="580" w:lineRule="exact"/>
        <w:ind w:firstLine="640"/>
        <w:jc w:val="both"/>
      </w:pPr>
      <w:r>
        <w:rPr>
          <w:rFonts w:ascii="仿宋_GB2312" w:hAnsi="仿宋_GB2312" w:eastAsia="仿宋_GB2312"/>
          <w:b w:val="0"/>
          <w:sz w:val="32"/>
        </w:rPr>
        <w:t>本单位无其他需说明的事项。</w:t>
      </w:r>
    </w:p>
    <w:p w14:paraId="5B3F3AA1">
      <w:r>
        <w:br w:type="page"/>
      </w:r>
    </w:p>
    <w:p w14:paraId="31EE0EC3">
      <w:pPr>
        <w:spacing w:line="240" w:lineRule="auto"/>
        <w:jc w:val="center"/>
        <w:outlineLvl w:val="1"/>
      </w:pPr>
      <w:r>
        <w:rPr>
          <w:rFonts w:ascii="黑体" w:hAnsi="黑体" w:eastAsia="黑体"/>
          <w:sz w:val="32"/>
        </w:rPr>
        <w:t>第三部分 专业名词解释</w:t>
      </w:r>
    </w:p>
    <w:p w14:paraId="1CAD372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5E0F95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213EC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651DC0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4916D0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261CE2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05FFC1D">
      <w:pPr>
        <w:spacing w:line="240" w:lineRule="auto"/>
        <w:ind w:firstLine="640"/>
        <w:jc w:val="both"/>
      </w:pPr>
      <w:r>
        <w:rPr>
          <w:rFonts w:ascii="仿宋_GB2312" w:hAnsi="仿宋_GB2312" w:eastAsia="仿宋_GB2312"/>
          <w:b/>
          <w:sz w:val="32"/>
        </w:rPr>
        <w:t>七、年初结转和</w:t>
      </w:r>
      <w:bookmarkStart w:id="0" w:name="_GoBack"/>
      <w:r>
        <w:rPr>
          <w:rFonts w:ascii="仿宋_GB2312" w:hAnsi="仿宋_GB2312" w:eastAsia="仿宋_GB2312"/>
          <w:b/>
          <w:sz w:val="32"/>
        </w:rPr>
        <w:t>结余</w:t>
      </w:r>
      <w:bookmarkEnd w:id="0"/>
      <w:r>
        <w:rPr>
          <w:rFonts w:ascii="仿宋_GB2312" w:hAnsi="仿宋_GB2312" w:eastAsia="仿宋_GB2312"/>
          <w:b/>
          <w:sz w:val="32"/>
        </w:rPr>
        <w:t>：</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769C6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AD4F7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090EC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2F027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1943D7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391163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C0577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1034DFD">
      <w:r>
        <w:br w:type="page"/>
      </w:r>
    </w:p>
    <w:p w14:paraId="6C43CF3E">
      <w:pPr>
        <w:spacing w:line="240" w:lineRule="auto"/>
        <w:jc w:val="center"/>
        <w:outlineLvl w:val="1"/>
      </w:pPr>
      <w:r>
        <w:rPr>
          <w:rFonts w:ascii="黑体" w:hAnsi="黑体" w:eastAsia="黑体"/>
          <w:sz w:val="32"/>
        </w:rPr>
        <w:t>第四部分 部门决算报表（见附表）</w:t>
      </w:r>
    </w:p>
    <w:p w14:paraId="09E763F3">
      <w:pPr>
        <w:spacing w:line="240" w:lineRule="auto"/>
        <w:ind w:firstLine="640"/>
        <w:jc w:val="both"/>
      </w:pPr>
      <w:r>
        <w:rPr>
          <w:rFonts w:ascii="仿宋_GB2312" w:hAnsi="仿宋_GB2312" w:eastAsia="仿宋_GB2312"/>
          <w:b w:val="0"/>
          <w:sz w:val="32"/>
        </w:rPr>
        <w:t>一、《收入支出决算总表》</w:t>
      </w:r>
    </w:p>
    <w:p w14:paraId="775B4BB4">
      <w:pPr>
        <w:spacing w:line="240" w:lineRule="auto"/>
        <w:ind w:firstLine="640"/>
        <w:jc w:val="both"/>
      </w:pPr>
      <w:r>
        <w:rPr>
          <w:rFonts w:ascii="仿宋_GB2312" w:hAnsi="仿宋_GB2312" w:eastAsia="仿宋_GB2312"/>
          <w:b w:val="0"/>
          <w:sz w:val="32"/>
        </w:rPr>
        <w:t>二、《收入决算表》</w:t>
      </w:r>
    </w:p>
    <w:p w14:paraId="419B94E7">
      <w:pPr>
        <w:spacing w:line="240" w:lineRule="auto"/>
        <w:ind w:firstLine="640"/>
        <w:jc w:val="both"/>
      </w:pPr>
      <w:r>
        <w:rPr>
          <w:rFonts w:ascii="仿宋_GB2312" w:hAnsi="仿宋_GB2312" w:eastAsia="仿宋_GB2312"/>
          <w:b w:val="0"/>
          <w:sz w:val="32"/>
        </w:rPr>
        <w:t>三、《支出决算表》</w:t>
      </w:r>
    </w:p>
    <w:p w14:paraId="4DA9F90B">
      <w:pPr>
        <w:spacing w:line="240" w:lineRule="auto"/>
        <w:ind w:firstLine="640"/>
        <w:jc w:val="both"/>
      </w:pPr>
      <w:r>
        <w:rPr>
          <w:rFonts w:ascii="仿宋_GB2312" w:hAnsi="仿宋_GB2312" w:eastAsia="仿宋_GB2312"/>
          <w:b w:val="0"/>
          <w:sz w:val="32"/>
        </w:rPr>
        <w:t>四、《财政拨款收入支出决算总表》</w:t>
      </w:r>
    </w:p>
    <w:p w14:paraId="67710465">
      <w:pPr>
        <w:spacing w:line="240" w:lineRule="auto"/>
        <w:ind w:firstLine="640"/>
        <w:jc w:val="both"/>
      </w:pPr>
      <w:r>
        <w:rPr>
          <w:rFonts w:ascii="仿宋_GB2312" w:hAnsi="仿宋_GB2312" w:eastAsia="仿宋_GB2312"/>
          <w:b w:val="0"/>
          <w:sz w:val="32"/>
        </w:rPr>
        <w:t>五、《一般公共预算财政拨款支出决算表》</w:t>
      </w:r>
    </w:p>
    <w:p w14:paraId="3C3D661A">
      <w:pPr>
        <w:spacing w:line="240" w:lineRule="auto"/>
        <w:ind w:firstLine="640"/>
        <w:jc w:val="both"/>
      </w:pPr>
      <w:r>
        <w:rPr>
          <w:rFonts w:ascii="仿宋_GB2312" w:hAnsi="仿宋_GB2312" w:eastAsia="仿宋_GB2312"/>
          <w:b w:val="0"/>
          <w:sz w:val="32"/>
        </w:rPr>
        <w:t>六、《一般公共预算财政拨款基本支出决算表》</w:t>
      </w:r>
    </w:p>
    <w:p w14:paraId="7E478999">
      <w:pPr>
        <w:spacing w:line="240" w:lineRule="auto"/>
        <w:ind w:firstLine="640"/>
        <w:jc w:val="both"/>
      </w:pPr>
      <w:r>
        <w:rPr>
          <w:rFonts w:ascii="仿宋_GB2312" w:hAnsi="仿宋_GB2312" w:eastAsia="仿宋_GB2312"/>
          <w:b w:val="0"/>
          <w:sz w:val="32"/>
        </w:rPr>
        <w:t>七、《政府性基金预算财政拨款收入支出决算表》</w:t>
      </w:r>
    </w:p>
    <w:p w14:paraId="48BEFF3A">
      <w:pPr>
        <w:spacing w:line="240" w:lineRule="auto"/>
        <w:ind w:firstLine="640"/>
        <w:jc w:val="both"/>
      </w:pPr>
      <w:r>
        <w:rPr>
          <w:rFonts w:ascii="仿宋_GB2312" w:hAnsi="仿宋_GB2312" w:eastAsia="仿宋_GB2312"/>
          <w:b w:val="0"/>
          <w:sz w:val="32"/>
        </w:rPr>
        <w:t>八、《国有资本经营预算财政拨款收入支出决算表》</w:t>
      </w:r>
    </w:p>
    <w:p w14:paraId="5363ECDB">
      <w:pPr>
        <w:spacing w:line="240" w:lineRule="auto"/>
        <w:ind w:firstLine="640"/>
        <w:jc w:val="both"/>
      </w:pPr>
      <w:r>
        <w:rPr>
          <w:rFonts w:ascii="仿宋_GB2312" w:hAnsi="仿宋_GB2312" w:eastAsia="仿宋_GB2312"/>
          <w:b w:val="0"/>
          <w:sz w:val="32"/>
        </w:rPr>
        <w:t>九、《财政拨款“三公”经费支出决算表》</w:t>
      </w:r>
    </w:p>
    <w:p w14:paraId="38A51809">
      <w:pPr>
        <w:spacing w:line="240" w:lineRule="auto"/>
        <w:ind w:firstLine="640"/>
        <w:jc w:val="both"/>
      </w:pPr>
    </w:p>
    <w:p w14:paraId="3E18DB52">
      <w:pPr>
        <w:spacing w:line="240" w:lineRule="auto"/>
        <w:ind w:firstLine="640"/>
        <w:jc w:val="both"/>
      </w:pPr>
    </w:p>
    <w:p w14:paraId="4B89D866">
      <w:pPr>
        <w:spacing w:line="240" w:lineRule="auto"/>
        <w:ind w:firstLine="640"/>
        <w:jc w:val="both"/>
      </w:pPr>
    </w:p>
    <w:p w14:paraId="06D0B906">
      <w:pPr>
        <w:spacing w:line="240" w:lineRule="auto"/>
        <w:ind w:firstLine="640"/>
        <w:jc w:val="both"/>
      </w:pPr>
    </w:p>
    <w:p w14:paraId="48B2CF1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C0422F"/>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DF860B5"/>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1614</Words>
  <Characters>1842</Characters>
  <Lines>0</Lines>
  <Paragraphs>0</Paragraphs>
  <TotalTime>2</TotalTime>
  <ScaleCrop>false</ScaleCrop>
  <LinksUpToDate>false</LinksUpToDate>
  <CharactersWithSpaces>1850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2025-09-15T08:36:42Z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