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阿克陶县阿克陶镇卫生院2024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F96DBA5">
      <w:r>
        <w:br w:type="page"/>
      </w:r>
    </w:p>
    <w:p w14:paraId="28137A4C">
      <w:pPr>
        <w:spacing w:line="640" w:lineRule="exact"/>
        <w:jc w:val="center"/>
        <w:outlineLvl w:val="1"/>
      </w:pPr>
      <w:r>
        <w:rPr>
          <w:rFonts w:ascii="黑体" w:hAnsi="黑体" w:eastAsia="黑体"/>
          <w:sz w:val="32"/>
        </w:rPr>
        <w:t>第一部分 单位概况</w:t>
      </w:r>
    </w:p>
    <w:p w14:paraId="3C8B2299">
      <w:pPr>
        <w:spacing w:line="640" w:lineRule="exact"/>
        <w:ind w:firstLine="640"/>
        <w:jc w:val="both"/>
        <w:outlineLvl w:val="2"/>
      </w:pPr>
      <w:r>
        <w:rPr>
          <w:rFonts w:ascii="黑体" w:hAnsi="黑体" w:eastAsia="黑体"/>
          <w:sz w:val="32"/>
        </w:rPr>
        <w:t>一、主要职能</w:t>
      </w:r>
    </w:p>
    <w:p w14:paraId="09E4E632">
      <w:pPr>
        <w:spacing w:line="580" w:lineRule="exact"/>
        <w:ind w:firstLine="640"/>
        <w:jc w:val="both"/>
      </w:pPr>
      <w:r>
        <w:rPr>
          <w:rFonts w:ascii="仿宋_GB2312" w:hAnsi="仿宋_GB2312" w:eastAsia="仿宋_GB2312"/>
          <w:sz w:val="32"/>
        </w:rPr>
        <w:t>1.承担农村居民健康档案规范建档指导、管理及服务。</w:t>
      </w:r>
    </w:p>
    <w:p w14:paraId="49CAE109">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w:t>
      </w:r>
    </w:p>
    <w:p w14:paraId="3F0BFEF3">
      <w:pPr>
        <w:spacing w:line="580" w:lineRule="exact"/>
        <w:ind w:firstLine="640"/>
        <w:jc w:val="both"/>
      </w:pPr>
      <w:r>
        <w:rPr>
          <w:rFonts w:ascii="仿宋_GB2312" w:hAnsi="仿宋_GB2312" w:eastAsia="仿宋_GB2312"/>
          <w:sz w:val="32"/>
        </w:rPr>
        <w:t>3.提供并组织实施辖区预防接种服务，落实国家免疫规划。</w:t>
      </w:r>
    </w:p>
    <w:p w14:paraId="1AEBE4AD">
      <w:pPr>
        <w:spacing w:line="580" w:lineRule="exact"/>
        <w:ind w:firstLine="640"/>
        <w:jc w:val="both"/>
      </w:pPr>
      <w:r>
        <w:rPr>
          <w:rFonts w:ascii="仿宋_GB2312" w:hAnsi="仿宋_GB2312" w:eastAsia="仿宋_GB2312"/>
          <w:sz w:val="32"/>
        </w:rPr>
        <w:t>4.及时发现、登记并报告辖区内发现的病例和疑似病例，参与现场</w:t>
      </w:r>
      <w:r>
        <w:rPr>
          <w:rFonts w:hint="eastAsia" w:ascii="仿宋_GB2312" w:hAnsi="仿宋_GB2312" w:eastAsia="仿宋_GB2312"/>
          <w:sz w:val="32"/>
          <w:lang w:eastAsia="zh-CN"/>
        </w:rPr>
        <w:t>YQ</w:t>
      </w:r>
      <w:r>
        <w:rPr>
          <w:rFonts w:ascii="仿宋_GB2312" w:hAnsi="仿宋_GB2312" w:eastAsia="仿宋_GB2312"/>
          <w:sz w:val="32"/>
        </w:rPr>
        <w:t>处理。</w:t>
      </w:r>
    </w:p>
    <w:p w14:paraId="567541DD">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7F7C615B">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00AB7A2C">
      <w:pPr>
        <w:spacing w:line="580" w:lineRule="exact"/>
        <w:ind w:firstLine="640"/>
        <w:jc w:val="both"/>
      </w:pPr>
      <w:r>
        <w:rPr>
          <w:rFonts w:ascii="仿宋_GB2312" w:hAnsi="仿宋_GB2312" w:eastAsia="仿宋_GB2312"/>
          <w:sz w:val="32"/>
        </w:rPr>
        <w:t>7.对辖区65岁及以上老年人进行登记管理，进行健康危险因素调查和一般体格检查，开展健康指导。</w:t>
      </w:r>
    </w:p>
    <w:p w14:paraId="6C641BDA">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对高血压、糖尿病等慢性病高危人群进行指导，对确诊高血压、糖尿病等慢性病病例进行登记管理、定期随访和健康指导。</w:t>
      </w:r>
    </w:p>
    <w:p w14:paraId="3C90D089">
      <w:pPr>
        <w:spacing w:line="580" w:lineRule="exact"/>
        <w:ind w:firstLine="640"/>
        <w:jc w:val="both"/>
      </w:pPr>
      <w:r>
        <w:rPr>
          <w:rFonts w:ascii="仿宋_GB2312" w:hAnsi="仿宋_GB2312" w:eastAsia="仿宋_GB2312"/>
          <w:sz w:val="32"/>
        </w:rPr>
        <w:t>9.对辖区重性精神疾病患者进行登记管理、治疗随访和康复指导。</w:t>
      </w:r>
    </w:p>
    <w:p w14:paraId="2DD17062">
      <w:pPr>
        <w:spacing w:line="580" w:lineRule="exact"/>
        <w:ind w:firstLine="640"/>
        <w:jc w:val="both"/>
      </w:pPr>
      <w:r>
        <w:rPr>
          <w:rFonts w:ascii="仿宋_GB2312" w:hAnsi="仿宋_GB2312" w:eastAsia="仿宋_GB2312"/>
          <w:sz w:val="32"/>
        </w:rPr>
        <w:t>10.负责辖区内突发公共卫生事件的报告并协助处理。</w:t>
      </w:r>
    </w:p>
    <w:p w14:paraId="3BBAB2B9">
      <w:pPr>
        <w:spacing w:line="580" w:lineRule="exact"/>
        <w:ind w:firstLine="640"/>
        <w:jc w:val="both"/>
      </w:pPr>
      <w:r>
        <w:rPr>
          <w:rFonts w:ascii="仿宋_GB2312" w:hAnsi="仿宋_GB2312" w:eastAsia="仿宋_GB2312"/>
          <w:sz w:val="32"/>
        </w:rPr>
        <w:t>11.做好卫生行政部门规定的其他公共卫生服务。</w:t>
      </w:r>
    </w:p>
    <w:p w14:paraId="184D3724">
      <w:pPr>
        <w:spacing w:line="580" w:lineRule="exact"/>
        <w:ind w:firstLine="640"/>
        <w:jc w:val="both"/>
      </w:pPr>
      <w:r>
        <w:rPr>
          <w:rFonts w:ascii="仿宋_GB2312" w:hAnsi="仿宋_GB2312" w:eastAsia="仿宋_GB2312"/>
          <w:sz w:val="32"/>
        </w:rPr>
        <w:t>12.提供政府卫生行政部门批准的其他适宜的医疗服务。</w:t>
      </w:r>
    </w:p>
    <w:p w14:paraId="1FFFA69C">
      <w:pPr>
        <w:spacing w:line="640" w:lineRule="exact"/>
        <w:ind w:firstLine="640"/>
        <w:jc w:val="both"/>
        <w:outlineLvl w:val="2"/>
      </w:pPr>
      <w:r>
        <w:rPr>
          <w:rFonts w:ascii="黑体" w:hAnsi="黑体" w:eastAsia="黑体"/>
          <w:sz w:val="32"/>
        </w:rPr>
        <w:t>二、机构设置及人员情况</w:t>
      </w:r>
    </w:p>
    <w:p w14:paraId="3C5FF178">
      <w:pPr>
        <w:spacing w:line="580" w:lineRule="exact"/>
        <w:ind w:firstLine="640"/>
        <w:jc w:val="both"/>
      </w:pPr>
      <w:r>
        <w:rPr>
          <w:rFonts w:ascii="仿宋_GB2312" w:hAnsi="仿宋_GB2312" w:eastAsia="仿宋_GB2312"/>
          <w:sz w:val="32"/>
        </w:rPr>
        <w:t>阿克陶县阿克陶镇卫生院2024年度，实有人数45人，其中：在职人员45人，增加2人</w:t>
      </w:r>
      <w:bookmarkStart w:id="0" w:name="_GoBack"/>
      <w:bookmarkEnd w:id="0"/>
      <w:r>
        <w:rPr>
          <w:rFonts w:ascii="仿宋_GB2312" w:hAnsi="仿宋_GB2312" w:eastAsia="仿宋_GB2312"/>
          <w:sz w:val="32"/>
        </w:rPr>
        <w:t>；离休人员0人，增加0人；退休人员0人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14:paraId="1E9406DF">
      <w:pPr>
        <w:spacing w:line="580" w:lineRule="exact"/>
        <w:ind w:firstLine="640"/>
        <w:jc w:val="both"/>
      </w:pPr>
      <w:r>
        <w:rPr>
          <w:rFonts w:ascii="仿宋_GB2312" w:hAnsi="仿宋_GB2312" w:eastAsia="仿宋_GB2312"/>
          <w:sz w:val="32"/>
        </w:rPr>
        <w:t>阿克陶县阿克陶镇卫生院无下属预算单位，下设12个科室，分别是：内科、妇幼保健科、外科、防疫科、心电图、B超室、检验科、放射科、中医科、财务室、药房、公卫科。</w:t>
      </w:r>
    </w:p>
    <w:p w14:paraId="44C933E4">
      <w:r>
        <w:br w:type="page"/>
      </w:r>
    </w:p>
    <w:p w14:paraId="26FCAFB3">
      <w:pPr>
        <w:spacing w:line="240" w:lineRule="auto"/>
        <w:jc w:val="center"/>
        <w:outlineLvl w:val="1"/>
      </w:pPr>
      <w:r>
        <w:rPr>
          <w:rFonts w:ascii="黑体" w:hAnsi="黑体" w:eastAsia="黑体"/>
          <w:sz w:val="32"/>
        </w:rPr>
        <w:t>第二部分 部门决算情况说明</w:t>
      </w:r>
    </w:p>
    <w:p w14:paraId="25FDA108">
      <w:pPr>
        <w:spacing w:line="640" w:lineRule="exact"/>
        <w:ind w:firstLine="640"/>
        <w:jc w:val="both"/>
        <w:outlineLvl w:val="2"/>
      </w:pPr>
      <w:r>
        <w:rPr>
          <w:rFonts w:ascii="黑体" w:hAnsi="黑体" w:eastAsia="黑体"/>
          <w:sz w:val="32"/>
        </w:rPr>
        <w:t>一、收入支出决算总体情况说明</w:t>
      </w:r>
    </w:p>
    <w:p w14:paraId="00D96D35">
      <w:pPr>
        <w:spacing w:line="580" w:lineRule="exact"/>
        <w:ind w:firstLine="640"/>
        <w:jc w:val="both"/>
      </w:pPr>
      <w:r>
        <w:rPr>
          <w:rFonts w:ascii="仿宋_GB2312" w:hAnsi="仿宋_GB2312" w:eastAsia="仿宋_GB2312"/>
          <w:b/>
          <w:sz w:val="32"/>
        </w:rPr>
        <w:t>2024年度收入总计1,786.71万元，</w:t>
      </w:r>
      <w:r>
        <w:rPr>
          <w:rFonts w:ascii="仿宋_GB2312" w:hAnsi="仿宋_GB2312" w:eastAsia="仿宋_GB2312"/>
          <w:b w:val="0"/>
          <w:sz w:val="32"/>
        </w:rPr>
        <w:t>其中：本年收入合计1,684.76万元，使用非财政拨款结余（含专用结余）0.00万元，年初结转和结余101.95万元。</w:t>
      </w:r>
    </w:p>
    <w:p w14:paraId="16B69C7A">
      <w:pPr>
        <w:spacing w:line="580" w:lineRule="exact"/>
        <w:ind w:firstLine="640"/>
        <w:jc w:val="both"/>
      </w:pPr>
      <w:r>
        <w:rPr>
          <w:rFonts w:ascii="仿宋_GB2312" w:hAnsi="仿宋_GB2312" w:eastAsia="仿宋_GB2312"/>
          <w:b/>
          <w:sz w:val="32"/>
        </w:rPr>
        <w:t>2024年度支出总计1,786.71万元，</w:t>
      </w:r>
      <w:r>
        <w:rPr>
          <w:rFonts w:ascii="仿宋_GB2312" w:hAnsi="仿宋_GB2312" w:eastAsia="仿宋_GB2312"/>
          <w:b w:val="0"/>
          <w:sz w:val="32"/>
        </w:rPr>
        <w:t>其中：本年支出合计1,656.01万元，结余分配0.00万元，年末结转和结余130.70万元。</w:t>
      </w:r>
    </w:p>
    <w:p w14:paraId="40C360E7">
      <w:pPr>
        <w:spacing w:line="580" w:lineRule="exact"/>
        <w:ind w:firstLine="640"/>
        <w:jc w:val="both"/>
      </w:pPr>
      <w:r>
        <w:rPr>
          <w:rFonts w:ascii="仿宋_GB2312" w:hAnsi="仿宋_GB2312" w:eastAsia="仿宋_GB2312"/>
          <w:b w:val="0"/>
          <w:sz w:val="32"/>
        </w:rPr>
        <w:t>收入支出总体与上年相比，增加155.36万元，增长9.52%，主要原因是：本年增加公用经费结转资金，导致经费较上年增加。</w:t>
      </w:r>
    </w:p>
    <w:p w14:paraId="2A2E1F9C">
      <w:pPr>
        <w:spacing w:line="640" w:lineRule="exact"/>
        <w:ind w:firstLine="640"/>
        <w:jc w:val="both"/>
        <w:outlineLvl w:val="2"/>
      </w:pPr>
      <w:r>
        <w:rPr>
          <w:rFonts w:ascii="黑体" w:hAnsi="黑体" w:eastAsia="黑体"/>
          <w:sz w:val="32"/>
        </w:rPr>
        <w:t>二、收入决算情况说明</w:t>
      </w:r>
    </w:p>
    <w:p w14:paraId="5FB437DF">
      <w:pPr>
        <w:spacing w:line="580" w:lineRule="exact"/>
        <w:ind w:firstLine="640"/>
        <w:jc w:val="both"/>
      </w:pPr>
      <w:r>
        <w:rPr>
          <w:rFonts w:ascii="仿宋_GB2312" w:hAnsi="仿宋_GB2312" w:eastAsia="仿宋_GB2312"/>
          <w:b/>
          <w:sz w:val="32"/>
        </w:rPr>
        <w:t>本年收入1,684.76万元，</w:t>
      </w:r>
      <w:r>
        <w:rPr>
          <w:rFonts w:ascii="仿宋_GB2312" w:hAnsi="仿宋_GB2312" w:eastAsia="仿宋_GB2312"/>
          <w:b w:val="0"/>
          <w:sz w:val="32"/>
        </w:rPr>
        <w:t>其中：财政拨款收入1,326.01万元，占78.71%；上级补助收入0.00万元，占0.00%；事业收入358.38万元，占21.27%；经营收入0.00万元，占0.00%；附属单位上缴收入0.00万元，占0.00%；其他收入0.37万元，占0.02%。</w:t>
      </w:r>
    </w:p>
    <w:p w14:paraId="609F52C5">
      <w:pPr>
        <w:spacing w:line="640" w:lineRule="exact"/>
        <w:ind w:firstLine="640"/>
        <w:jc w:val="both"/>
        <w:outlineLvl w:val="2"/>
      </w:pPr>
      <w:r>
        <w:rPr>
          <w:rFonts w:ascii="黑体" w:hAnsi="黑体" w:eastAsia="黑体"/>
          <w:sz w:val="32"/>
        </w:rPr>
        <w:t>三、支出决算情况说明</w:t>
      </w:r>
    </w:p>
    <w:p w14:paraId="508052CC">
      <w:pPr>
        <w:spacing w:line="580" w:lineRule="exact"/>
        <w:ind w:firstLine="640"/>
        <w:jc w:val="both"/>
      </w:pPr>
      <w:r>
        <w:rPr>
          <w:rFonts w:ascii="仿宋_GB2312" w:hAnsi="仿宋_GB2312" w:eastAsia="仿宋_GB2312"/>
          <w:b/>
          <w:sz w:val="32"/>
        </w:rPr>
        <w:t>本年支出1,656.01万元，</w:t>
      </w:r>
      <w:r>
        <w:rPr>
          <w:rFonts w:ascii="仿宋_GB2312" w:hAnsi="仿宋_GB2312" w:eastAsia="仿宋_GB2312"/>
          <w:b w:val="0"/>
          <w:sz w:val="32"/>
        </w:rPr>
        <w:t>其中：基本支出1,220.57万元，占73.71%；项目支出435.44万元，占26.29%；上缴上级支出0.00万元，占0.00%；经营支出0.00万元，占0.00%；对附属单位补助支出0.00万元，占0.00%。</w:t>
      </w:r>
    </w:p>
    <w:p w14:paraId="35CF1CE3">
      <w:pPr>
        <w:spacing w:line="640" w:lineRule="exact"/>
        <w:ind w:firstLine="640"/>
        <w:jc w:val="both"/>
        <w:outlineLvl w:val="2"/>
      </w:pPr>
      <w:r>
        <w:rPr>
          <w:rFonts w:ascii="黑体" w:hAnsi="黑体" w:eastAsia="黑体"/>
          <w:sz w:val="32"/>
        </w:rPr>
        <w:t>四、财政拨款收入支出决算总体情况说明</w:t>
      </w:r>
    </w:p>
    <w:p w14:paraId="7E7EA81C">
      <w:pPr>
        <w:spacing w:line="580" w:lineRule="exact"/>
        <w:ind w:firstLine="640"/>
        <w:jc w:val="both"/>
      </w:pPr>
      <w:r>
        <w:rPr>
          <w:rFonts w:ascii="仿宋_GB2312" w:hAnsi="仿宋_GB2312" w:eastAsia="仿宋_GB2312"/>
          <w:b/>
          <w:sz w:val="32"/>
        </w:rPr>
        <w:t>2024年度财政拨款收入总计1,326.01万元，</w:t>
      </w:r>
      <w:r>
        <w:rPr>
          <w:rFonts w:ascii="仿宋_GB2312" w:hAnsi="仿宋_GB2312" w:eastAsia="仿宋_GB2312"/>
          <w:b w:val="0"/>
          <w:sz w:val="32"/>
        </w:rPr>
        <w:t>其中：年初财政拨款结转和结余0.00万元，本年财政拨款收入1,326.01万元。</w:t>
      </w:r>
      <w:r>
        <w:rPr>
          <w:rFonts w:ascii="仿宋_GB2312" w:hAnsi="仿宋_GB2312" w:eastAsia="仿宋_GB2312"/>
          <w:b/>
          <w:sz w:val="32"/>
        </w:rPr>
        <w:t>财政拨款支出总计1,326.01万元，</w:t>
      </w:r>
      <w:r>
        <w:rPr>
          <w:rFonts w:ascii="仿宋_GB2312" w:hAnsi="仿宋_GB2312" w:eastAsia="仿宋_GB2312"/>
          <w:b w:val="0"/>
          <w:sz w:val="32"/>
        </w:rPr>
        <w:t>其中：年末财政拨款结转和结余0.00万元，本年财政拨款支出1,326.01万元。</w:t>
      </w:r>
    </w:p>
    <w:p w14:paraId="1169929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减少35.26万元，下降2.59%，主要原因是：本年全民健康体检公用经费减少。</w:t>
      </w:r>
      <w:r>
        <w:rPr>
          <w:rFonts w:ascii="仿宋_GB2312" w:hAnsi="仿宋_GB2312" w:eastAsia="仿宋_GB2312"/>
          <w:b/>
          <w:sz w:val="32"/>
        </w:rPr>
        <w:t>与年初预算相比，</w:t>
      </w:r>
      <w:r>
        <w:rPr>
          <w:rFonts w:ascii="仿宋_GB2312" w:hAnsi="仿宋_GB2312" w:eastAsia="仿宋_GB2312"/>
          <w:b w:val="0"/>
          <w:sz w:val="32"/>
        </w:rPr>
        <w:t>年初预算数1,079.52万元，决算数1,326.01万元，预决算差异率22.83%，主要原因是：年中追加人员经费及人员工资、社保、公积金基数调增部分资金，年中追加中央财政基本公共卫生服务补助项目经费，导致预决算存在差异。</w:t>
      </w:r>
    </w:p>
    <w:p w14:paraId="26600EA4">
      <w:pPr>
        <w:spacing w:line="640" w:lineRule="exact"/>
        <w:ind w:firstLine="640"/>
        <w:jc w:val="both"/>
        <w:outlineLvl w:val="2"/>
      </w:pPr>
      <w:r>
        <w:rPr>
          <w:rFonts w:ascii="黑体" w:hAnsi="黑体" w:eastAsia="黑体"/>
          <w:sz w:val="32"/>
        </w:rPr>
        <w:t>五、一般公共预算财政拨款支出决算情况说明</w:t>
      </w:r>
    </w:p>
    <w:p w14:paraId="60EF2A5A">
      <w:pPr>
        <w:spacing w:line="640" w:lineRule="exact"/>
        <w:ind w:firstLine="640"/>
        <w:jc w:val="both"/>
        <w:outlineLvl w:val="3"/>
      </w:pPr>
      <w:r>
        <w:rPr>
          <w:rFonts w:ascii="楷体_GB2312" w:hAnsi="楷体_GB2312" w:eastAsia="楷体_GB2312"/>
          <w:b/>
          <w:sz w:val="32"/>
        </w:rPr>
        <w:t>（一）一般公共预算财政拨款支出决算总体情况</w:t>
      </w:r>
    </w:p>
    <w:p w14:paraId="6AAFC5FA">
      <w:pPr>
        <w:spacing w:line="580" w:lineRule="exact"/>
        <w:ind w:firstLine="640"/>
        <w:jc w:val="both"/>
      </w:pPr>
      <w:r>
        <w:rPr>
          <w:rFonts w:ascii="仿宋_GB2312" w:hAnsi="仿宋_GB2312" w:eastAsia="仿宋_GB2312"/>
          <w:b/>
          <w:sz w:val="32"/>
        </w:rPr>
        <w:t>2024年度一般公共预算财政拨款支出1,325.00万元，</w:t>
      </w:r>
      <w:r>
        <w:rPr>
          <w:rFonts w:ascii="仿宋_GB2312" w:hAnsi="仿宋_GB2312" w:eastAsia="仿宋_GB2312"/>
          <w:b w:val="0"/>
          <w:sz w:val="32"/>
        </w:rPr>
        <w:t>占本年支出合计的80.01%。</w:t>
      </w:r>
      <w:r>
        <w:rPr>
          <w:rFonts w:ascii="仿宋_GB2312" w:hAnsi="仿宋_GB2312" w:eastAsia="仿宋_GB2312"/>
          <w:b/>
          <w:sz w:val="32"/>
        </w:rPr>
        <w:t>与上年相比，</w:t>
      </w:r>
      <w:r>
        <w:rPr>
          <w:rFonts w:ascii="仿宋_GB2312" w:hAnsi="仿宋_GB2312" w:eastAsia="仿宋_GB2312"/>
          <w:b w:val="0"/>
          <w:sz w:val="32"/>
        </w:rPr>
        <w:t>减少36.27万元，下降2.66%，主要原因是：本年全民健康体检公用经费减少。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1,079.52万元，决算数1,325.00万元，预决算差异率22.74%，主要原因是：年中追加人员经费及人员工资、社保、公积金基数调增部分资金，年中追加中央财政基本公共卫生服务补助项目经费，导致预决算存在差异。</w:t>
      </w:r>
    </w:p>
    <w:p w14:paraId="1BE7AA87">
      <w:pPr>
        <w:spacing w:line="640" w:lineRule="exact"/>
        <w:ind w:firstLine="640"/>
        <w:jc w:val="both"/>
        <w:outlineLvl w:val="3"/>
      </w:pPr>
      <w:r>
        <w:rPr>
          <w:rFonts w:ascii="楷体_GB2312" w:hAnsi="楷体_GB2312" w:eastAsia="楷体_GB2312"/>
          <w:b/>
          <w:sz w:val="32"/>
        </w:rPr>
        <w:t>（二）一般公共预算财政拨款支出决算结构情况</w:t>
      </w:r>
    </w:p>
    <w:p w14:paraId="792A18C0">
      <w:pPr>
        <w:spacing w:line="580" w:lineRule="exact"/>
        <w:ind w:firstLine="640"/>
        <w:jc w:val="both"/>
      </w:pPr>
      <w:r>
        <w:rPr>
          <w:rFonts w:ascii="仿宋_GB2312" w:hAnsi="仿宋_GB2312" w:eastAsia="仿宋_GB2312"/>
          <w:b w:val="0"/>
          <w:sz w:val="32"/>
        </w:rPr>
        <w:t>1.社会保障和就业支出(类)89.54万元</w:t>
      </w:r>
      <w:r>
        <w:rPr>
          <w:rFonts w:hint="eastAsia" w:ascii="仿宋_GB2312" w:hAnsi="仿宋_GB2312" w:eastAsia="仿宋_GB2312"/>
          <w:b w:val="0"/>
          <w:sz w:val="32"/>
          <w:lang w:eastAsia="zh-CN"/>
        </w:rPr>
        <w:t>，</w:t>
      </w:r>
      <w:r>
        <w:rPr>
          <w:rFonts w:ascii="仿宋_GB2312" w:hAnsi="仿宋_GB2312" w:eastAsia="仿宋_GB2312"/>
          <w:b w:val="0"/>
          <w:sz w:val="32"/>
        </w:rPr>
        <w:t>占6.76%。</w:t>
      </w:r>
    </w:p>
    <w:p w14:paraId="77CA7C15">
      <w:pPr>
        <w:spacing w:line="580" w:lineRule="exact"/>
        <w:ind w:firstLine="640"/>
        <w:jc w:val="both"/>
      </w:pPr>
      <w:r>
        <w:rPr>
          <w:rFonts w:ascii="仿宋_GB2312" w:hAnsi="仿宋_GB2312" w:eastAsia="仿宋_GB2312"/>
          <w:b w:val="0"/>
          <w:sz w:val="32"/>
        </w:rPr>
        <w:t>2.卫生健康支出(类)1,162.94万元</w:t>
      </w:r>
      <w:r>
        <w:rPr>
          <w:rFonts w:hint="eastAsia" w:ascii="仿宋_GB2312" w:hAnsi="仿宋_GB2312" w:eastAsia="仿宋_GB2312"/>
          <w:b w:val="0"/>
          <w:sz w:val="32"/>
          <w:lang w:eastAsia="zh-CN"/>
        </w:rPr>
        <w:t>，</w:t>
      </w:r>
      <w:r>
        <w:rPr>
          <w:rFonts w:ascii="仿宋_GB2312" w:hAnsi="仿宋_GB2312" w:eastAsia="仿宋_GB2312"/>
          <w:b w:val="0"/>
          <w:sz w:val="32"/>
        </w:rPr>
        <w:t>占87.77%。</w:t>
      </w:r>
    </w:p>
    <w:p w14:paraId="57519747">
      <w:pPr>
        <w:spacing w:line="580" w:lineRule="exact"/>
        <w:ind w:firstLine="640"/>
        <w:jc w:val="both"/>
      </w:pPr>
      <w:r>
        <w:rPr>
          <w:rFonts w:ascii="仿宋_GB2312" w:hAnsi="仿宋_GB2312" w:eastAsia="仿宋_GB2312"/>
          <w:b w:val="0"/>
          <w:sz w:val="32"/>
        </w:rPr>
        <w:t>3.住房保障支出(类)72.52万元</w:t>
      </w:r>
      <w:r>
        <w:rPr>
          <w:rFonts w:hint="eastAsia" w:ascii="仿宋_GB2312" w:hAnsi="仿宋_GB2312" w:eastAsia="仿宋_GB2312"/>
          <w:b w:val="0"/>
          <w:sz w:val="32"/>
          <w:lang w:eastAsia="zh-CN"/>
        </w:rPr>
        <w:t>，</w:t>
      </w:r>
      <w:r>
        <w:rPr>
          <w:rFonts w:ascii="仿宋_GB2312" w:hAnsi="仿宋_GB2312" w:eastAsia="仿宋_GB2312"/>
          <w:b w:val="0"/>
          <w:sz w:val="32"/>
        </w:rPr>
        <w:t>占5.47%。</w:t>
      </w:r>
    </w:p>
    <w:p w14:paraId="7C09D360">
      <w:pPr>
        <w:spacing w:line="640" w:lineRule="exact"/>
        <w:ind w:firstLine="640"/>
        <w:jc w:val="both"/>
        <w:outlineLvl w:val="3"/>
      </w:pPr>
      <w:r>
        <w:rPr>
          <w:rFonts w:ascii="楷体_GB2312" w:hAnsi="楷体_GB2312" w:eastAsia="楷体_GB2312"/>
          <w:b/>
          <w:sz w:val="32"/>
        </w:rPr>
        <w:t>（三）一般公共预算财政拨款支出决算具体情况</w:t>
      </w:r>
    </w:p>
    <w:p w14:paraId="7D8C1B87">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支出决算数为89.54万元，比上年决算增加14.90万元，增长19.96%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2B63B08D">
      <w:pPr>
        <w:spacing w:line="580" w:lineRule="exact"/>
        <w:ind w:firstLine="640"/>
        <w:jc w:val="both"/>
      </w:pPr>
      <w:r>
        <w:rPr>
          <w:rFonts w:ascii="仿宋_GB2312" w:hAnsi="仿宋_GB2312" w:eastAsia="仿宋_GB2312"/>
          <w:b w:val="0"/>
          <w:sz w:val="32"/>
        </w:rPr>
        <w:t>2.卫生健康支出(类)基层医疗卫生机构(款)乡镇卫生院(项)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支出决算数为697.33万元，比上年决算增加6.82万元，增长0.99%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主要原因是：本年在职人员增加，导致相关人员经费增加。</w:t>
      </w:r>
    </w:p>
    <w:p w14:paraId="58C58B1B">
      <w:pPr>
        <w:spacing w:line="580" w:lineRule="exact"/>
        <w:ind w:firstLine="640"/>
        <w:jc w:val="both"/>
      </w:pPr>
      <w:r>
        <w:rPr>
          <w:rFonts w:ascii="仿宋_GB2312" w:hAnsi="仿宋_GB2312" w:eastAsia="仿宋_GB2312"/>
          <w:b w:val="0"/>
          <w:sz w:val="32"/>
        </w:rPr>
        <w:t>3.卫生健康支出(类)基层医疗卫生机构(款)其他基层医疗卫生机构支出(项)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支出决算数为42.30万元，比上年决算减少10.02万元，下降19.15%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主要原因是：本年中央基本药物补助项目经费减少。</w:t>
      </w:r>
    </w:p>
    <w:p w14:paraId="135DA92E">
      <w:pPr>
        <w:spacing w:line="580" w:lineRule="exact"/>
        <w:ind w:firstLine="640"/>
        <w:jc w:val="both"/>
      </w:pPr>
      <w:r>
        <w:rPr>
          <w:rFonts w:ascii="仿宋_GB2312" w:hAnsi="仿宋_GB2312" w:eastAsia="仿宋_GB2312"/>
          <w:b w:val="0"/>
          <w:sz w:val="32"/>
        </w:rPr>
        <w:t>4.卫生健康支出(类)公共卫生(款)基本公共卫生服务(项)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支出决算数为392.12万元，比上年决算增加5.00万元，增长1.29%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主要原因是：本年中央财政基本公共卫生服务补助项目经费增加。</w:t>
      </w:r>
    </w:p>
    <w:p w14:paraId="1F3C3171">
      <w:pPr>
        <w:spacing w:line="580" w:lineRule="exact"/>
        <w:ind w:firstLine="640"/>
        <w:jc w:val="both"/>
      </w:pPr>
      <w:r>
        <w:rPr>
          <w:rFonts w:ascii="仿宋_GB2312" w:hAnsi="仿宋_GB2312" w:eastAsia="仿宋_GB2312"/>
          <w:b w:val="0"/>
          <w:sz w:val="32"/>
        </w:rPr>
        <w:t>5.卫生健康支出(类)公共卫生(款)其他公共卫生支出(项)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支出决算数为0.00万元，比上年决算减少69.66万元，下降100.00%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主要原因是：本年全民健康体检经费减少。</w:t>
      </w:r>
    </w:p>
    <w:p w14:paraId="56453C01">
      <w:pPr>
        <w:spacing w:line="580" w:lineRule="exact"/>
        <w:ind w:firstLine="640"/>
        <w:jc w:val="both"/>
      </w:pPr>
      <w:r>
        <w:rPr>
          <w:rFonts w:ascii="仿宋_GB2312" w:hAnsi="仿宋_GB2312" w:eastAsia="仿宋_GB2312"/>
          <w:b w:val="0"/>
          <w:sz w:val="32"/>
        </w:rPr>
        <w:t>6.卫生健康支出(类)行政事业单位医疗(款)事业单位医疗(项)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支出决算数为31.19万元，比上年决算增加5.47万元，增长21.27%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主要原因是：本年在职人员增加，在职人员工资调增，事业单位医疗支出较上年增加。</w:t>
      </w:r>
    </w:p>
    <w:p w14:paraId="62F797C2">
      <w:pPr>
        <w:spacing w:line="580" w:lineRule="exact"/>
        <w:ind w:firstLine="640"/>
        <w:jc w:val="both"/>
      </w:pPr>
      <w:r>
        <w:rPr>
          <w:rFonts w:ascii="仿宋_GB2312" w:hAnsi="仿宋_GB2312" w:eastAsia="仿宋_GB2312"/>
          <w:b w:val="0"/>
          <w:sz w:val="32"/>
        </w:rPr>
        <w:t>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支出决算数为72.52万元，比上年决算增加11.22万元，增长18.30%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主要原因是：本年在职人员增加，在职人员工资调增，住房公积金支出较上年增加。</w:t>
      </w:r>
    </w:p>
    <w:p w14:paraId="7E0518A9">
      <w:pPr>
        <w:spacing w:line="640" w:lineRule="exact"/>
        <w:ind w:firstLine="640"/>
        <w:jc w:val="both"/>
        <w:outlineLvl w:val="2"/>
      </w:pPr>
      <w:r>
        <w:rPr>
          <w:rFonts w:ascii="黑体" w:hAnsi="黑体" w:eastAsia="黑体"/>
          <w:sz w:val="32"/>
        </w:rPr>
        <w:t>六、一般公共预算财政拨款基本支出决算情况说明</w:t>
      </w:r>
    </w:p>
    <w:p w14:paraId="117837B7">
      <w:pPr>
        <w:spacing w:line="580" w:lineRule="exact"/>
        <w:ind w:firstLine="640"/>
        <w:jc w:val="both"/>
      </w:pPr>
      <w:r>
        <w:rPr>
          <w:rFonts w:ascii="仿宋_GB2312" w:hAnsi="仿宋_GB2312" w:eastAsia="仿宋_GB2312"/>
          <w:b w:val="0"/>
          <w:sz w:val="32"/>
        </w:rPr>
        <w:t>2024年度一般公共预算财政拨款基本支出890.58万元，其中：</w:t>
      </w:r>
      <w:r>
        <w:rPr>
          <w:rFonts w:ascii="仿宋_GB2312" w:hAnsi="仿宋_GB2312" w:eastAsia="仿宋_GB2312"/>
          <w:b/>
          <w:sz w:val="32"/>
        </w:rPr>
        <w:t>人员经费889.28万元，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包括：基本工资、津贴补贴、奖金、机关事业单位基本养老保险缴费、职工基本医疗保险缴费、其他社会保障缴费、住房公积金、其他工资福利支出、生活补助。</w:t>
      </w:r>
    </w:p>
    <w:p w14:paraId="3CC1A3DF">
      <w:pPr>
        <w:spacing w:line="580" w:lineRule="exact"/>
        <w:ind w:firstLine="640"/>
        <w:jc w:val="both"/>
      </w:pPr>
      <w:r>
        <w:rPr>
          <w:rFonts w:ascii="仿宋_GB2312" w:hAnsi="仿宋_GB2312" w:eastAsia="仿宋_GB2312"/>
          <w:b/>
          <w:sz w:val="32"/>
        </w:rPr>
        <w:t>公用经费1.30万元，</w:t>
      </w:r>
      <w:r>
        <w:rPr>
          <w:rFonts w:ascii="仿宋_GB2312" w:hAnsi="仿宋_GB2312" w:eastAsia="仿宋_GB2312"/>
          <w:b w:val="0"/>
          <w:sz w:val="32"/>
        </w:rPr>
        <w:t>包括：维修（护）费。</w:t>
      </w:r>
    </w:p>
    <w:p w14:paraId="73EE27F6">
      <w:pPr>
        <w:spacing w:line="640" w:lineRule="exact"/>
        <w:ind w:firstLine="640"/>
        <w:jc w:val="both"/>
        <w:outlineLvl w:val="2"/>
      </w:pPr>
      <w:r>
        <w:rPr>
          <w:rFonts w:ascii="黑体" w:hAnsi="黑体" w:eastAsia="黑体"/>
          <w:sz w:val="32"/>
        </w:rPr>
        <w:t>七、政府性基金预算财政拨款收入支出决算情况说明</w:t>
      </w:r>
    </w:p>
    <w:p w14:paraId="32289DC6">
      <w:pPr>
        <w:spacing w:line="580" w:lineRule="exact"/>
        <w:ind w:firstLine="640"/>
        <w:jc w:val="both"/>
      </w:pPr>
      <w:r>
        <w:rPr>
          <w:rFonts w:ascii="仿宋_GB2312" w:hAnsi="仿宋_GB2312" w:eastAsia="仿宋_GB2312"/>
          <w:b/>
          <w:sz w:val="32"/>
        </w:rPr>
        <w:t>2024年度政府性基金预算财政拨款收入总计1.01万元，</w:t>
      </w:r>
      <w:r>
        <w:rPr>
          <w:rFonts w:ascii="仿宋_GB2312" w:hAnsi="仿宋_GB2312" w:eastAsia="仿宋_GB2312"/>
          <w:b w:val="0"/>
          <w:sz w:val="32"/>
        </w:rPr>
        <w:t>其中：年初结转和结余0.00万元，本年收入1.01万元。</w:t>
      </w:r>
      <w:r>
        <w:rPr>
          <w:rFonts w:ascii="仿宋_GB2312" w:hAnsi="仿宋_GB2312" w:eastAsia="仿宋_GB2312"/>
          <w:b/>
          <w:sz w:val="32"/>
        </w:rPr>
        <w:t>政府性基金预算财政拨款支出总计1.01万元，</w:t>
      </w:r>
      <w:r>
        <w:rPr>
          <w:rFonts w:ascii="仿宋_GB2312" w:hAnsi="仿宋_GB2312" w:eastAsia="仿宋_GB2312"/>
          <w:b w:val="0"/>
          <w:sz w:val="32"/>
        </w:rPr>
        <w:t>其中：年末结转和结余0.00万元，本年支出1.01万元。</w:t>
      </w:r>
    </w:p>
    <w:p w14:paraId="7EDC936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增加1.01万元，增长100.00%，主要原因是：本年2024年中央专项彩票公益金支持地方社会公益事业发展医疗救助资金增加。</w:t>
      </w:r>
      <w:r>
        <w:rPr>
          <w:rFonts w:ascii="仿宋_GB2312" w:hAnsi="仿宋_GB2312" w:eastAsia="仿宋_GB2312"/>
          <w:b/>
          <w:sz w:val="32"/>
        </w:rPr>
        <w:t>与年初预算相比，</w:t>
      </w:r>
      <w:r>
        <w:rPr>
          <w:rFonts w:ascii="仿宋_GB2312" w:hAnsi="仿宋_GB2312" w:eastAsia="仿宋_GB2312"/>
          <w:b w:val="0"/>
          <w:sz w:val="32"/>
        </w:rPr>
        <w:t>年初预算数0.00万元，决算数1.01万元，预决算差异率100.00%，主要原因是：年中追加2024年中央专项彩票公益金支持地方社会公益事业发展医疗救助资金。</w:t>
      </w:r>
    </w:p>
    <w:p w14:paraId="2955E933">
      <w:pPr>
        <w:spacing w:line="580" w:lineRule="exact"/>
        <w:ind w:firstLine="640"/>
        <w:jc w:val="both"/>
      </w:pPr>
      <w:r>
        <w:rPr>
          <w:rFonts w:ascii="仿宋_GB2312" w:hAnsi="仿宋_GB2312" w:eastAsia="仿宋_GB2312"/>
          <w:b w:val="0"/>
          <w:sz w:val="32"/>
        </w:rPr>
        <w:t>政府性基金预算财政拨款支出1.01万元。</w:t>
      </w:r>
    </w:p>
    <w:p w14:paraId="64A281FC">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支出决算数为1.01万元，比上年决算增加1.01万元，增长100.00%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主要原因是：2024年中央专项彩票公益金支持地方社会公益事业发展医疗救助资金增加。</w:t>
      </w:r>
    </w:p>
    <w:p w14:paraId="4911ED27">
      <w:pPr>
        <w:spacing w:line="640" w:lineRule="exact"/>
        <w:ind w:firstLine="640"/>
        <w:jc w:val="both"/>
        <w:outlineLvl w:val="2"/>
      </w:pPr>
      <w:r>
        <w:rPr>
          <w:rFonts w:ascii="黑体" w:hAnsi="黑体" w:eastAsia="黑体"/>
          <w:sz w:val="32"/>
        </w:rPr>
        <w:t>八、国有资本经营预算财政拨款收入支出决算情况说明</w:t>
      </w:r>
    </w:p>
    <w:p w14:paraId="164C1BB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06C949">
      <w:pPr>
        <w:spacing w:line="640" w:lineRule="exact"/>
        <w:ind w:firstLine="640"/>
        <w:jc w:val="both"/>
        <w:outlineLvl w:val="2"/>
      </w:pPr>
      <w:r>
        <w:rPr>
          <w:rFonts w:ascii="黑体" w:hAnsi="黑体" w:eastAsia="黑体"/>
          <w:sz w:val="32"/>
        </w:rPr>
        <w:t>九、财政拨款“三公”经费支出决算情况说明</w:t>
      </w:r>
    </w:p>
    <w:p w14:paraId="205B8AB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437EFC4">
      <w:pPr>
        <w:spacing w:line="580" w:lineRule="exact"/>
        <w:ind w:firstLine="640"/>
        <w:jc w:val="both"/>
      </w:pPr>
      <w:r>
        <w:rPr>
          <w:rFonts w:ascii="仿宋_GB2312" w:hAnsi="仿宋_GB2312" w:eastAsia="仿宋_GB2312"/>
          <w:b/>
          <w:sz w:val="32"/>
        </w:rPr>
        <w:t>具体情况如下：</w:t>
      </w:r>
    </w:p>
    <w:p w14:paraId="31CE298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9C6546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单位自有资金保障。</w:t>
      </w:r>
    </w:p>
    <w:p w14:paraId="40AC89C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07677A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74771A7">
      <w:pPr>
        <w:spacing w:line="640" w:lineRule="exact"/>
        <w:ind w:firstLine="640"/>
        <w:jc w:val="both"/>
        <w:outlineLvl w:val="2"/>
      </w:pPr>
      <w:r>
        <w:rPr>
          <w:rFonts w:ascii="黑体" w:hAnsi="黑体" w:eastAsia="黑体"/>
          <w:sz w:val="32"/>
        </w:rPr>
        <w:t>十、其他重要事项的情况说明</w:t>
      </w:r>
    </w:p>
    <w:p w14:paraId="24E721C3">
      <w:pPr>
        <w:spacing w:line="640" w:lineRule="exact"/>
        <w:ind w:firstLine="640"/>
        <w:jc w:val="both"/>
        <w:outlineLvl w:val="3"/>
      </w:pPr>
      <w:r>
        <w:rPr>
          <w:rFonts w:ascii="楷体_GB2312" w:hAnsi="楷体_GB2312" w:eastAsia="楷体_GB2312"/>
          <w:b/>
          <w:sz w:val="32"/>
        </w:rPr>
        <w:t>（一）机关运行经费及公用经费支出情况</w:t>
      </w:r>
    </w:p>
    <w:p w14:paraId="7E52A61A">
      <w:pPr>
        <w:spacing w:line="580" w:lineRule="exact"/>
        <w:ind w:firstLine="640"/>
        <w:jc w:val="both"/>
      </w:pPr>
      <w:r>
        <w:rPr>
          <w:rFonts w:ascii="仿宋_GB2312" w:hAnsi="仿宋_GB2312" w:eastAsia="仿宋_GB2312"/>
          <w:b w:val="0"/>
          <w:sz w:val="32"/>
        </w:rPr>
        <w:t>2024年度阿克陶县阿克陶镇卫生院（事业单位）公用经费支出1.30万元，比上年增加1.30万元，增长100.00%，主要原因是：本年增加维修（护）费，公用经费支出增加。</w:t>
      </w:r>
    </w:p>
    <w:p w14:paraId="71BC348F">
      <w:pPr>
        <w:spacing w:line="640" w:lineRule="exact"/>
        <w:ind w:firstLine="640"/>
        <w:jc w:val="both"/>
        <w:outlineLvl w:val="3"/>
      </w:pPr>
      <w:r>
        <w:rPr>
          <w:rFonts w:ascii="楷体_GB2312" w:hAnsi="楷体_GB2312" w:eastAsia="楷体_GB2312"/>
          <w:b/>
          <w:sz w:val="32"/>
        </w:rPr>
        <w:t>（二）政府采购情况</w:t>
      </w:r>
    </w:p>
    <w:p w14:paraId="781EDBFE">
      <w:pPr>
        <w:spacing w:line="580" w:lineRule="exact"/>
        <w:ind w:firstLine="640"/>
        <w:jc w:val="both"/>
      </w:pPr>
      <w:r>
        <w:rPr>
          <w:rFonts w:ascii="仿宋_GB2312" w:hAnsi="仿宋_GB2312" w:eastAsia="仿宋_GB2312"/>
          <w:b w:val="0"/>
          <w:sz w:val="32"/>
        </w:rPr>
        <w:t>2024年度政府采购支出总额54.76万元，其中：政府采购货物支出26.44万元、政府采购工程支出0.00万元、政府采购服务支出28.32万元。</w:t>
      </w:r>
    </w:p>
    <w:p w14:paraId="75E20FA3">
      <w:pPr>
        <w:spacing w:line="580" w:lineRule="exact"/>
        <w:ind w:firstLine="640"/>
        <w:jc w:val="both"/>
      </w:pPr>
      <w:r>
        <w:rPr>
          <w:rFonts w:ascii="仿宋_GB2312" w:hAnsi="仿宋_GB2312" w:eastAsia="仿宋_GB2312"/>
          <w:b w:val="0"/>
          <w:sz w:val="32"/>
        </w:rPr>
        <w:t>授予中小企业合同金额54.76万元，占政府采购支出总额的100.00%，其中：授予小微企业合同金额53.14万元，占政府采购支出总额的97.04%。</w:t>
      </w:r>
    </w:p>
    <w:p w14:paraId="1E9ED4D8">
      <w:pPr>
        <w:spacing w:line="640" w:lineRule="exact"/>
        <w:ind w:firstLine="640"/>
        <w:jc w:val="both"/>
        <w:outlineLvl w:val="3"/>
      </w:pPr>
      <w:r>
        <w:rPr>
          <w:rFonts w:ascii="楷体_GB2312" w:hAnsi="楷体_GB2312" w:eastAsia="楷体_GB2312"/>
          <w:b/>
          <w:sz w:val="32"/>
        </w:rPr>
        <w:t>（三）国有资产占用情况说明</w:t>
      </w:r>
    </w:p>
    <w:p w14:paraId="4C1B175D">
      <w:pPr>
        <w:spacing w:line="580" w:lineRule="exact"/>
        <w:ind w:firstLine="640"/>
        <w:jc w:val="both"/>
      </w:pPr>
      <w:r>
        <w:rPr>
          <w:rFonts w:ascii="仿宋_GB2312" w:hAnsi="仿宋_GB2312" w:eastAsia="仿宋_GB2312"/>
          <w:b w:val="0"/>
          <w:sz w:val="32"/>
        </w:rPr>
        <w:t>截至2024年12月31日，房屋4,806.52平方米，价值1,353.95万元。车辆2辆，价值22.88万元，其中：副部（省）级及以上领导用车0辆、主要负责人用车0辆、机要通信用车0辆、应急保障用车0辆、执法执勤用车0辆、特种专业技术用车1辆、离退休干部服务用车0辆、其他用车1辆，其他用车主要是：单位业务用车。单价100万元（含）以上设备（不含车辆）2台（套）。</w:t>
      </w:r>
    </w:p>
    <w:p w14:paraId="71BC4FA7">
      <w:pPr>
        <w:spacing w:line="640" w:lineRule="exact"/>
        <w:ind w:firstLine="640"/>
        <w:jc w:val="both"/>
        <w:outlineLvl w:val="2"/>
      </w:pPr>
      <w:r>
        <w:rPr>
          <w:rFonts w:ascii="黑体" w:hAnsi="黑体" w:eastAsia="黑体"/>
          <w:sz w:val="32"/>
        </w:rPr>
        <w:t>十一、预算绩效的情况说明</w:t>
      </w:r>
    </w:p>
    <w:p w14:paraId="235682A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1,786.71万元，实际执行总额1,656.01万元；预算绩效评价项目0个，全年预算数0.00万元，全年执行数0.00万元。预算绩效管理取得的成效：本单位无预算绩效自评项目。发现的问题及原因：本单位无预算绩效自评项目。下一步改进措施：本单位无预算绩效自评项目。具体附整体支出绩效自评表。</w:t>
      </w:r>
    </w:p>
    <w:p w14:paraId="53459C4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9961BF3">
        <w:tblPrEx>
          <w:tblCellMar>
            <w:top w:w="0" w:type="dxa"/>
            <w:left w:w="108" w:type="dxa"/>
            <w:bottom w:w="0" w:type="dxa"/>
            <w:right w:w="108" w:type="dxa"/>
          </w:tblCellMar>
        </w:tblPrEx>
        <w:tc>
          <w:tcPr>
            <w:tcW w:w="8840" w:type="dxa"/>
            <w:gridSpan w:val="8"/>
            <w:vAlign w:val="center"/>
          </w:tcPr>
          <w:p w14:paraId="5E0FA269">
            <w:pPr>
              <w:jc w:val="center"/>
            </w:pPr>
            <w:r>
              <w:rPr>
                <w:rFonts w:ascii="宋体" w:hAnsi="宋体" w:eastAsia="宋体"/>
                <w:sz w:val="24"/>
              </w:rPr>
              <w:t>单位整体支出绩效自评表</w:t>
            </w:r>
          </w:p>
        </w:tc>
      </w:tr>
      <w:tr w14:paraId="4F7E8596">
        <w:tblPrEx>
          <w:tblCellMar>
            <w:top w:w="0" w:type="dxa"/>
            <w:left w:w="108" w:type="dxa"/>
            <w:bottom w:w="0" w:type="dxa"/>
            <w:right w:w="108" w:type="dxa"/>
          </w:tblCellMar>
        </w:tblPrEx>
        <w:tc>
          <w:tcPr>
            <w:tcW w:w="8840" w:type="dxa"/>
            <w:gridSpan w:val="8"/>
            <w:vAlign w:val="center"/>
          </w:tcPr>
          <w:p w14:paraId="660558AD">
            <w:pPr>
              <w:jc w:val="center"/>
            </w:pPr>
            <w:r>
              <w:rPr>
                <w:rFonts w:ascii="宋体" w:hAnsi="宋体" w:eastAsia="宋体"/>
                <w:sz w:val="24"/>
              </w:rPr>
              <w:t>（2024年度）</w:t>
            </w:r>
          </w:p>
        </w:tc>
      </w:tr>
      <w:tr w14:paraId="6D66919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CC21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192F7">
            <w:pPr>
              <w:jc w:val="center"/>
            </w:pPr>
            <w:r>
              <w:rPr>
                <w:rFonts w:ascii="宋体" w:hAnsi="宋体" w:eastAsia="宋体"/>
                <w:sz w:val="16"/>
              </w:rPr>
              <w:t>阿克陶县阿克陶镇卫生院</w:t>
            </w:r>
          </w:p>
        </w:tc>
      </w:tr>
      <w:tr w14:paraId="7155581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EAC34">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9DE9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1489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DF5A3">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0A43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68EC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B58A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4FE85">
            <w:pPr>
              <w:jc w:val="center"/>
            </w:pPr>
            <w:r>
              <w:rPr>
                <w:rFonts w:ascii="宋体" w:hAnsi="宋体" w:eastAsia="宋体"/>
                <w:sz w:val="16"/>
              </w:rPr>
              <w:t>得分</w:t>
            </w:r>
          </w:p>
        </w:tc>
      </w:tr>
      <w:tr w14:paraId="211F87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2B63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88FC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8AD8C">
            <w:pPr>
              <w:jc w:val="center"/>
            </w:pPr>
            <w:r>
              <w:rPr>
                <w:rFonts w:ascii="宋体" w:hAnsi="宋体" w:eastAsia="宋体"/>
                <w:sz w:val="16"/>
              </w:rPr>
              <w:t>881.35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C0CDF">
            <w:pPr>
              <w:jc w:val="center"/>
            </w:pPr>
            <w:r>
              <w:rPr>
                <w:rFonts w:ascii="宋体" w:hAnsi="宋体" w:eastAsia="宋体"/>
                <w:sz w:val="16"/>
              </w:rPr>
              <w:t>1,786.71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C32DD">
            <w:pPr>
              <w:jc w:val="center"/>
            </w:pPr>
            <w:r>
              <w:rPr>
                <w:rFonts w:ascii="宋体" w:hAnsi="宋体" w:eastAsia="宋体"/>
                <w:sz w:val="16"/>
              </w:rPr>
              <w:t>1,656.01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A438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CC0F7">
            <w:pPr>
              <w:jc w:val="center"/>
            </w:pPr>
            <w:r>
              <w:rPr>
                <w:rFonts w:ascii="宋体" w:hAnsi="宋体" w:eastAsia="宋体"/>
                <w:sz w:val="16"/>
              </w:rPr>
              <w:t>92.68%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0F702">
            <w:pPr>
              <w:jc w:val="center"/>
            </w:pPr>
            <w:r>
              <w:rPr>
                <w:rFonts w:ascii="宋体" w:hAnsi="宋体" w:eastAsia="宋体"/>
                <w:sz w:val="16"/>
              </w:rPr>
              <w:t>9.27</w:t>
            </w:r>
          </w:p>
        </w:tc>
      </w:tr>
      <w:tr w14:paraId="5755FE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7300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DD51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02A8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1569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FEED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F7B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B12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17044">
            <w:pPr>
              <w:jc w:val="center"/>
            </w:pPr>
            <w:r>
              <w:rPr>
                <w:rFonts w:ascii="宋体" w:hAnsi="宋体" w:eastAsia="宋体"/>
                <w:sz w:val="16"/>
              </w:rPr>
              <w:t>—</w:t>
            </w:r>
          </w:p>
        </w:tc>
      </w:tr>
      <w:tr w14:paraId="1ABBEC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3008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9692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A3C57">
            <w:pPr>
              <w:jc w:val="center"/>
            </w:pPr>
            <w:r>
              <w:rPr>
                <w:rFonts w:ascii="宋体" w:hAnsi="宋体" w:eastAsia="宋体"/>
                <w:sz w:val="16"/>
              </w:rPr>
              <w:t>881.35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9AB26">
            <w:pPr>
              <w:jc w:val="center"/>
            </w:pPr>
            <w:r>
              <w:rPr>
                <w:rFonts w:ascii="宋体" w:hAnsi="宋体" w:eastAsia="宋体"/>
                <w:sz w:val="16"/>
              </w:rPr>
              <w:t>1,786.71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440E0">
            <w:pPr>
              <w:jc w:val="center"/>
            </w:pPr>
            <w:r>
              <w:rPr>
                <w:rFonts w:ascii="宋体" w:hAnsi="宋体" w:eastAsia="宋体"/>
                <w:sz w:val="16"/>
              </w:rPr>
              <w:t>1,656.01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3DE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5A7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98DFA">
            <w:pPr>
              <w:jc w:val="center"/>
            </w:pPr>
            <w:r>
              <w:rPr>
                <w:rFonts w:ascii="宋体" w:hAnsi="宋体" w:eastAsia="宋体"/>
                <w:sz w:val="16"/>
              </w:rPr>
              <w:t>—</w:t>
            </w:r>
          </w:p>
        </w:tc>
      </w:tr>
      <w:tr w14:paraId="599422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2530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3882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C981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A4FE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F95D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9128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78C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100A5">
            <w:pPr>
              <w:jc w:val="center"/>
            </w:pPr>
            <w:r>
              <w:rPr>
                <w:rFonts w:ascii="宋体" w:hAnsi="宋体" w:eastAsia="宋体"/>
                <w:sz w:val="16"/>
              </w:rPr>
              <w:t>—</w:t>
            </w:r>
          </w:p>
        </w:tc>
      </w:tr>
      <w:tr w14:paraId="60C689E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82FF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2F804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1F409D">
            <w:pPr>
              <w:jc w:val="center"/>
            </w:pPr>
            <w:r>
              <w:rPr>
                <w:rFonts w:ascii="宋体" w:hAnsi="宋体" w:eastAsia="宋体"/>
                <w:sz w:val="16"/>
              </w:rPr>
              <w:t>实际完成情况</w:t>
            </w:r>
          </w:p>
        </w:tc>
      </w:tr>
      <w:tr w14:paraId="7C1072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C7BD4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9D664F">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w:t>
            </w:r>
            <w:r>
              <w:rPr>
                <w:rFonts w:hint="eastAsia" w:ascii="宋体" w:hAnsi="宋体"/>
                <w:sz w:val="16"/>
                <w:lang w:val="en-US" w:eastAsia="zh-CN"/>
              </w:rPr>
              <w:t>解决</w:t>
            </w:r>
            <w:r>
              <w:rPr>
                <w:rFonts w:ascii="宋体" w:hAnsi="宋体" w:eastAsia="宋体"/>
                <w:sz w:val="16"/>
              </w:rPr>
              <w:t>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72AB40">
            <w:pPr>
              <w:jc w:val="both"/>
            </w:pPr>
            <w:r>
              <w:rPr>
                <w:rFonts w:ascii="宋体" w:hAnsi="宋体" w:eastAsia="宋体"/>
                <w:sz w:val="16"/>
              </w:rPr>
              <w:t>本年度按时发放单位在职人数45人员工资，公岗12人，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w:t>
            </w:r>
            <w:r>
              <w:rPr>
                <w:rFonts w:hint="eastAsia" w:ascii="宋体" w:hAnsi="宋体"/>
                <w:sz w:val="16"/>
                <w:lang w:val="en-US" w:eastAsia="zh-CN"/>
              </w:rPr>
              <w:t>解决</w:t>
            </w:r>
            <w:r>
              <w:rPr>
                <w:rFonts w:ascii="宋体" w:hAnsi="宋体" w:eastAsia="宋体"/>
                <w:sz w:val="16"/>
              </w:rPr>
              <w:t>政府债务风险是全县重要任务之一，为了转变全县经济发展方式，促进经济持续健康发展</w:t>
            </w:r>
            <w:r>
              <w:rPr>
                <w:rFonts w:hint="eastAsia" w:ascii="宋体" w:hAnsi="宋体"/>
                <w:sz w:val="16"/>
                <w:lang w:eastAsia="zh-CN"/>
              </w:rPr>
              <w:t>，各</w:t>
            </w:r>
            <w:r>
              <w:rPr>
                <w:rFonts w:ascii="宋体" w:hAnsi="宋体" w:eastAsia="宋体"/>
                <w:sz w:val="16"/>
              </w:rPr>
              <w:t>部门高度重视，进行全面、真实、准确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125F33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48E9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850E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9B3C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CE39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4B15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1E1B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16F6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F59EC">
            <w:pPr>
              <w:jc w:val="center"/>
            </w:pPr>
            <w:r>
              <w:rPr>
                <w:rFonts w:ascii="宋体" w:hAnsi="宋体" w:eastAsia="宋体"/>
                <w:sz w:val="16"/>
              </w:rPr>
              <w:t>得分</w:t>
            </w:r>
          </w:p>
        </w:tc>
      </w:tr>
      <w:tr w14:paraId="1C96018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C3EF1">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2990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08AD8">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0732F">
            <w:pPr>
              <w:jc w:val="center"/>
            </w:pPr>
            <w:r>
              <w:rPr>
                <w:rFonts w:ascii="宋体" w:hAnsi="宋体" w:eastAsia="宋体"/>
                <w:sz w:val="16"/>
              </w:rPr>
              <w:t>&gt;=55人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3FD8B">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4287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12C07">
            <w:pPr>
              <w:jc w:val="center"/>
            </w:pPr>
            <w:r>
              <w:rPr>
                <w:rFonts w:ascii="宋体" w:hAnsi="宋体" w:eastAsia="宋体"/>
                <w:sz w:val="16"/>
              </w:rPr>
              <w:t>=57人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D3712">
            <w:pPr>
              <w:jc w:val="center"/>
            </w:pPr>
            <w:r>
              <w:rPr>
                <w:rFonts w:ascii="宋体" w:hAnsi="宋体" w:eastAsia="宋体"/>
                <w:sz w:val="16"/>
              </w:rPr>
              <w:t>9.65</w:t>
            </w:r>
          </w:p>
        </w:tc>
      </w:tr>
      <w:tr w14:paraId="76DACB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34A9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2CE4F">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D2AF9">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4EE3C">
            <w:pPr>
              <w:jc w:val="center"/>
            </w:pPr>
            <w:r>
              <w:rPr>
                <w:rFonts w:ascii="宋体" w:hAnsi="宋体" w:eastAsia="宋体"/>
                <w:sz w:val="16"/>
              </w:rPr>
              <w:t>&lt;=881.35万元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CD42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142A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8F6CD">
            <w:pPr>
              <w:jc w:val="center"/>
            </w:pPr>
            <w:r>
              <w:rPr>
                <w:rFonts w:ascii="宋体" w:hAnsi="宋体" w:eastAsia="宋体"/>
                <w:sz w:val="16"/>
              </w:rPr>
              <w:t>=1656.01万元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7B0DF">
            <w:pPr>
              <w:jc w:val="center"/>
            </w:pPr>
            <w:r>
              <w:rPr>
                <w:rFonts w:ascii="宋体" w:hAnsi="宋体" w:eastAsia="宋体"/>
                <w:sz w:val="16"/>
              </w:rPr>
              <w:t>5.32</w:t>
            </w:r>
          </w:p>
        </w:tc>
      </w:tr>
      <w:tr w14:paraId="4C3095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466B6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4F76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A67BF">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6BAE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5B09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294A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6FDC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123AC">
            <w:pPr>
              <w:jc w:val="center"/>
            </w:pPr>
            <w:r>
              <w:rPr>
                <w:rFonts w:ascii="宋体" w:hAnsi="宋体" w:eastAsia="宋体"/>
                <w:sz w:val="16"/>
              </w:rPr>
              <w:t>20</w:t>
            </w:r>
          </w:p>
        </w:tc>
      </w:tr>
      <w:tr w14:paraId="5AA2961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EC59C">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CEEE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D00E6">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19A98">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A795B">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8F84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E0B4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52120">
            <w:pPr>
              <w:jc w:val="center"/>
            </w:pPr>
            <w:r>
              <w:rPr>
                <w:rFonts w:ascii="宋体" w:hAnsi="宋体" w:eastAsia="宋体"/>
                <w:sz w:val="16"/>
              </w:rPr>
              <w:t>10</w:t>
            </w:r>
          </w:p>
        </w:tc>
      </w:tr>
      <w:tr w14:paraId="01328D5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E5CED">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F0FB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0DF03">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B396D">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BF7C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D963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A403F">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4F819">
            <w:pPr>
              <w:jc w:val="center"/>
            </w:pPr>
            <w:r>
              <w:rPr>
                <w:rFonts w:ascii="宋体" w:hAnsi="宋体" w:eastAsia="宋体"/>
                <w:sz w:val="16"/>
              </w:rPr>
              <w:t>10</w:t>
            </w:r>
          </w:p>
        </w:tc>
      </w:tr>
      <w:tr w14:paraId="3562A37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F09F5">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2E514">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3FE89">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1EDB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82824">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60B8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58CC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3B0AA">
            <w:pPr>
              <w:jc w:val="center"/>
            </w:pPr>
            <w:r>
              <w:rPr>
                <w:rFonts w:ascii="宋体" w:hAnsi="宋体" w:eastAsia="宋体"/>
                <w:sz w:val="16"/>
              </w:rPr>
              <w:t>20</w:t>
            </w:r>
          </w:p>
        </w:tc>
      </w:tr>
      <w:tr w14:paraId="1CF8D53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BF55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B2E8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3A191">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BD1F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AE87A">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6B68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AEFD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B6400">
            <w:pPr>
              <w:jc w:val="center"/>
            </w:pPr>
            <w:r>
              <w:rPr>
                <w:rFonts w:ascii="宋体" w:hAnsi="宋体" w:eastAsia="宋体"/>
                <w:sz w:val="16"/>
              </w:rPr>
              <w:t>5</w:t>
            </w:r>
          </w:p>
        </w:tc>
      </w:tr>
      <w:tr w14:paraId="6269D6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820E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92A4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5FE64">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6C90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BF792">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FF93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F788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132E3">
            <w:pPr>
              <w:jc w:val="center"/>
            </w:pPr>
            <w:r>
              <w:rPr>
                <w:rFonts w:ascii="宋体" w:hAnsi="宋体" w:eastAsia="宋体"/>
                <w:sz w:val="16"/>
              </w:rPr>
              <w:t>5</w:t>
            </w:r>
          </w:p>
        </w:tc>
      </w:tr>
    </w:tbl>
    <w:p w14:paraId="0113A507">
      <w:r>
        <w:br w:type="page"/>
      </w:r>
    </w:p>
    <w:p w14:paraId="4CC4FA78">
      <w:pPr>
        <w:spacing w:line="640" w:lineRule="exact"/>
        <w:ind w:firstLine="640"/>
        <w:jc w:val="both"/>
        <w:outlineLvl w:val="2"/>
      </w:pPr>
      <w:r>
        <w:rPr>
          <w:rFonts w:ascii="黑体" w:hAnsi="黑体" w:eastAsia="黑体"/>
          <w:sz w:val="32"/>
        </w:rPr>
        <w:t>十二、其他需说明的事项</w:t>
      </w:r>
    </w:p>
    <w:p w14:paraId="29E90DB9">
      <w:pPr>
        <w:spacing w:line="580" w:lineRule="exact"/>
        <w:ind w:firstLine="640"/>
        <w:jc w:val="both"/>
      </w:pPr>
      <w:r>
        <w:rPr>
          <w:rFonts w:ascii="仿宋_GB2312" w:hAnsi="仿宋_GB2312" w:eastAsia="仿宋_GB2312"/>
          <w:b w:val="0"/>
          <w:sz w:val="32"/>
        </w:rPr>
        <w:t>本单位无其他需说明的事项。</w:t>
      </w:r>
    </w:p>
    <w:p w14:paraId="4BBF62CE">
      <w:r>
        <w:br w:type="page"/>
      </w:r>
    </w:p>
    <w:p w14:paraId="1E044894">
      <w:pPr>
        <w:spacing w:line="240" w:lineRule="auto"/>
        <w:jc w:val="center"/>
        <w:outlineLvl w:val="1"/>
      </w:pPr>
      <w:r>
        <w:rPr>
          <w:rFonts w:ascii="黑体" w:hAnsi="黑体" w:eastAsia="黑体"/>
          <w:sz w:val="32"/>
        </w:rPr>
        <w:t>第三部分 专业名词解释</w:t>
      </w:r>
    </w:p>
    <w:p w14:paraId="07DC73E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BACF7C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DF07D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A714B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655DBD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EBC763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BAB8E3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67992E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6EDB3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B9C983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B4C749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9B55CA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CF9C87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74820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F38E295">
      <w:r>
        <w:br w:type="page"/>
      </w:r>
    </w:p>
    <w:p w14:paraId="36E617A6">
      <w:pPr>
        <w:spacing w:line="240" w:lineRule="auto"/>
        <w:jc w:val="center"/>
        <w:outlineLvl w:val="1"/>
      </w:pPr>
      <w:r>
        <w:rPr>
          <w:rFonts w:ascii="黑体" w:hAnsi="黑体" w:eastAsia="黑体"/>
          <w:sz w:val="32"/>
        </w:rPr>
        <w:t>第四部分 部门决算报表（见附表）</w:t>
      </w:r>
    </w:p>
    <w:p w14:paraId="0A758B75">
      <w:pPr>
        <w:spacing w:line="240" w:lineRule="auto"/>
        <w:ind w:firstLine="640"/>
        <w:jc w:val="both"/>
      </w:pPr>
      <w:r>
        <w:rPr>
          <w:rFonts w:ascii="仿宋_GB2312" w:hAnsi="仿宋_GB2312" w:eastAsia="仿宋_GB2312"/>
          <w:b w:val="0"/>
          <w:sz w:val="32"/>
        </w:rPr>
        <w:t>一、《收入支出决算总表》</w:t>
      </w:r>
    </w:p>
    <w:p w14:paraId="4389338A">
      <w:pPr>
        <w:spacing w:line="240" w:lineRule="auto"/>
        <w:ind w:firstLine="640"/>
        <w:jc w:val="both"/>
      </w:pPr>
      <w:r>
        <w:rPr>
          <w:rFonts w:ascii="仿宋_GB2312" w:hAnsi="仿宋_GB2312" w:eastAsia="仿宋_GB2312"/>
          <w:b w:val="0"/>
          <w:sz w:val="32"/>
        </w:rPr>
        <w:t>二、《收入决算表》</w:t>
      </w:r>
    </w:p>
    <w:p w14:paraId="6E0F6DD6">
      <w:pPr>
        <w:spacing w:line="240" w:lineRule="auto"/>
        <w:ind w:firstLine="640"/>
        <w:jc w:val="both"/>
      </w:pPr>
      <w:r>
        <w:rPr>
          <w:rFonts w:ascii="仿宋_GB2312" w:hAnsi="仿宋_GB2312" w:eastAsia="仿宋_GB2312"/>
          <w:b w:val="0"/>
          <w:sz w:val="32"/>
        </w:rPr>
        <w:t>三、《支出决算表》</w:t>
      </w:r>
    </w:p>
    <w:p w14:paraId="1CFA6501">
      <w:pPr>
        <w:spacing w:line="240" w:lineRule="auto"/>
        <w:ind w:firstLine="640"/>
        <w:jc w:val="both"/>
      </w:pPr>
      <w:r>
        <w:rPr>
          <w:rFonts w:ascii="仿宋_GB2312" w:hAnsi="仿宋_GB2312" w:eastAsia="仿宋_GB2312"/>
          <w:b w:val="0"/>
          <w:sz w:val="32"/>
        </w:rPr>
        <w:t>四、《财政拨款收入支出决算总表》</w:t>
      </w:r>
    </w:p>
    <w:p w14:paraId="6537A2A9">
      <w:pPr>
        <w:spacing w:line="240" w:lineRule="auto"/>
        <w:ind w:firstLine="640"/>
        <w:jc w:val="both"/>
      </w:pPr>
      <w:r>
        <w:rPr>
          <w:rFonts w:ascii="仿宋_GB2312" w:hAnsi="仿宋_GB2312" w:eastAsia="仿宋_GB2312"/>
          <w:b w:val="0"/>
          <w:sz w:val="32"/>
        </w:rPr>
        <w:t>五、《一般公共预算财政拨款支出决算表》</w:t>
      </w:r>
    </w:p>
    <w:p w14:paraId="25029639">
      <w:pPr>
        <w:spacing w:line="240" w:lineRule="auto"/>
        <w:ind w:firstLine="640"/>
        <w:jc w:val="both"/>
      </w:pPr>
      <w:r>
        <w:rPr>
          <w:rFonts w:ascii="仿宋_GB2312" w:hAnsi="仿宋_GB2312" w:eastAsia="仿宋_GB2312"/>
          <w:b w:val="0"/>
          <w:sz w:val="32"/>
        </w:rPr>
        <w:t>六、《一般公共预算财政拨款基本支出决算表》</w:t>
      </w:r>
    </w:p>
    <w:p w14:paraId="742DB083">
      <w:pPr>
        <w:spacing w:line="240" w:lineRule="auto"/>
        <w:ind w:firstLine="640"/>
        <w:jc w:val="both"/>
      </w:pPr>
      <w:r>
        <w:rPr>
          <w:rFonts w:ascii="仿宋_GB2312" w:hAnsi="仿宋_GB2312" w:eastAsia="仿宋_GB2312"/>
          <w:b w:val="0"/>
          <w:sz w:val="32"/>
        </w:rPr>
        <w:t>七、《政府性基金预算财政拨款收入支出决算表》</w:t>
      </w:r>
    </w:p>
    <w:p w14:paraId="4C6DFD6F">
      <w:pPr>
        <w:spacing w:line="240" w:lineRule="auto"/>
        <w:ind w:firstLine="640"/>
        <w:jc w:val="both"/>
      </w:pPr>
      <w:r>
        <w:rPr>
          <w:rFonts w:ascii="仿宋_GB2312" w:hAnsi="仿宋_GB2312" w:eastAsia="仿宋_GB2312"/>
          <w:b w:val="0"/>
          <w:sz w:val="32"/>
        </w:rPr>
        <w:t>八、《国有资本经营预算财政拨款收入支出决算表》</w:t>
      </w:r>
    </w:p>
    <w:p w14:paraId="4554B0AB">
      <w:pPr>
        <w:spacing w:line="240" w:lineRule="auto"/>
        <w:ind w:firstLine="640"/>
        <w:jc w:val="both"/>
      </w:pPr>
      <w:r>
        <w:rPr>
          <w:rFonts w:ascii="仿宋_GB2312" w:hAnsi="仿宋_GB2312" w:eastAsia="仿宋_GB2312"/>
          <w:b w:val="0"/>
          <w:sz w:val="32"/>
        </w:rPr>
        <w:t>九、《财政拨款“三公”经费支出决算表》</w:t>
      </w:r>
    </w:p>
    <w:p w14:paraId="5C34F087">
      <w:pPr>
        <w:spacing w:line="240" w:lineRule="auto"/>
        <w:ind w:firstLine="640"/>
        <w:jc w:val="both"/>
      </w:pPr>
    </w:p>
    <w:p w14:paraId="7A9B1407">
      <w:pPr>
        <w:spacing w:line="240" w:lineRule="auto"/>
        <w:ind w:firstLine="640"/>
        <w:jc w:val="both"/>
      </w:pPr>
    </w:p>
    <w:p w14:paraId="129AE049">
      <w:pPr>
        <w:spacing w:line="240" w:lineRule="auto"/>
        <w:ind w:firstLine="640"/>
        <w:jc w:val="both"/>
      </w:pPr>
    </w:p>
    <w:p w14:paraId="583D1387">
      <w:pPr>
        <w:spacing w:line="240" w:lineRule="auto"/>
        <w:ind w:firstLine="640"/>
        <w:jc w:val="both"/>
      </w:pPr>
    </w:p>
    <w:p w14:paraId="075652C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825E23"/>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173AE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1714</Words>
  <Characters>1970</Characters>
  <Lines>0</Lines>
  <Paragraphs>0</Paragraphs>
  <TotalTime>11</TotalTime>
  <ScaleCrop>false</ScaleCrop>
  <LinksUpToDate>false</LinksUpToDate>
  <CharactersWithSpaces>1978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2025-09-15T08:07:23Z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