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39011E">
      <w:r>
        <w:br w:type="page"/>
      </w:r>
    </w:p>
    <w:p w14:paraId="3CBBE2A0">
      <w:pPr>
        <w:spacing w:line="640" w:lineRule="exact"/>
        <w:jc w:val="center"/>
        <w:outlineLvl w:val="1"/>
      </w:pPr>
      <w:r>
        <w:rPr>
          <w:rFonts w:ascii="黑体" w:hAnsi="黑体" w:eastAsia="黑体"/>
          <w:sz w:val="32"/>
        </w:rPr>
        <w:t>第一部分 单位概况</w:t>
      </w:r>
    </w:p>
    <w:p w14:paraId="4A8F59A6">
      <w:pPr>
        <w:spacing w:line="640" w:lineRule="exact"/>
        <w:ind w:firstLine="640"/>
        <w:jc w:val="both"/>
        <w:outlineLvl w:val="2"/>
      </w:pPr>
      <w:r>
        <w:rPr>
          <w:rFonts w:ascii="黑体" w:hAnsi="黑体" w:eastAsia="黑体"/>
          <w:sz w:val="32"/>
        </w:rPr>
        <w:t>一、主要职能</w:t>
      </w:r>
    </w:p>
    <w:p w14:paraId="3269CF1D">
      <w:pPr>
        <w:spacing w:line="580" w:lineRule="exact"/>
        <w:ind w:firstLine="640"/>
        <w:jc w:val="both"/>
      </w:pPr>
      <w:r>
        <w:rPr>
          <w:rFonts w:ascii="仿宋_GB2312" w:hAnsi="仿宋_GB2312" w:eastAsia="仿宋_GB2312"/>
          <w:sz w:val="32"/>
        </w:rPr>
        <w:t>（一）依照国家、自治区和自治州</w:t>
      </w:r>
      <w:r>
        <w:rPr>
          <w:rFonts w:hint="eastAsia" w:ascii="仿宋_GB2312" w:hAnsi="仿宋_GB2312" w:eastAsia="仿宋_GB2312"/>
          <w:sz w:val="32"/>
          <w:lang w:eastAsia="zh-CN"/>
        </w:rPr>
        <w:t>统计局机关党委（党</w:t>
      </w:r>
      <w:r>
        <w:rPr>
          <w:rFonts w:ascii="仿宋_GB2312" w:hAnsi="仿宋_GB2312" w:eastAsia="仿宋_GB2312"/>
          <w:sz w:val="32"/>
        </w:rPr>
        <w:t>组）的相关要求，组织领导和统一协调阿克陶县统计工作，确保统计数据真实、准确</w:t>
      </w:r>
      <w:r>
        <w:rPr>
          <w:rFonts w:hint="eastAsia" w:ascii="仿宋_GB2312" w:hAnsi="仿宋_GB2312" w:eastAsia="仿宋_GB2312"/>
          <w:sz w:val="32"/>
          <w:lang w:eastAsia="zh-CN"/>
        </w:rPr>
        <w:t>及</w:t>
      </w:r>
      <w:r>
        <w:rPr>
          <w:rFonts w:ascii="仿宋_GB2312" w:hAnsi="仿宋_GB2312" w:eastAsia="仿宋_GB2312"/>
          <w:sz w:val="32"/>
        </w:rPr>
        <w:t>时；依照国家法律法规和自治区、自治州的地方性法规、政策参与拟定符合我县实际的统计规范性文件、统计工作规章制度和统计现代化建设规划，监督检查统计法律法规的实施。</w:t>
      </w:r>
    </w:p>
    <w:p w14:paraId="656EF818">
      <w:pPr>
        <w:spacing w:line="580" w:lineRule="exact"/>
        <w:ind w:firstLine="640"/>
        <w:jc w:val="both"/>
      </w:pPr>
      <w:r>
        <w:rPr>
          <w:rFonts w:ascii="仿宋_GB2312" w:hAnsi="仿宋_GB2312" w:eastAsia="仿宋_GB2312"/>
          <w:sz w:val="32"/>
        </w:rPr>
        <w:t>（二）组织实施国家、自治区、自治州、县国民经济核算制度；核算</w:t>
      </w:r>
      <w:r>
        <w:rPr>
          <w:rFonts w:hint="eastAsia" w:ascii="仿宋_GB2312" w:hAnsi="仿宋_GB2312" w:eastAsia="仿宋_GB2312"/>
          <w:sz w:val="32"/>
          <w:lang w:eastAsia="zh-CN"/>
        </w:rPr>
        <w:t>县域</w:t>
      </w:r>
      <w:r>
        <w:rPr>
          <w:rFonts w:ascii="仿宋_GB2312" w:hAnsi="仿宋_GB2312" w:eastAsia="仿宋_GB2312"/>
          <w:sz w:val="32"/>
        </w:rPr>
        <w:t>生产总值，汇编提供国民经济核算资料。</w:t>
      </w:r>
    </w:p>
    <w:p w14:paraId="55C4263B">
      <w:pPr>
        <w:spacing w:line="580" w:lineRule="exact"/>
        <w:ind w:firstLine="640"/>
        <w:jc w:val="both"/>
      </w:pPr>
      <w:r>
        <w:rPr>
          <w:rFonts w:ascii="仿宋_GB2312" w:hAnsi="仿宋_GB2312" w:eastAsia="仿宋_GB2312"/>
          <w:sz w:val="32"/>
        </w:rPr>
        <w:t>（三）按照国家和自治区、自治州要求，会同有关部门拟订重大国情国力普查计划、方案；组织实施县人口、经济、农业等国情国力普查和重大专项调查；汇总，整理和提供有关县情县力方面的统计数据。</w:t>
      </w:r>
    </w:p>
    <w:p w14:paraId="1D0FC209">
      <w:pPr>
        <w:spacing w:line="580" w:lineRule="exact"/>
        <w:ind w:firstLine="640"/>
        <w:jc w:val="both"/>
      </w:pPr>
      <w:r>
        <w:rPr>
          <w:rFonts w:ascii="仿宋_GB2312" w:hAnsi="仿宋_GB2312" w:eastAsia="仿宋_GB2312"/>
          <w:sz w:val="32"/>
        </w:rPr>
        <w:t>（四）组织实施农林牧渔业、工业、建筑业、批发和零售业、住宿和餐饮业、房地产业、服务业和旅游业等统计调查，收集、汇总、整理和提供有关调查的统计数据。</w:t>
      </w:r>
    </w:p>
    <w:p w14:paraId="6516C4B3">
      <w:pPr>
        <w:spacing w:line="580" w:lineRule="exact"/>
        <w:ind w:firstLine="640"/>
        <w:jc w:val="both"/>
      </w:pPr>
      <w:r>
        <w:rPr>
          <w:rFonts w:ascii="仿宋_GB2312" w:hAnsi="仿宋_GB2312" w:eastAsia="仿宋_GB2312"/>
          <w:sz w:val="32"/>
        </w:rPr>
        <w:t>（五）组织各乡(镇)、县直各部门的经济、社会、科技和资源环境统计调查，统一核定、管理、公布、出版全县的基本统计资料，定期发布全县国民经济和社会发展情况的统计信息。</w:t>
      </w:r>
    </w:p>
    <w:p w14:paraId="00CE25D0">
      <w:pPr>
        <w:spacing w:line="580" w:lineRule="exact"/>
        <w:ind w:firstLine="640"/>
        <w:jc w:val="both"/>
      </w:pPr>
      <w:r>
        <w:rPr>
          <w:rFonts w:ascii="仿宋_GB2312" w:hAnsi="仿宋_GB2312" w:eastAsia="仿宋_GB2312"/>
          <w:sz w:val="32"/>
        </w:rPr>
        <w:t>（六）搜集、整理全县性的基本统计资料，并对国民经济和社会发展情况进行统计调查、统计分析和统计监督，向县委、县政府及有关部门提供统计信息和咨询建议。</w:t>
      </w:r>
    </w:p>
    <w:p w14:paraId="675285BC">
      <w:pPr>
        <w:spacing w:line="580" w:lineRule="exact"/>
        <w:ind w:firstLine="640"/>
        <w:jc w:val="both"/>
      </w:pPr>
      <w:r>
        <w:rPr>
          <w:rFonts w:ascii="仿宋_GB2312" w:hAnsi="仿宋_GB2312" w:eastAsia="仿宋_GB2312"/>
          <w:sz w:val="32"/>
        </w:rPr>
        <w:t>（七）贯彻落实全国基本统计制度和国家统计标准；依法审批或备案各乡(镇)、县直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p>
    <w:p w14:paraId="7D6CC7BF">
      <w:pPr>
        <w:spacing w:line="580" w:lineRule="exact"/>
        <w:ind w:firstLine="640"/>
        <w:jc w:val="both"/>
      </w:pPr>
      <w:r>
        <w:rPr>
          <w:rFonts w:ascii="仿宋_GB2312" w:hAnsi="仿宋_GB2312" w:eastAsia="仿宋_GB2312"/>
          <w:sz w:val="32"/>
        </w:rPr>
        <w:t>（八）建立健全和管理本县统计信息自动化系统和统计数据库体系，组织协调和统一管理全县统计数据库网络。</w:t>
      </w:r>
    </w:p>
    <w:p w14:paraId="65F55B76">
      <w:pPr>
        <w:spacing w:line="580" w:lineRule="exact"/>
        <w:ind w:firstLine="640"/>
        <w:jc w:val="both"/>
      </w:pPr>
      <w:r>
        <w:rPr>
          <w:rFonts w:ascii="仿宋_GB2312" w:hAnsi="仿宋_GB2312" w:eastAsia="仿宋_GB2312"/>
          <w:sz w:val="32"/>
        </w:rPr>
        <w:t>（九）积极推进统计体制改革，组织全县统计科学研究、统计业务技术教育、统计干部培训，提高统计工作水平。</w:t>
      </w:r>
    </w:p>
    <w:p w14:paraId="2FA2356E">
      <w:pPr>
        <w:spacing w:line="580" w:lineRule="exact"/>
        <w:ind w:firstLine="640"/>
        <w:jc w:val="both"/>
      </w:pPr>
      <w:r>
        <w:rPr>
          <w:rFonts w:ascii="仿宋_GB2312" w:hAnsi="仿宋_GB2312" w:eastAsia="仿宋_GB2312"/>
          <w:sz w:val="32"/>
        </w:rPr>
        <w:t>（十）协助自治州管理、领导有关调查队、点；协调组织完成国家和自治区的城市、农村社会经济及企业调查任务。</w:t>
      </w:r>
    </w:p>
    <w:p w14:paraId="484DD27E">
      <w:pPr>
        <w:spacing w:line="580" w:lineRule="exact"/>
        <w:ind w:firstLine="640"/>
        <w:jc w:val="both"/>
      </w:pPr>
      <w:r>
        <w:rPr>
          <w:rFonts w:ascii="仿宋_GB2312" w:hAnsi="仿宋_GB2312" w:eastAsia="仿宋_GB2312"/>
          <w:sz w:val="32"/>
        </w:rPr>
        <w:t>（十一）完成阿克陶县委、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40DA0465">
      <w:pPr>
        <w:spacing w:line="640" w:lineRule="exact"/>
        <w:ind w:firstLine="640"/>
        <w:jc w:val="both"/>
        <w:outlineLvl w:val="2"/>
      </w:pPr>
      <w:r>
        <w:rPr>
          <w:rFonts w:ascii="黑体" w:hAnsi="黑体" w:eastAsia="黑体"/>
          <w:sz w:val="32"/>
        </w:rPr>
        <w:t>二、机构设置及人员情况</w:t>
      </w:r>
    </w:p>
    <w:p w14:paraId="130358B6">
      <w:pPr>
        <w:spacing w:line="580" w:lineRule="exact"/>
        <w:ind w:firstLine="640"/>
        <w:jc w:val="both"/>
      </w:pPr>
      <w:r>
        <w:rPr>
          <w:rFonts w:ascii="仿宋_GB2312" w:hAnsi="仿宋_GB2312" w:eastAsia="仿宋_GB2312"/>
          <w:sz w:val="32"/>
        </w:rPr>
        <w:t>阿克陶县统计局2024年度，实有人数21人，其中：在职人员13人，增加0人；离休人员0人，增加0人；退休人员8人,减少1人。</w:t>
      </w:r>
    </w:p>
    <w:p w14:paraId="44F52A6C">
      <w:pPr>
        <w:spacing w:line="580" w:lineRule="exact"/>
        <w:ind w:firstLine="640"/>
        <w:jc w:val="both"/>
      </w:pPr>
      <w:r>
        <w:rPr>
          <w:rFonts w:ascii="仿宋_GB2312" w:hAnsi="仿宋_GB2312" w:eastAsia="仿宋_GB2312"/>
          <w:sz w:val="32"/>
        </w:rPr>
        <w:t>阿克陶县统计局无下属预算单位，下设5个科室，分别是：办公室、核算投资办公室、农业办公室、工业贸易办公室、财务室。</w:t>
      </w:r>
    </w:p>
    <w:p w14:paraId="520AA246">
      <w:r>
        <w:br w:type="page"/>
      </w:r>
    </w:p>
    <w:p w14:paraId="50A1111E">
      <w:pPr>
        <w:spacing w:line="240" w:lineRule="auto"/>
        <w:jc w:val="center"/>
        <w:outlineLvl w:val="1"/>
      </w:pPr>
      <w:r>
        <w:rPr>
          <w:rFonts w:ascii="黑体" w:hAnsi="黑体" w:eastAsia="黑体"/>
          <w:sz w:val="32"/>
        </w:rPr>
        <w:t>第二部分 部门决算情况说明</w:t>
      </w:r>
    </w:p>
    <w:p w14:paraId="23A37FBF">
      <w:pPr>
        <w:spacing w:line="640" w:lineRule="exact"/>
        <w:ind w:firstLine="640"/>
        <w:jc w:val="both"/>
        <w:outlineLvl w:val="2"/>
      </w:pPr>
      <w:r>
        <w:rPr>
          <w:rFonts w:ascii="黑体" w:hAnsi="黑体" w:eastAsia="黑体"/>
          <w:sz w:val="32"/>
        </w:rPr>
        <w:t>一、收入支出决算总体情况说明</w:t>
      </w:r>
    </w:p>
    <w:p w14:paraId="2FEB805C">
      <w:pPr>
        <w:spacing w:line="580" w:lineRule="exact"/>
        <w:ind w:firstLine="640"/>
        <w:jc w:val="both"/>
      </w:pPr>
      <w:r>
        <w:rPr>
          <w:rFonts w:ascii="仿宋_GB2312" w:hAnsi="仿宋_GB2312" w:eastAsia="仿宋_GB2312"/>
          <w:b/>
          <w:sz w:val="32"/>
        </w:rPr>
        <w:t>2024年度收入总计520.84万元，</w:t>
      </w:r>
      <w:r>
        <w:rPr>
          <w:rFonts w:ascii="仿宋_GB2312" w:hAnsi="仿宋_GB2312" w:eastAsia="仿宋_GB2312"/>
          <w:b w:val="0"/>
          <w:sz w:val="32"/>
        </w:rPr>
        <w:t>其中：本年收入合计514.16万元，使用非财政拨款结余（含专用结余）0.00万元，年初结转和结余6.68万元。</w:t>
      </w:r>
    </w:p>
    <w:p w14:paraId="25B44F22">
      <w:pPr>
        <w:spacing w:line="580" w:lineRule="exact"/>
        <w:ind w:firstLine="640"/>
        <w:jc w:val="both"/>
      </w:pPr>
      <w:r>
        <w:rPr>
          <w:rFonts w:ascii="仿宋_GB2312" w:hAnsi="仿宋_GB2312" w:eastAsia="仿宋_GB2312"/>
          <w:b/>
          <w:sz w:val="32"/>
        </w:rPr>
        <w:t>2024年度支出总计520.84万元，</w:t>
      </w:r>
      <w:r>
        <w:rPr>
          <w:rFonts w:ascii="仿宋_GB2312" w:hAnsi="仿宋_GB2312" w:eastAsia="仿宋_GB2312"/>
          <w:b w:val="0"/>
          <w:sz w:val="32"/>
        </w:rPr>
        <w:t>其中：本年支出合计500.55万元，结余分配0.00万元，年末结转和结余20.29万元。</w:t>
      </w:r>
    </w:p>
    <w:p w14:paraId="1DC35B85">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收入支出总体与上年相比，增加153.85万元，增长41.92%，主要原因是：本年增加全国第五次经济普查和人口抽样调查项目资金、国家统计局阿克陶调查队住户调查经费的支出。</w:t>
      </w:r>
      <w:r>
        <w:rPr>
          <w:rFonts w:hint="eastAsia" w:ascii="仿宋_GB2312" w:hAnsi="仿宋_GB2312" w:eastAsia="仿宋_GB2312"/>
          <w:b w:val="0"/>
          <w:sz w:val="32"/>
          <w:lang w:val="en-US" w:eastAsia="zh-CN"/>
        </w:rPr>
        <w:t>增加死亡人员抚恤金支出。</w:t>
      </w:r>
    </w:p>
    <w:p w14:paraId="6B61F4C0">
      <w:pPr>
        <w:spacing w:line="640" w:lineRule="exact"/>
        <w:ind w:firstLine="640"/>
        <w:jc w:val="both"/>
        <w:outlineLvl w:val="2"/>
      </w:pPr>
      <w:r>
        <w:rPr>
          <w:rFonts w:ascii="黑体" w:hAnsi="黑体" w:eastAsia="黑体"/>
          <w:sz w:val="32"/>
        </w:rPr>
        <w:t>二、收入决算情况说明</w:t>
      </w:r>
    </w:p>
    <w:p w14:paraId="1A29829F">
      <w:pPr>
        <w:spacing w:line="580" w:lineRule="exact"/>
        <w:ind w:firstLine="640"/>
        <w:jc w:val="both"/>
      </w:pPr>
      <w:r>
        <w:rPr>
          <w:rFonts w:ascii="仿宋_GB2312" w:hAnsi="仿宋_GB2312" w:eastAsia="仿宋_GB2312"/>
          <w:b/>
          <w:sz w:val="32"/>
        </w:rPr>
        <w:t>本年收入514.16万元，</w:t>
      </w:r>
      <w:r>
        <w:rPr>
          <w:rFonts w:ascii="仿宋_GB2312" w:hAnsi="仿宋_GB2312" w:eastAsia="仿宋_GB2312"/>
          <w:b w:val="0"/>
          <w:sz w:val="32"/>
        </w:rPr>
        <w:t>其中：财政拨款收入488.74万元，占95.06%；上级补助收入0.00万元，占0.00%；事业收入0.00万元，占0.00%；经营收入0.00万元，占0.00%；附属单位上缴收入0.00万元，占0.00%；其他收入25.42万元，占4.94%。</w:t>
      </w:r>
    </w:p>
    <w:p w14:paraId="6FAC5883">
      <w:pPr>
        <w:spacing w:line="640" w:lineRule="exact"/>
        <w:ind w:firstLine="640"/>
        <w:jc w:val="both"/>
        <w:outlineLvl w:val="2"/>
      </w:pPr>
      <w:r>
        <w:rPr>
          <w:rFonts w:ascii="黑体" w:hAnsi="黑体" w:eastAsia="黑体"/>
          <w:sz w:val="32"/>
        </w:rPr>
        <w:t>三、支出决算情况说明</w:t>
      </w:r>
    </w:p>
    <w:p w14:paraId="62320422">
      <w:pPr>
        <w:spacing w:line="580" w:lineRule="exact"/>
        <w:ind w:firstLine="640"/>
        <w:jc w:val="both"/>
      </w:pPr>
      <w:r>
        <w:rPr>
          <w:rFonts w:ascii="仿宋_GB2312" w:hAnsi="仿宋_GB2312" w:eastAsia="仿宋_GB2312"/>
          <w:b/>
          <w:sz w:val="32"/>
        </w:rPr>
        <w:t>本年支出500.55万元，</w:t>
      </w:r>
      <w:r>
        <w:rPr>
          <w:rFonts w:ascii="仿宋_GB2312" w:hAnsi="仿宋_GB2312" w:eastAsia="仿宋_GB2312"/>
          <w:b w:val="0"/>
          <w:sz w:val="32"/>
        </w:rPr>
        <w:t>其中：基本支出340.05万元，占67.94%；项目支出160.51万元，占32.07%；上缴上级支出0.00万元，占0.00%；经营支出0.00万元，占0.00%；对附属单位补助支出0.00万元，占0.00%。</w:t>
      </w:r>
    </w:p>
    <w:p w14:paraId="367D6EB1">
      <w:pPr>
        <w:spacing w:line="640" w:lineRule="exact"/>
        <w:ind w:firstLine="640"/>
        <w:jc w:val="both"/>
        <w:outlineLvl w:val="2"/>
      </w:pPr>
      <w:r>
        <w:rPr>
          <w:rFonts w:ascii="黑体" w:hAnsi="黑体" w:eastAsia="黑体"/>
          <w:sz w:val="32"/>
        </w:rPr>
        <w:t>四、财政拨款收入支出决算总体情况说明</w:t>
      </w:r>
    </w:p>
    <w:p w14:paraId="177E226F">
      <w:pPr>
        <w:spacing w:line="580" w:lineRule="exact"/>
        <w:ind w:firstLine="640"/>
        <w:jc w:val="both"/>
      </w:pPr>
      <w:r>
        <w:rPr>
          <w:rFonts w:ascii="仿宋_GB2312" w:hAnsi="仿宋_GB2312" w:eastAsia="仿宋_GB2312"/>
          <w:b/>
          <w:sz w:val="32"/>
        </w:rPr>
        <w:t>2024年度财政拨款收入总计488.74万元，</w:t>
      </w:r>
      <w:r>
        <w:rPr>
          <w:rFonts w:ascii="仿宋_GB2312" w:hAnsi="仿宋_GB2312" w:eastAsia="仿宋_GB2312"/>
          <w:b w:val="0"/>
          <w:sz w:val="32"/>
        </w:rPr>
        <w:t>其中：年初财政拨款结转和结余0.00万元，本年财政拨款收入488.74万元。</w:t>
      </w:r>
      <w:r>
        <w:rPr>
          <w:rFonts w:ascii="仿宋_GB2312" w:hAnsi="仿宋_GB2312" w:eastAsia="仿宋_GB2312"/>
          <w:b/>
          <w:sz w:val="32"/>
        </w:rPr>
        <w:t>财政拨款支出总计488.74万元，</w:t>
      </w:r>
      <w:r>
        <w:rPr>
          <w:rFonts w:ascii="仿宋_GB2312" w:hAnsi="仿宋_GB2312" w:eastAsia="仿宋_GB2312"/>
          <w:b w:val="0"/>
          <w:sz w:val="32"/>
        </w:rPr>
        <w:t>其中：年末财政拨款结转和结余0.00万元，本年财政拨款支出488.74万元。</w:t>
      </w:r>
    </w:p>
    <w:p w14:paraId="4CFAB5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增加157.40万元，增长47.50%，主要原因是：本年增加全国第五次经济普查和人口抽样调查项目资金、国家统计局阿克陶调查队住户调查经费的支出。</w:t>
      </w:r>
      <w:r>
        <w:rPr>
          <w:rFonts w:hint="eastAsia" w:ascii="仿宋_GB2312" w:hAnsi="仿宋_GB2312" w:eastAsia="仿宋_GB2312"/>
          <w:b w:val="0"/>
          <w:sz w:val="32"/>
          <w:lang w:val="en-US" w:eastAsia="zh-CN"/>
        </w:rPr>
        <w:t>增加死亡人员抚恤金支出。</w:t>
      </w:r>
      <w:r>
        <w:rPr>
          <w:rFonts w:ascii="仿宋_GB2312" w:hAnsi="仿宋_GB2312" w:eastAsia="仿宋_GB2312"/>
          <w:b/>
          <w:sz w:val="32"/>
        </w:rPr>
        <w:t>与年初预算相比，</w:t>
      </w:r>
      <w:r>
        <w:rPr>
          <w:rFonts w:ascii="仿宋_GB2312" w:hAnsi="仿宋_GB2312" w:eastAsia="仿宋_GB2312"/>
          <w:b w:val="0"/>
          <w:sz w:val="32"/>
        </w:rPr>
        <w:t>年初预算数362.12万元，决算数488.74万元，预决算差异率34.97%，主要原因是：年中追加五经普、人口抽样和国家统计局阿克陶调查队住户调查经费的支出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7C87E31">
      <w:pPr>
        <w:spacing w:line="640" w:lineRule="exact"/>
        <w:ind w:firstLine="640"/>
        <w:jc w:val="both"/>
        <w:outlineLvl w:val="2"/>
      </w:pPr>
      <w:r>
        <w:rPr>
          <w:rFonts w:ascii="黑体" w:hAnsi="黑体" w:eastAsia="黑体"/>
          <w:sz w:val="32"/>
        </w:rPr>
        <w:t>五、一般公共预算财政拨款支出决算情况说明</w:t>
      </w:r>
    </w:p>
    <w:p w14:paraId="76AF169A">
      <w:pPr>
        <w:spacing w:line="640" w:lineRule="exact"/>
        <w:ind w:firstLine="640"/>
        <w:jc w:val="both"/>
        <w:outlineLvl w:val="3"/>
      </w:pPr>
      <w:r>
        <w:rPr>
          <w:rFonts w:ascii="楷体_GB2312" w:hAnsi="楷体_GB2312" w:eastAsia="楷体_GB2312"/>
          <w:b/>
          <w:sz w:val="32"/>
        </w:rPr>
        <w:t>（一）一般公共预算财政拨款支出决算总体情况</w:t>
      </w:r>
    </w:p>
    <w:p w14:paraId="3F86306C">
      <w:pPr>
        <w:spacing w:line="580" w:lineRule="exact"/>
        <w:ind w:firstLine="640"/>
        <w:jc w:val="both"/>
      </w:pPr>
      <w:r>
        <w:rPr>
          <w:rFonts w:ascii="仿宋_GB2312" w:hAnsi="仿宋_GB2312" w:eastAsia="仿宋_GB2312"/>
          <w:b/>
          <w:sz w:val="32"/>
        </w:rPr>
        <w:t>2024年度一般公共预算财政拨款支出488.74万元，</w:t>
      </w:r>
      <w:r>
        <w:rPr>
          <w:rFonts w:ascii="仿宋_GB2312" w:hAnsi="仿宋_GB2312" w:eastAsia="仿宋_GB2312"/>
          <w:b w:val="0"/>
          <w:sz w:val="32"/>
        </w:rPr>
        <w:t>占本年支出合计的97.64%。</w:t>
      </w:r>
      <w:r>
        <w:rPr>
          <w:rFonts w:ascii="仿宋_GB2312" w:hAnsi="仿宋_GB2312" w:eastAsia="仿宋_GB2312"/>
          <w:b/>
          <w:sz w:val="32"/>
        </w:rPr>
        <w:t>与上年相比，</w:t>
      </w:r>
      <w:r>
        <w:rPr>
          <w:rFonts w:ascii="仿宋_GB2312" w:hAnsi="仿宋_GB2312" w:eastAsia="仿宋_GB2312"/>
          <w:b w:val="0"/>
          <w:sz w:val="32"/>
        </w:rPr>
        <w:t>增加157.40万元，增长47.50%，主要原因是：本年增加五经普、人口抽样和国家统计局阿克陶调查队住户调查经费的支出。</w:t>
      </w:r>
      <w:r>
        <w:rPr>
          <w:rFonts w:hint="eastAsia" w:ascii="仿宋_GB2312" w:hAnsi="仿宋_GB2312" w:eastAsia="仿宋_GB2312"/>
          <w:b w:val="0"/>
          <w:sz w:val="32"/>
          <w:lang w:val="en-US" w:eastAsia="zh-CN"/>
        </w:rPr>
        <w:t>增加死亡人员抚恤金支出。</w:t>
      </w:r>
      <w:r>
        <w:rPr>
          <w:rFonts w:ascii="仿宋_GB2312" w:hAnsi="仿宋_GB2312" w:eastAsia="仿宋_GB2312"/>
          <w:b/>
          <w:sz w:val="32"/>
        </w:rPr>
        <w:t>与年初预算相比,</w:t>
      </w:r>
      <w:r>
        <w:rPr>
          <w:rFonts w:ascii="仿宋_GB2312" w:hAnsi="仿宋_GB2312" w:eastAsia="仿宋_GB2312"/>
          <w:b w:val="0"/>
          <w:sz w:val="32"/>
        </w:rPr>
        <w:t>年初预算数362.12万元，决算数488.74万元，预决算差异率34.97%，主要原因是：年中追加五经普、人口抽样和国家统计局阿克陶调查队住户调查经费的支出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2627B239">
      <w:pPr>
        <w:spacing w:line="640" w:lineRule="exact"/>
        <w:ind w:firstLine="640"/>
        <w:jc w:val="both"/>
        <w:outlineLvl w:val="3"/>
      </w:pPr>
      <w:r>
        <w:rPr>
          <w:rFonts w:ascii="楷体_GB2312" w:hAnsi="楷体_GB2312" w:eastAsia="楷体_GB2312"/>
          <w:b/>
          <w:sz w:val="32"/>
        </w:rPr>
        <w:t>（二）一般公共预算财政拨款支出决算结构情况</w:t>
      </w:r>
    </w:p>
    <w:p w14:paraId="1CDF4E07">
      <w:pPr>
        <w:spacing w:line="580" w:lineRule="exact"/>
        <w:ind w:firstLine="640"/>
        <w:jc w:val="both"/>
      </w:pPr>
      <w:r>
        <w:rPr>
          <w:rFonts w:ascii="仿宋_GB2312" w:hAnsi="仿宋_GB2312" w:eastAsia="仿宋_GB2312"/>
          <w:b w:val="0"/>
          <w:sz w:val="32"/>
        </w:rPr>
        <w:t>1.一般公共服务支出(类)372.02万元,占76.12%。</w:t>
      </w:r>
    </w:p>
    <w:p w14:paraId="5DC60004">
      <w:pPr>
        <w:spacing w:line="580" w:lineRule="exact"/>
        <w:ind w:firstLine="640"/>
        <w:jc w:val="both"/>
      </w:pPr>
      <w:r>
        <w:rPr>
          <w:rFonts w:ascii="仿宋_GB2312" w:hAnsi="仿宋_GB2312" w:eastAsia="仿宋_GB2312"/>
          <w:b w:val="0"/>
          <w:sz w:val="32"/>
        </w:rPr>
        <w:t>2.社会保障和就业支出(类)80.36万元,占16.44%。</w:t>
      </w:r>
    </w:p>
    <w:p w14:paraId="2C4181F9">
      <w:pPr>
        <w:spacing w:line="580" w:lineRule="exact"/>
        <w:ind w:firstLine="640"/>
        <w:jc w:val="both"/>
      </w:pPr>
      <w:r>
        <w:rPr>
          <w:rFonts w:ascii="仿宋_GB2312" w:hAnsi="仿宋_GB2312" w:eastAsia="仿宋_GB2312"/>
          <w:b w:val="0"/>
          <w:sz w:val="32"/>
        </w:rPr>
        <w:t>3.卫生健康支出(类)13.40万元,占2.74%。</w:t>
      </w:r>
    </w:p>
    <w:p w14:paraId="42836574">
      <w:pPr>
        <w:spacing w:line="580" w:lineRule="exact"/>
        <w:ind w:firstLine="640"/>
        <w:jc w:val="both"/>
      </w:pPr>
      <w:r>
        <w:rPr>
          <w:rFonts w:ascii="仿宋_GB2312" w:hAnsi="仿宋_GB2312" w:eastAsia="仿宋_GB2312"/>
          <w:b w:val="0"/>
          <w:sz w:val="32"/>
        </w:rPr>
        <w:t>4.住房保障支出(类)22.95万元,占4.70%。</w:t>
      </w:r>
    </w:p>
    <w:p w14:paraId="79FF1913">
      <w:pPr>
        <w:spacing w:line="640" w:lineRule="exact"/>
        <w:ind w:firstLine="640"/>
        <w:jc w:val="both"/>
        <w:outlineLvl w:val="3"/>
      </w:pPr>
      <w:r>
        <w:rPr>
          <w:rFonts w:ascii="楷体_GB2312" w:hAnsi="楷体_GB2312" w:eastAsia="楷体_GB2312"/>
          <w:b/>
          <w:sz w:val="32"/>
        </w:rPr>
        <w:t>（三）一般公共预算财政拨款支出决算具体情况</w:t>
      </w:r>
    </w:p>
    <w:p w14:paraId="04AD5F38">
      <w:pPr>
        <w:spacing w:line="580" w:lineRule="exact"/>
        <w:ind w:firstLine="640"/>
        <w:jc w:val="both"/>
      </w:pPr>
      <w:r>
        <w:rPr>
          <w:rFonts w:ascii="仿宋_GB2312" w:hAnsi="仿宋_GB2312" w:eastAsia="仿宋_GB2312"/>
          <w:b w:val="0"/>
          <w:sz w:val="32"/>
        </w:rPr>
        <w:t>1.一般公共服务支出(类)统计信息事务(款)行政运行(项):支出决算数为178.86万元，比上年决算增加1.25万元，增长0.70%,主要原因是：本年在职人员工资调增，导致相关人员经费较上年有所增加。</w:t>
      </w:r>
    </w:p>
    <w:p w14:paraId="3F1F2AE0">
      <w:pPr>
        <w:spacing w:line="580" w:lineRule="exact"/>
        <w:ind w:firstLine="640"/>
        <w:jc w:val="both"/>
      </w:pPr>
      <w:r>
        <w:rPr>
          <w:rFonts w:ascii="仿宋_GB2312" w:hAnsi="仿宋_GB2312" w:eastAsia="仿宋_GB2312"/>
          <w:b w:val="0"/>
          <w:sz w:val="32"/>
        </w:rPr>
        <w:t>2.一般公共服务支出(类)统计信息事务(款)专项普查活动(项):支出决算数为106.44万元，比上年决算增加92.52万元，增长664.66%,主要原因是：本年第五次经济普查经费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人口抽样调查经费</w:t>
      </w:r>
      <w:r>
        <w:rPr>
          <w:rFonts w:ascii="仿宋_GB2312" w:hAnsi="仿宋_GB2312" w:eastAsia="仿宋_GB2312"/>
          <w:b w:val="0"/>
          <w:sz w:val="32"/>
        </w:rPr>
        <w:t>较上年增加。</w:t>
      </w:r>
    </w:p>
    <w:p w14:paraId="4D5A2B31">
      <w:pPr>
        <w:spacing w:line="580" w:lineRule="exact"/>
        <w:ind w:firstLine="640"/>
        <w:jc w:val="both"/>
      </w:pPr>
      <w:r>
        <w:rPr>
          <w:rFonts w:ascii="仿宋_GB2312" w:hAnsi="仿宋_GB2312" w:eastAsia="仿宋_GB2312"/>
          <w:b w:val="0"/>
          <w:sz w:val="32"/>
        </w:rPr>
        <w:t>3.一般公共服务支出(类)统计信息事务(款)统计抽样调查(项):支出决算数为46.94万元，比上年决算增加14.72万元，增长45.69%,主要原因是：本年国家统计局阿克陶调查队住户调查经费增加。</w:t>
      </w:r>
    </w:p>
    <w:p w14:paraId="57750DEA">
      <w:pPr>
        <w:spacing w:line="580" w:lineRule="exact"/>
        <w:ind w:firstLine="640"/>
        <w:jc w:val="both"/>
      </w:pPr>
      <w:r>
        <w:rPr>
          <w:rFonts w:ascii="仿宋_GB2312" w:hAnsi="仿宋_GB2312" w:eastAsia="仿宋_GB2312"/>
          <w:b w:val="0"/>
          <w:sz w:val="32"/>
        </w:rPr>
        <w:t>4.一般公共服务支出(类)统计信息事务(款)事业运行(项):支出决算数为37.79万元，比上年决算减少0.62万元，下降1.61%,主要原因是：本年在职人员调入调出，人员职级不同，工资基数不同，导致人员经费较上年减少。</w:t>
      </w:r>
    </w:p>
    <w:p w14:paraId="261DE03D">
      <w:pPr>
        <w:spacing w:line="580" w:lineRule="exact"/>
        <w:ind w:firstLine="640"/>
        <w:jc w:val="both"/>
      </w:pPr>
      <w:r>
        <w:rPr>
          <w:rFonts w:ascii="仿宋_GB2312" w:hAnsi="仿宋_GB2312" w:eastAsia="仿宋_GB2312"/>
          <w:b w:val="0"/>
          <w:sz w:val="32"/>
        </w:rPr>
        <w:t>5.一般公共服务支出(类)统计信息事务(款)其他统计信息事务支出(项):支出决算数为1.99万元，比上年决算增加1.99万元，增长100.00%,主要原因是：本年第一书记为民办实事经费</w:t>
      </w:r>
      <w:r>
        <w:rPr>
          <w:rFonts w:hint="eastAsia" w:ascii="仿宋_GB2312" w:hAnsi="仿宋_GB2312" w:eastAsia="仿宋_GB2312"/>
          <w:b w:val="0"/>
          <w:sz w:val="32"/>
          <w:lang w:val="en-US" w:eastAsia="zh-CN"/>
        </w:rPr>
        <w:t>从其他支出调整至本科目列支，导致经费增加</w:t>
      </w:r>
      <w:r>
        <w:rPr>
          <w:rFonts w:ascii="仿宋_GB2312" w:hAnsi="仿宋_GB2312" w:eastAsia="仿宋_GB2312"/>
          <w:b w:val="0"/>
          <w:sz w:val="32"/>
        </w:rPr>
        <w:t>。</w:t>
      </w:r>
    </w:p>
    <w:p w14:paraId="71419A71">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6.社会保障和就业支出(类)行政事业单位养老支出(款)行政单位离退休(项):支出决算数为11.03万元，比上年决算增加1.27万元，增长13.01%,主要原因是：本年增加退休人员基础绩效奖，退休费支出增加。</w:t>
      </w:r>
    </w:p>
    <w:p w14:paraId="523C6D02">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29.45万元，比上年决算增加4.01万元，增长15.76%,主要原因是：本年在职人员工资基数调增，养老缴费基数上涨，相应支出增加。</w:t>
      </w:r>
    </w:p>
    <w:p w14:paraId="4757D84B">
      <w:pPr>
        <w:spacing w:line="580" w:lineRule="exact"/>
        <w:ind w:firstLine="640"/>
        <w:jc w:val="both"/>
      </w:pPr>
      <w:r>
        <w:rPr>
          <w:rFonts w:ascii="仿宋_GB2312" w:hAnsi="仿宋_GB2312" w:eastAsia="仿宋_GB2312"/>
          <w:b w:val="0"/>
          <w:sz w:val="32"/>
        </w:rPr>
        <w:t>8.社会保障和就业支出(类)抚恤(款)死亡抚恤(项):支出决算数为39.88万元，比上年决算增加39.88万元，增长100.00%,主要原因是：新增1名死亡人员，死亡抚恤金增加。</w:t>
      </w:r>
    </w:p>
    <w:p w14:paraId="5287E8F2">
      <w:pPr>
        <w:spacing w:line="580" w:lineRule="exact"/>
        <w:ind w:firstLine="640"/>
        <w:jc w:val="both"/>
      </w:pPr>
      <w:r>
        <w:rPr>
          <w:rFonts w:ascii="仿宋_GB2312" w:hAnsi="仿宋_GB2312" w:eastAsia="仿宋_GB2312"/>
          <w:b w:val="0"/>
          <w:sz w:val="32"/>
        </w:rPr>
        <w:t>9.卫生健康支出(类)行政事业单位医疗(款)行政单位医疗(项):支出决算数为11.44万元，比上年决算增加1.67万元，增长17.09%,主要原因是：本年在职人员工资基数调增，医疗缴费基数上涨，相应支出增加。</w:t>
      </w:r>
    </w:p>
    <w:p w14:paraId="4C6CF45A">
      <w:pPr>
        <w:spacing w:line="580" w:lineRule="exact"/>
        <w:ind w:firstLine="640"/>
        <w:jc w:val="both"/>
      </w:pPr>
      <w:r>
        <w:rPr>
          <w:rFonts w:ascii="仿宋_GB2312" w:hAnsi="仿宋_GB2312" w:eastAsia="仿宋_GB2312"/>
          <w:b w:val="0"/>
          <w:sz w:val="32"/>
        </w:rPr>
        <w:t>10.卫生健康支出(类)行政事业单位医疗(款)事业单位医疗(项):支出决算数为1.97万元，比上年决算增加0.24万元，增长13.87%,主要原因是：本年在职人员工资基数调增，医疗缴费基数上涨，相应支出增加。</w:t>
      </w:r>
    </w:p>
    <w:p w14:paraId="50C21783">
      <w:pPr>
        <w:spacing w:line="580" w:lineRule="exact"/>
        <w:ind w:firstLine="640"/>
        <w:jc w:val="both"/>
      </w:pPr>
      <w:r>
        <w:rPr>
          <w:rFonts w:ascii="仿宋_GB2312" w:hAnsi="仿宋_GB2312" w:eastAsia="仿宋_GB2312"/>
          <w:b w:val="0"/>
          <w:sz w:val="32"/>
        </w:rPr>
        <w:t>11.住房保障支出(类)住房改革支出(款)住房公积金(项):支出决算数为22.95万元，比上年决算增加2.46万元，增长12.01%,主要原因是：本年在职人员工资基数调增，公积金缴费基数上涨，相应支出增加。</w:t>
      </w:r>
    </w:p>
    <w:p w14:paraId="647DC8F5">
      <w:pPr>
        <w:spacing w:line="580" w:lineRule="exact"/>
        <w:ind w:firstLine="640"/>
        <w:jc w:val="both"/>
      </w:pPr>
      <w:r>
        <w:rPr>
          <w:rFonts w:ascii="仿宋_GB2312" w:hAnsi="仿宋_GB2312" w:eastAsia="仿宋_GB2312"/>
          <w:b w:val="0"/>
          <w:sz w:val="32"/>
        </w:rPr>
        <w:t>12.其他支出(类)其他支出(款)其他支出(项):支出决算数为0.00万元，比上年决算减少1.99万元，下降100.00%,主要原因是：本年度第一书记为民办实事经费调整至其他统计信息事务支出(项)列支，导致经费下降。</w:t>
      </w:r>
    </w:p>
    <w:p w14:paraId="482A92E1">
      <w:pPr>
        <w:spacing w:line="640" w:lineRule="exact"/>
        <w:ind w:firstLine="640"/>
        <w:jc w:val="both"/>
        <w:outlineLvl w:val="2"/>
      </w:pPr>
      <w:r>
        <w:rPr>
          <w:rFonts w:ascii="黑体" w:hAnsi="黑体" w:eastAsia="黑体"/>
          <w:sz w:val="32"/>
        </w:rPr>
        <w:t>六、一般公共预算财政拨款基本支出决算情况说明</w:t>
      </w:r>
    </w:p>
    <w:p w14:paraId="0C81453D">
      <w:pPr>
        <w:spacing w:line="580" w:lineRule="exact"/>
        <w:ind w:firstLine="640"/>
        <w:jc w:val="both"/>
      </w:pPr>
      <w:r>
        <w:rPr>
          <w:rFonts w:ascii="仿宋_GB2312" w:hAnsi="仿宋_GB2312" w:eastAsia="仿宋_GB2312"/>
          <w:b w:val="0"/>
          <w:sz w:val="32"/>
        </w:rPr>
        <w:t>2024年度一般公共预算财政拨款基本支出333.36万元，其中：</w:t>
      </w:r>
      <w:r>
        <w:rPr>
          <w:rFonts w:ascii="仿宋_GB2312" w:hAnsi="仿宋_GB2312" w:eastAsia="仿宋_GB2312"/>
          <w:b/>
          <w:sz w:val="32"/>
        </w:rPr>
        <w:t>人员经费328.70万元，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w:t>
      </w:r>
    </w:p>
    <w:p w14:paraId="67416421">
      <w:pPr>
        <w:spacing w:line="580" w:lineRule="exact"/>
        <w:ind w:firstLine="640"/>
        <w:jc w:val="both"/>
      </w:pPr>
      <w:r>
        <w:rPr>
          <w:rFonts w:ascii="仿宋_GB2312" w:hAnsi="仿宋_GB2312" w:eastAsia="仿宋_GB2312"/>
          <w:b/>
          <w:sz w:val="32"/>
        </w:rPr>
        <w:t>公用经费4.66万元，</w:t>
      </w:r>
      <w:r>
        <w:rPr>
          <w:rFonts w:ascii="仿宋_GB2312" w:hAnsi="仿宋_GB2312" w:eastAsia="仿宋_GB2312"/>
          <w:b w:val="0"/>
          <w:sz w:val="32"/>
        </w:rPr>
        <w:t>包括：办公费、电费、邮电费、取暖费、维修（护）费、公务用车运行维护费。</w:t>
      </w:r>
    </w:p>
    <w:p w14:paraId="05598D12">
      <w:pPr>
        <w:spacing w:line="640" w:lineRule="exact"/>
        <w:ind w:firstLine="640"/>
        <w:jc w:val="both"/>
        <w:outlineLvl w:val="2"/>
      </w:pPr>
      <w:r>
        <w:rPr>
          <w:rFonts w:ascii="黑体" w:hAnsi="黑体" w:eastAsia="黑体"/>
          <w:sz w:val="32"/>
        </w:rPr>
        <w:t>七、政府性基金预算财政拨款收入支出决算情况说明</w:t>
      </w:r>
    </w:p>
    <w:p w14:paraId="071F45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342D01">
      <w:pPr>
        <w:spacing w:line="640" w:lineRule="exact"/>
        <w:ind w:firstLine="640"/>
        <w:jc w:val="both"/>
        <w:outlineLvl w:val="2"/>
      </w:pPr>
      <w:r>
        <w:rPr>
          <w:rFonts w:ascii="黑体" w:hAnsi="黑体" w:eastAsia="黑体"/>
          <w:sz w:val="32"/>
        </w:rPr>
        <w:t>八、国有资本经营预算财政拨款收入支出决算情况说明</w:t>
      </w:r>
    </w:p>
    <w:p w14:paraId="529D18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A5DB0A">
      <w:pPr>
        <w:spacing w:line="640" w:lineRule="exact"/>
        <w:ind w:firstLine="640"/>
        <w:jc w:val="both"/>
        <w:outlineLvl w:val="2"/>
      </w:pPr>
      <w:r>
        <w:rPr>
          <w:rFonts w:ascii="黑体" w:hAnsi="黑体" w:eastAsia="黑体"/>
          <w:sz w:val="32"/>
        </w:rPr>
        <w:t>九、财政拨款“三公”经费支出决算情况说明</w:t>
      </w:r>
    </w:p>
    <w:p w14:paraId="0A65EC65">
      <w:pPr>
        <w:spacing w:line="580" w:lineRule="exact"/>
        <w:ind w:firstLine="640"/>
        <w:jc w:val="both"/>
      </w:pPr>
      <w:r>
        <w:rPr>
          <w:rFonts w:ascii="仿宋_GB2312" w:hAnsi="仿宋_GB2312" w:eastAsia="仿宋_GB2312"/>
          <w:b/>
          <w:sz w:val="32"/>
        </w:rPr>
        <w:t>2024年度财政拨款“三公”经费支出1.44万元，</w:t>
      </w:r>
      <w:r>
        <w:rPr>
          <w:rFonts w:ascii="仿宋_GB2312" w:hAnsi="仿宋_GB2312" w:eastAsia="仿宋_GB2312"/>
          <w:b w:val="0"/>
          <w:sz w:val="32"/>
        </w:rPr>
        <w:t>比上年增加0.85万元，增长144.07%，主要原因是：本单位公务用车日渐老化，维修维护成本增加、燃油费增加，导致公务用车运行维护费较上年增加。其中：因公出国（境）费支出0.00万元，占0.00%，比上年增加0.00万元，增长0.00%，主要原因是：2023年与2024年均未安排因公出国（境）费支出。公务用车购置及运行维护费支出1.44万元，占100.00%，比上年增加0.85万元，增长144.07%，主要原因是：本单位公务用车日渐老化，维修维护成本增加、燃油费增加，导致公务用车运行维护费较上年增加。公务接待费支出0.00万元，占0.00%，比上年增加0.00万元，增长0.00%，主要原因是：2023年与2024年均未安排公务接待费支出。</w:t>
      </w:r>
    </w:p>
    <w:p w14:paraId="56AE0178">
      <w:pPr>
        <w:spacing w:line="580" w:lineRule="exact"/>
        <w:ind w:firstLine="640"/>
        <w:jc w:val="both"/>
      </w:pPr>
      <w:r>
        <w:rPr>
          <w:rFonts w:ascii="仿宋_GB2312" w:hAnsi="仿宋_GB2312" w:eastAsia="仿宋_GB2312"/>
          <w:b/>
          <w:sz w:val="32"/>
        </w:rPr>
        <w:t>具体情况如下：</w:t>
      </w:r>
    </w:p>
    <w:p w14:paraId="2BEBE92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D42C2F">
      <w:pPr>
        <w:spacing w:line="580" w:lineRule="exact"/>
        <w:ind w:firstLine="640"/>
        <w:jc w:val="both"/>
      </w:pPr>
      <w:r>
        <w:rPr>
          <w:rFonts w:ascii="仿宋_GB2312" w:hAnsi="仿宋_GB2312" w:eastAsia="仿宋_GB2312"/>
          <w:b w:val="0"/>
          <w:sz w:val="32"/>
        </w:rPr>
        <w:t>公务用车购置及运行维护费1.44万元，其中：公务用车购置费0.00万元，公务用车运行维护费1.44万元。公务用车运行维护费开支内容包括单位车辆维修费、保险费、审验费、燃油费。公务用车购置数0辆，公务用车保有量1辆。国有资产占用情况中固定资产车辆1辆，与公务用车保有量差异原因是：本单位固定资产车辆与公务用车保有量一致无差异。</w:t>
      </w:r>
    </w:p>
    <w:p w14:paraId="415324C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30F3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1.44万元，决算数1.44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1.44万元，决算数1.44万元，预决算差异率0.00%，主要原因是：严格按照预算执行，预决算无差异。公务接待费全年预算数0.00万元，决算数0.00万元，预决算差异率0.00%，主要原因是：本单位无公务接待费。</w:t>
      </w:r>
    </w:p>
    <w:p w14:paraId="421DE36F">
      <w:pPr>
        <w:spacing w:line="640" w:lineRule="exact"/>
        <w:ind w:firstLine="640"/>
        <w:jc w:val="both"/>
        <w:outlineLvl w:val="2"/>
      </w:pPr>
      <w:r>
        <w:rPr>
          <w:rFonts w:ascii="黑体" w:hAnsi="黑体" w:eastAsia="黑体"/>
          <w:sz w:val="32"/>
        </w:rPr>
        <w:t>十、其他重要事项的情况说明</w:t>
      </w:r>
    </w:p>
    <w:p w14:paraId="7FE830B0">
      <w:pPr>
        <w:spacing w:line="640" w:lineRule="exact"/>
        <w:ind w:firstLine="640"/>
        <w:jc w:val="both"/>
        <w:outlineLvl w:val="3"/>
      </w:pPr>
      <w:r>
        <w:rPr>
          <w:rFonts w:ascii="楷体_GB2312" w:hAnsi="楷体_GB2312" w:eastAsia="楷体_GB2312"/>
          <w:b/>
          <w:sz w:val="32"/>
        </w:rPr>
        <w:t>（一）机关运行经费及公用经费支出情况</w:t>
      </w:r>
    </w:p>
    <w:p w14:paraId="747D6B61">
      <w:pPr>
        <w:spacing w:line="580" w:lineRule="exact"/>
        <w:ind w:firstLine="640"/>
        <w:jc w:val="both"/>
      </w:pPr>
      <w:r>
        <w:rPr>
          <w:rFonts w:ascii="仿宋_GB2312" w:hAnsi="仿宋_GB2312" w:eastAsia="仿宋_GB2312"/>
          <w:b w:val="0"/>
          <w:sz w:val="32"/>
        </w:rPr>
        <w:t>2024年度阿克陶县统计局（行政单位和参照公务员法管理事业单位）机关运行经费支出4.66万元，比上年增加2.97万元，增长175.74%，主要原因是：本年更新、维护补充办公用品，导致机关运行经费较上年增加。</w:t>
      </w:r>
    </w:p>
    <w:p w14:paraId="0CADFF08">
      <w:pPr>
        <w:spacing w:line="640" w:lineRule="exact"/>
        <w:ind w:firstLine="640"/>
        <w:jc w:val="both"/>
        <w:outlineLvl w:val="3"/>
      </w:pPr>
      <w:r>
        <w:rPr>
          <w:rFonts w:ascii="楷体_GB2312" w:hAnsi="楷体_GB2312" w:eastAsia="楷体_GB2312"/>
          <w:b/>
          <w:sz w:val="32"/>
        </w:rPr>
        <w:t>（二）政府采购情况</w:t>
      </w:r>
    </w:p>
    <w:p w14:paraId="00372878">
      <w:pPr>
        <w:spacing w:line="580" w:lineRule="exact"/>
        <w:ind w:firstLine="640"/>
        <w:jc w:val="both"/>
      </w:pPr>
      <w:r>
        <w:rPr>
          <w:rFonts w:ascii="仿宋_GB2312" w:hAnsi="仿宋_GB2312" w:eastAsia="仿宋_GB2312"/>
          <w:b w:val="0"/>
          <w:sz w:val="32"/>
        </w:rPr>
        <w:t>2024年度政府采购支出总额6.00万元，其中：政府采购货物支出0.00万元、政府采购工程支出0.00万元、政府采购服务支出6.00万元。</w:t>
      </w:r>
    </w:p>
    <w:p w14:paraId="1F399570">
      <w:pPr>
        <w:spacing w:line="580" w:lineRule="exact"/>
        <w:ind w:firstLine="640"/>
        <w:jc w:val="both"/>
      </w:pPr>
      <w:r>
        <w:rPr>
          <w:rFonts w:ascii="仿宋_GB2312" w:hAnsi="仿宋_GB2312" w:eastAsia="仿宋_GB2312"/>
          <w:b w:val="0"/>
          <w:sz w:val="32"/>
        </w:rPr>
        <w:t>授予中小企业合同金额6.00万元，占政府采购支出总额的100.00%，其中：授予小微企业合同金额6.00万元，占政府采购支出总额的100.00%。</w:t>
      </w:r>
    </w:p>
    <w:p w14:paraId="4E556EBB">
      <w:pPr>
        <w:spacing w:line="640" w:lineRule="exact"/>
        <w:ind w:firstLine="640"/>
        <w:jc w:val="both"/>
        <w:outlineLvl w:val="3"/>
      </w:pPr>
      <w:r>
        <w:rPr>
          <w:rFonts w:ascii="楷体_GB2312" w:hAnsi="楷体_GB2312" w:eastAsia="楷体_GB2312"/>
          <w:b/>
          <w:sz w:val="32"/>
        </w:rPr>
        <w:t>（三）国有资产占用情况说明</w:t>
      </w:r>
    </w:p>
    <w:p w14:paraId="7FC79FEC">
      <w:pPr>
        <w:spacing w:line="580" w:lineRule="exact"/>
        <w:ind w:firstLine="640"/>
        <w:jc w:val="both"/>
      </w:pPr>
      <w:r>
        <w:rPr>
          <w:rFonts w:ascii="仿宋_GB2312" w:hAnsi="仿宋_GB2312" w:eastAsia="仿宋_GB2312"/>
          <w:b w:val="0"/>
          <w:sz w:val="32"/>
        </w:rPr>
        <w:t>截至2024年12月31日，房屋0.00平方米，价值0.00万元。车辆1辆，价值14.58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A5055B0">
      <w:pPr>
        <w:spacing w:line="640" w:lineRule="exact"/>
        <w:ind w:firstLine="640"/>
        <w:jc w:val="both"/>
        <w:outlineLvl w:val="2"/>
      </w:pPr>
      <w:r>
        <w:rPr>
          <w:rFonts w:ascii="黑体" w:hAnsi="黑体" w:eastAsia="黑体"/>
          <w:sz w:val="32"/>
        </w:rPr>
        <w:t>十一、预算绩效的情况说明</w:t>
      </w:r>
    </w:p>
    <w:p w14:paraId="0C226A1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520.84万元，实际执行总额500.55万元；预算绩效评价项目4个，全年预算数69.20万元，全年执行数53.91万元。预算绩效管理取得的成效：通过该项目的实施更好</w:t>
      </w:r>
      <w:r>
        <w:rPr>
          <w:rFonts w:hint="eastAsia" w:ascii="仿宋_GB2312" w:hAnsi="仿宋_GB2312" w:eastAsia="仿宋_GB2312"/>
          <w:b w:val="0"/>
          <w:sz w:val="32"/>
          <w:lang w:eastAsia="zh-CN"/>
        </w:rPr>
        <w:t>地</w:t>
      </w:r>
      <w:r>
        <w:rPr>
          <w:rFonts w:ascii="仿宋_GB2312" w:hAnsi="仿宋_GB2312" w:eastAsia="仿宋_GB2312"/>
          <w:b w:val="0"/>
          <w:sz w:val="32"/>
        </w:rPr>
        <w:t>保障了对群众的宣传教育、团结联谊，同时倡导了现代文明新风尚，切实为民办实事好事，解决群众实际困难诉求。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通过绩效管理，发现实施中存在漏洞，以后加强管理，及时掌握与之相关的各类信息，减少成本，使资金效益最大化。具体附整体支出绩效自评表，项目支出绩效自评表和评价报告。</w:t>
      </w:r>
    </w:p>
    <w:p w14:paraId="362FF19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3A886EB">
        <w:tblPrEx>
          <w:tblCellMar>
            <w:top w:w="0" w:type="dxa"/>
            <w:left w:w="108" w:type="dxa"/>
            <w:bottom w:w="0" w:type="dxa"/>
            <w:right w:w="108" w:type="dxa"/>
          </w:tblCellMar>
        </w:tblPrEx>
        <w:tc>
          <w:tcPr>
            <w:tcW w:w="8840" w:type="dxa"/>
            <w:gridSpan w:val="8"/>
            <w:vAlign w:val="center"/>
          </w:tcPr>
          <w:p w14:paraId="5EFA95E8">
            <w:pPr>
              <w:jc w:val="center"/>
            </w:pPr>
            <w:r>
              <w:rPr>
                <w:rFonts w:ascii="宋体" w:hAnsi="宋体" w:eastAsia="宋体"/>
                <w:sz w:val="24"/>
              </w:rPr>
              <w:t>单位整体支出绩效自评表</w:t>
            </w:r>
          </w:p>
        </w:tc>
      </w:tr>
      <w:tr w14:paraId="431B0E15">
        <w:tblPrEx>
          <w:tblCellMar>
            <w:top w:w="0" w:type="dxa"/>
            <w:left w:w="108" w:type="dxa"/>
            <w:bottom w:w="0" w:type="dxa"/>
            <w:right w:w="108" w:type="dxa"/>
          </w:tblCellMar>
        </w:tblPrEx>
        <w:tc>
          <w:tcPr>
            <w:tcW w:w="8840" w:type="dxa"/>
            <w:gridSpan w:val="8"/>
            <w:vAlign w:val="center"/>
          </w:tcPr>
          <w:p w14:paraId="42736AB8">
            <w:pPr>
              <w:jc w:val="center"/>
            </w:pPr>
            <w:r>
              <w:rPr>
                <w:rFonts w:ascii="宋体" w:hAnsi="宋体" w:eastAsia="宋体"/>
                <w:sz w:val="24"/>
              </w:rPr>
              <w:t>（2024年度）</w:t>
            </w:r>
          </w:p>
        </w:tc>
      </w:tr>
      <w:tr w14:paraId="765A2C4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B6B7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2766C">
            <w:pPr>
              <w:jc w:val="center"/>
            </w:pPr>
            <w:r>
              <w:rPr>
                <w:rFonts w:ascii="宋体" w:hAnsi="宋体" w:eastAsia="宋体"/>
                <w:sz w:val="16"/>
              </w:rPr>
              <w:t>阿克陶县统计局</w:t>
            </w:r>
          </w:p>
        </w:tc>
      </w:tr>
      <w:tr w14:paraId="1A48601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D387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5DED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B39C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5589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942E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B36D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DA14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310AB">
            <w:pPr>
              <w:jc w:val="center"/>
            </w:pPr>
            <w:r>
              <w:rPr>
                <w:rFonts w:ascii="宋体" w:hAnsi="宋体" w:eastAsia="宋体"/>
                <w:sz w:val="16"/>
              </w:rPr>
              <w:t>得分</w:t>
            </w:r>
          </w:p>
        </w:tc>
      </w:tr>
      <w:tr w14:paraId="372509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078D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B091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E0669">
            <w:pPr>
              <w:jc w:val="center"/>
            </w:pPr>
            <w:r>
              <w:rPr>
                <w:rFonts w:ascii="宋体" w:hAnsi="宋体" w:eastAsia="宋体"/>
                <w:sz w:val="16"/>
              </w:rPr>
              <w:t>362.12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B5911">
            <w:pPr>
              <w:jc w:val="center"/>
            </w:pPr>
            <w:r>
              <w:rPr>
                <w:rFonts w:ascii="宋体" w:hAnsi="宋体" w:eastAsia="宋体"/>
                <w:sz w:val="16"/>
              </w:rPr>
              <w:t>520.84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612C6">
            <w:pPr>
              <w:jc w:val="center"/>
            </w:pPr>
            <w:r>
              <w:rPr>
                <w:rFonts w:ascii="宋体" w:hAnsi="宋体" w:eastAsia="宋体"/>
                <w:sz w:val="16"/>
              </w:rPr>
              <w:t>500.55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CC72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DC8AA">
            <w:pPr>
              <w:jc w:val="center"/>
            </w:pPr>
            <w:r>
              <w:rPr>
                <w:rFonts w:ascii="宋体" w:hAnsi="宋体" w:eastAsia="宋体"/>
                <w:sz w:val="16"/>
              </w:rPr>
              <w:t>96.10%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19386">
            <w:pPr>
              <w:jc w:val="center"/>
            </w:pPr>
            <w:r>
              <w:rPr>
                <w:rFonts w:ascii="宋体" w:hAnsi="宋体" w:eastAsia="宋体"/>
                <w:sz w:val="16"/>
              </w:rPr>
              <w:t>9.61</w:t>
            </w:r>
          </w:p>
        </w:tc>
      </w:tr>
      <w:tr w14:paraId="000E4C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EDD3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54C5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1F6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3BD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B3D1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BD7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630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DCB19">
            <w:pPr>
              <w:jc w:val="center"/>
            </w:pPr>
            <w:r>
              <w:rPr>
                <w:rFonts w:ascii="宋体" w:hAnsi="宋体" w:eastAsia="宋体"/>
                <w:sz w:val="16"/>
              </w:rPr>
              <w:t>—</w:t>
            </w:r>
          </w:p>
        </w:tc>
      </w:tr>
      <w:tr w14:paraId="0EE70A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CDDF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99D0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9B1C0">
            <w:pPr>
              <w:jc w:val="center"/>
            </w:pPr>
            <w:r>
              <w:rPr>
                <w:rFonts w:ascii="宋体" w:hAnsi="宋体" w:eastAsia="宋体"/>
                <w:sz w:val="16"/>
              </w:rPr>
              <w:t>362.12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6404A">
            <w:pPr>
              <w:jc w:val="center"/>
            </w:pPr>
            <w:r>
              <w:rPr>
                <w:rFonts w:ascii="宋体" w:hAnsi="宋体" w:eastAsia="宋体"/>
                <w:sz w:val="16"/>
              </w:rPr>
              <w:t>520.84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B938C">
            <w:pPr>
              <w:jc w:val="center"/>
            </w:pPr>
            <w:r>
              <w:rPr>
                <w:rFonts w:ascii="宋体" w:hAnsi="宋体" w:eastAsia="宋体"/>
                <w:sz w:val="16"/>
              </w:rPr>
              <w:t>500.55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CF5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901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53748">
            <w:pPr>
              <w:jc w:val="center"/>
            </w:pPr>
            <w:r>
              <w:rPr>
                <w:rFonts w:ascii="宋体" w:hAnsi="宋体" w:eastAsia="宋体"/>
                <w:sz w:val="16"/>
              </w:rPr>
              <w:t>—</w:t>
            </w:r>
          </w:p>
        </w:tc>
      </w:tr>
      <w:tr w14:paraId="5E080D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067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3C0C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0B2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728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BBB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302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793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EC998">
            <w:pPr>
              <w:jc w:val="center"/>
            </w:pPr>
            <w:r>
              <w:rPr>
                <w:rFonts w:ascii="宋体" w:hAnsi="宋体" w:eastAsia="宋体"/>
                <w:sz w:val="16"/>
              </w:rPr>
              <w:t>—</w:t>
            </w:r>
          </w:p>
        </w:tc>
      </w:tr>
      <w:tr w14:paraId="7F2B80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7027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5C308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DD692">
            <w:pPr>
              <w:jc w:val="center"/>
            </w:pPr>
            <w:r>
              <w:rPr>
                <w:rFonts w:ascii="宋体" w:hAnsi="宋体" w:eastAsia="宋体"/>
                <w:sz w:val="16"/>
              </w:rPr>
              <w:t>实际完成情况</w:t>
            </w:r>
          </w:p>
        </w:tc>
      </w:tr>
      <w:tr w14:paraId="050D1D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C976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14D33C">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保障办公室各项工作正常运转，提升了工作人员办事效率和服务保障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E04204">
            <w:pPr>
              <w:jc w:val="both"/>
            </w:pPr>
            <w:r>
              <w:rPr>
                <w:rFonts w:ascii="宋体" w:hAnsi="宋体" w:eastAsia="宋体"/>
                <w:sz w:val="16"/>
              </w:rPr>
              <w:t>确保了在职人员11人的工资、津贴、补贴、社保、医保、公积金等以及长期临聘人员2人工资等人员保障性经费能够依规、按时、足额发放或缴纳，重点工作办结率80%，年鉴工作及时率100%，统计数据错误率5%，提升公共服务水平情况，提升部门人员工作积极性和服务质量；加强单位的社会主义民主法制建设和精神文明建设；加强民族团结维护社会稳定。</w:t>
            </w:r>
          </w:p>
        </w:tc>
      </w:tr>
      <w:tr w14:paraId="0FEB858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67B2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9F29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C3AB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93A7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7C1E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EBE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50AC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B888B">
            <w:pPr>
              <w:jc w:val="center"/>
            </w:pPr>
            <w:r>
              <w:rPr>
                <w:rFonts w:ascii="宋体" w:hAnsi="宋体" w:eastAsia="宋体"/>
                <w:sz w:val="16"/>
              </w:rPr>
              <w:t>得分</w:t>
            </w:r>
          </w:p>
        </w:tc>
      </w:tr>
      <w:tr w14:paraId="7AAFCF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E01D3">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080D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AD055">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01209">
            <w:pPr>
              <w:jc w:val="center"/>
            </w:pPr>
            <w:r>
              <w:rPr>
                <w:rFonts w:ascii="宋体" w:hAnsi="宋体" w:eastAsia="宋体"/>
                <w:sz w:val="16"/>
              </w:rPr>
              <w:t>&gt;=13人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BBA5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6485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B5A71">
            <w:pPr>
              <w:jc w:val="center"/>
            </w:pPr>
            <w:r>
              <w:rPr>
                <w:rFonts w:ascii="宋体" w:hAnsi="宋体" w:eastAsia="宋体"/>
                <w:sz w:val="16"/>
              </w:rPr>
              <w: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80E96">
            <w:pPr>
              <w:jc w:val="center"/>
            </w:pPr>
            <w:r>
              <w:rPr>
                <w:rFonts w:ascii="宋体" w:hAnsi="宋体" w:eastAsia="宋体"/>
                <w:sz w:val="16"/>
              </w:rPr>
              <w:t>15</w:t>
            </w:r>
          </w:p>
        </w:tc>
      </w:tr>
      <w:tr w14:paraId="71F9AE8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9A01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6569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65A0E">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F940A">
            <w:pPr>
              <w:jc w:val="center"/>
            </w:pPr>
            <w:r>
              <w:rPr>
                <w:rFonts w:ascii="宋体" w:hAnsi="宋体" w:eastAsia="宋体"/>
                <w:sz w:val="16"/>
              </w:rPr>
              <w:t>&lt;=362.12万元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3AF1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6C24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56F56">
            <w:pPr>
              <w:jc w:val="center"/>
            </w:pPr>
            <w:r>
              <w:rPr>
                <w:rFonts w:ascii="宋体" w:hAnsi="宋体" w:eastAsia="宋体"/>
                <w:sz w:val="16"/>
              </w:rPr>
              <w:t>=500.55万元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B0FEB">
            <w:pPr>
              <w:jc w:val="center"/>
            </w:pPr>
            <w:r>
              <w:rPr>
                <w:rFonts w:ascii="宋体" w:hAnsi="宋体" w:eastAsia="宋体"/>
                <w:sz w:val="16"/>
              </w:rPr>
              <w:t>10.85</w:t>
            </w:r>
          </w:p>
        </w:tc>
      </w:tr>
      <w:tr w14:paraId="551D38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A6A25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B17A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936A9">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A44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006E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DFF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47A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5632D">
            <w:pPr>
              <w:jc w:val="center"/>
            </w:pPr>
            <w:r>
              <w:rPr>
                <w:rFonts w:ascii="宋体" w:hAnsi="宋体" w:eastAsia="宋体"/>
                <w:sz w:val="16"/>
              </w:rPr>
              <w:t>10</w:t>
            </w:r>
          </w:p>
        </w:tc>
      </w:tr>
      <w:tr w14:paraId="0801B4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C14B3">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2916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CFEFF">
            <w:pPr>
              <w:jc w:val="center"/>
            </w:pPr>
            <w:r>
              <w:rPr>
                <w:rFonts w:ascii="宋体" w:hAnsi="宋体" w:eastAsia="宋体"/>
                <w:sz w:val="16"/>
              </w:rPr>
              <w:t>统计数据错误率（%）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21394">
            <w:pPr>
              <w:jc w:val="center"/>
            </w:pPr>
            <w:r>
              <w:rPr>
                <w:rFonts w:ascii="宋体" w:hAnsi="宋体" w:eastAsia="宋体"/>
                <w:sz w:val="16"/>
              </w:rPr>
              <w:t>&lt;=5%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FD7F1">
            <w:pPr>
              <w:jc w:val="center"/>
            </w:pPr>
            <w:r>
              <w:rPr>
                <w:rFonts w:ascii="宋体" w:hAnsi="宋体" w:eastAsia="宋体"/>
                <w:sz w:val="16"/>
              </w:rPr>
              <w:t>根据统计报表制度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881D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4E72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DE170">
            <w:pPr>
              <w:jc w:val="center"/>
            </w:pPr>
            <w:r>
              <w:rPr>
                <w:rFonts w:ascii="宋体" w:hAnsi="宋体" w:eastAsia="宋体"/>
                <w:sz w:val="16"/>
              </w:rPr>
              <w:t>10</w:t>
            </w:r>
          </w:p>
        </w:tc>
      </w:tr>
      <w:tr w14:paraId="033BC43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CBD8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60131">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9A464">
            <w:pPr>
              <w:jc w:val="center"/>
            </w:pPr>
            <w:r>
              <w:rPr>
                <w:rFonts w:ascii="宋体" w:hAnsi="宋体" w:eastAsia="宋体"/>
                <w:sz w:val="16"/>
              </w:rPr>
              <w:t>年鉴工作及时率（%）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5C4BA">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2E431">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E05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917C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81606">
            <w:pPr>
              <w:jc w:val="center"/>
            </w:pPr>
            <w:r>
              <w:rPr>
                <w:rFonts w:ascii="宋体" w:hAnsi="宋体" w:eastAsia="宋体"/>
                <w:sz w:val="16"/>
              </w:rPr>
              <w:t>10</w:t>
            </w:r>
          </w:p>
        </w:tc>
      </w:tr>
      <w:tr w14:paraId="719FB7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5E15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62A6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BCE54">
            <w:pPr>
              <w:jc w:val="center"/>
            </w:pPr>
            <w:r>
              <w:rPr>
                <w:rFonts w:ascii="宋体" w:hAnsi="宋体" w:eastAsia="宋体"/>
                <w:sz w:val="16"/>
              </w:rPr>
              <w:t>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DA0E6">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89FAD">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0E1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B1E3F">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D358E">
            <w:pPr>
              <w:jc w:val="center"/>
            </w:pPr>
            <w:r>
              <w:rPr>
                <w:rFonts w:ascii="宋体" w:hAnsi="宋体" w:eastAsia="宋体"/>
                <w:sz w:val="16"/>
              </w:rPr>
              <w:t>10</w:t>
            </w:r>
          </w:p>
        </w:tc>
      </w:tr>
      <w:tr w14:paraId="694AA9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0316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A45D9">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ED370">
            <w:pPr>
              <w:jc w:val="center"/>
            </w:pPr>
            <w:r>
              <w:rPr>
                <w:rFonts w:ascii="宋体" w:hAnsi="宋体" w:eastAsia="宋体"/>
                <w:sz w:val="16"/>
              </w:rPr>
              <w:t>提升公共服务水平情况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FD71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D8382">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4E2F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4645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D3440">
            <w:pPr>
              <w:jc w:val="center"/>
            </w:pPr>
            <w:r>
              <w:rPr>
                <w:rFonts w:ascii="宋体" w:hAnsi="宋体" w:eastAsia="宋体"/>
                <w:sz w:val="16"/>
              </w:rPr>
              <w:t>10</w:t>
            </w:r>
          </w:p>
        </w:tc>
      </w:tr>
      <w:tr w14:paraId="5C4608F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5BA4F">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A944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2FC6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9914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7EA3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F69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EC5F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ED025">
            <w:pPr>
              <w:jc w:val="center"/>
            </w:pPr>
            <w:r>
              <w:rPr>
                <w:rFonts w:ascii="宋体" w:hAnsi="宋体" w:eastAsia="宋体"/>
                <w:sz w:val="16"/>
              </w:rPr>
              <w:t>10</w:t>
            </w:r>
          </w:p>
        </w:tc>
      </w:tr>
    </w:tbl>
    <w:p w14:paraId="6B52A7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AC803FF">
        <w:tblPrEx>
          <w:tblCellMar>
            <w:top w:w="0" w:type="dxa"/>
            <w:left w:w="108" w:type="dxa"/>
            <w:bottom w:w="0" w:type="dxa"/>
            <w:right w:w="108" w:type="dxa"/>
          </w:tblCellMar>
        </w:tblPrEx>
        <w:tc>
          <w:tcPr>
            <w:tcW w:w="8848" w:type="dxa"/>
            <w:gridSpan w:val="14"/>
            <w:vAlign w:val="center"/>
          </w:tcPr>
          <w:p w14:paraId="0E116C62">
            <w:pPr>
              <w:jc w:val="center"/>
            </w:pPr>
            <w:r>
              <w:rPr>
                <w:rFonts w:ascii="宋体" w:hAnsi="宋体" w:eastAsia="宋体"/>
                <w:sz w:val="24"/>
              </w:rPr>
              <w:t>项目支出绩效自评表</w:t>
            </w:r>
          </w:p>
        </w:tc>
      </w:tr>
      <w:tr w14:paraId="4614E1DD">
        <w:tblPrEx>
          <w:tblCellMar>
            <w:top w:w="0" w:type="dxa"/>
            <w:left w:w="108" w:type="dxa"/>
            <w:bottom w:w="0" w:type="dxa"/>
            <w:right w:w="108" w:type="dxa"/>
          </w:tblCellMar>
        </w:tblPrEx>
        <w:tc>
          <w:tcPr>
            <w:tcW w:w="8848" w:type="dxa"/>
            <w:gridSpan w:val="14"/>
            <w:vAlign w:val="center"/>
          </w:tcPr>
          <w:p w14:paraId="543F8A13">
            <w:pPr>
              <w:jc w:val="center"/>
            </w:pPr>
            <w:r>
              <w:rPr>
                <w:rFonts w:ascii="宋体" w:hAnsi="宋体" w:eastAsia="宋体"/>
                <w:sz w:val="24"/>
              </w:rPr>
              <w:t>(2024年度)</w:t>
            </w:r>
          </w:p>
        </w:tc>
      </w:tr>
      <w:tr w14:paraId="791FC9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77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E3DFB8">
            <w:pPr>
              <w:jc w:val="center"/>
            </w:pPr>
            <w:r>
              <w:rPr>
                <w:rFonts w:ascii="宋体" w:hAnsi="宋体" w:eastAsia="宋体"/>
                <w:sz w:val="16"/>
              </w:rPr>
              <w:t>2024县级国家统计局阿克陶调查队统计调查工作保障经费</w:t>
            </w:r>
          </w:p>
        </w:tc>
      </w:tr>
      <w:tr w14:paraId="49D577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27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D9092">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11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A3502A">
            <w:pPr>
              <w:jc w:val="center"/>
            </w:pPr>
            <w:r>
              <w:rPr>
                <w:rFonts w:ascii="宋体" w:hAnsi="宋体" w:eastAsia="宋体"/>
                <w:sz w:val="16"/>
              </w:rPr>
              <w:t>阿克陶县统计局</w:t>
            </w:r>
          </w:p>
        </w:tc>
      </w:tr>
      <w:tr w14:paraId="0CC5E7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2CD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3E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4A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496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756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6AB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1E9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40B9">
            <w:pPr>
              <w:jc w:val="center"/>
            </w:pPr>
            <w:r>
              <w:rPr>
                <w:rFonts w:ascii="宋体" w:hAnsi="宋体" w:eastAsia="宋体"/>
                <w:sz w:val="16"/>
              </w:rPr>
              <w:t>得分</w:t>
            </w:r>
          </w:p>
        </w:tc>
      </w:tr>
      <w:tr w14:paraId="07783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3A5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15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C0BED">
            <w:pPr>
              <w:jc w:val="center"/>
            </w:pPr>
            <w:r>
              <w:rPr>
                <w:rFonts w:ascii="宋体" w:hAnsi="宋体" w:eastAsia="宋体"/>
                <w:sz w:val="16"/>
              </w:rPr>
              <w:t>42.20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CB48">
            <w:pPr>
              <w:jc w:val="center"/>
            </w:pPr>
            <w:r>
              <w:rPr>
                <w:rFonts w:ascii="宋体" w:hAnsi="宋体" w:eastAsia="宋体"/>
                <w:sz w:val="16"/>
              </w:rPr>
              <w:t>42.20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E4D3">
            <w:pPr>
              <w:jc w:val="center"/>
            </w:pPr>
            <w:r>
              <w:rPr>
                <w:rFonts w:ascii="宋体" w:hAnsi="宋体" w:eastAsia="宋体"/>
                <w:sz w:val="16"/>
              </w:rPr>
              <w:t>40.28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7EC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6144C">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297B">
            <w:pPr>
              <w:jc w:val="center"/>
            </w:pPr>
            <w:r>
              <w:rPr>
                <w:rFonts w:ascii="宋体" w:hAnsi="宋体" w:eastAsia="宋体"/>
                <w:sz w:val="16"/>
              </w:rPr>
              <w:t>10.00分</w:t>
            </w:r>
          </w:p>
        </w:tc>
      </w:tr>
      <w:tr w14:paraId="16FC8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D17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4E7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3B178">
            <w:pPr>
              <w:jc w:val="center"/>
            </w:pPr>
            <w:r>
              <w:rPr>
                <w:rFonts w:ascii="宋体" w:hAnsi="宋体" w:eastAsia="宋体"/>
                <w:sz w:val="16"/>
              </w:rPr>
              <w:t>42.20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7254B">
            <w:pPr>
              <w:jc w:val="center"/>
            </w:pPr>
            <w:r>
              <w:rPr>
                <w:rFonts w:ascii="宋体" w:hAnsi="宋体" w:eastAsia="宋体"/>
                <w:sz w:val="16"/>
              </w:rPr>
              <w:t>42.20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355AF">
            <w:pPr>
              <w:jc w:val="center"/>
            </w:pPr>
            <w:r>
              <w:rPr>
                <w:rFonts w:ascii="宋体" w:hAnsi="宋体" w:eastAsia="宋体"/>
                <w:sz w:val="16"/>
              </w:rPr>
              <w:t>40.28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74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F5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7CD9">
            <w:pPr>
              <w:jc w:val="center"/>
            </w:pPr>
            <w:r>
              <w:rPr>
                <w:rFonts w:ascii="宋体" w:hAnsi="宋体" w:eastAsia="宋体"/>
                <w:sz w:val="16"/>
              </w:rPr>
              <w:t>—</w:t>
            </w:r>
          </w:p>
        </w:tc>
      </w:tr>
      <w:tr w14:paraId="3E42F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73F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8C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9FC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D0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B7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F8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34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A08F">
            <w:pPr>
              <w:jc w:val="center"/>
            </w:pPr>
            <w:r>
              <w:rPr>
                <w:rFonts w:ascii="宋体" w:hAnsi="宋体" w:eastAsia="宋体"/>
                <w:sz w:val="16"/>
              </w:rPr>
              <w:t>—</w:t>
            </w:r>
          </w:p>
        </w:tc>
      </w:tr>
      <w:tr w14:paraId="192F4C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DAB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8CE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5793A">
            <w:pPr>
              <w:jc w:val="center"/>
            </w:pPr>
            <w:r>
              <w:rPr>
                <w:rFonts w:ascii="宋体" w:hAnsi="宋体" w:eastAsia="宋体"/>
                <w:sz w:val="16"/>
              </w:rPr>
              <w:t>实际完成情况</w:t>
            </w:r>
          </w:p>
        </w:tc>
      </w:tr>
      <w:tr w14:paraId="26B2A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A6A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ED438">
            <w:pPr>
              <w:jc w:val="both"/>
            </w:pPr>
            <w:r>
              <w:rPr>
                <w:rFonts w:ascii="宋体" w:hAnsi="宋体" w:eastAsia="宋体"/>
                <w:sz w:val="16"/>
              </w:rPr>
              <w:t>该项目资金用于完成我县城镇、农村居民60户调查任务，上报60户调查数据，经国家统计局计算反馈当年人均可支配收入。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25C75C">
            <w:pPr>
              <w:jc w:val="both"/>
            </w:pPr>
            <w:r>
              <w:rPr>
                <w:rFonts w:ascii="宋体" w:hAnsi="宋体" w:eastAsia="宋体"/>
                <w:sz w:val="16"/>
              </w:rPr>
              <w:t>截至2024年12月31日，此项目</w:t>
            </w:r>
            <w:r>
              <w:rPr>
                <w:rFonts w:hint="eastAsia" w:ascii="宋体" w:hAnsi="宋体"/>
                <w:sz w:val="16"/>
                <w:lang w:eastAsia="zh-CN"/>
              </w:rPr>
              <w:t>已</w:t>
            </w:r>
            <w:r>
              <w:rPr>
                <w:rFonts w:ascii="宋体" w:hAnsi="宋体" w:eastAsia="宋体"/>
                <w:sz w:val="16"/>
              </w:rPr>
              <w:t>完成我县城镇、农村居民60户调查任务，上报60户调查数据，经国家统计局计算反馈当年人均可支配收入，剩余培训费与其他交通费用下一年度支出。</w:t>
            </w:r>
          </w:p>
        </w:tc>
      </w:tr>
      <w:tr w14:paraId="43052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307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67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03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29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B3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B5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9B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46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C7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46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0E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32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99B7A">
            <w:pPr>
              <w:jc w:val="center"/>
            </w:pPr>
            <w:r>
              <w:rPr>
                <w:rFonts w:ascii="宋体" w:hAnsi="宋体" w:eastAsia="宋体"/>
                <w:sz w:val="16"/>
              </w:rPr>
              <w:t>偏差原因分析及改进措施</w:t>
            </w:r>
          </w:p>
        </w:tc>
      </w:tr>
      <w:tr w14:paraId="32C118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7EF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D6D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337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F85F">
            <w:pPr>
              <w:jc w:val="center"/>
            </w:pPr>
            <w:r>
              <w:rPr>
                <w:rFonts w:ascii="宋体" w:hAnsi="宋体" w:eastAsia="宋体"/>
                <w:sz w:val="16"/>
              </w:rPr>
              <w:t>被调查户（户）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D006">
            <w:pPr>
              <w:jc w:val="center"/>
            </w:pPr>
            <w:r>
              <w:rPr>
                <w:rFonts w:ascii="宋体" w:hAnsi="宋体" w:eastAsia="宋体"/>
                <w:sz w:val="16"/>
              </w:rPr>
              <w:t>&gt;=60户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42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2A69">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D8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A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4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EA4F">
            <w:pPr>
              <w:jc w:val="center"/>
            </w:pPr>
            <w:r>
              <w:rPr>
                <w:rFonts w:ascii="宋体" w:hAnsi="宋体" w:eastAsia="宋体"/>
                <w:sz w:val="16"/>
              </w:rPr>
              <w:t>=60户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6F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F980B">
            <w:pPr>
              <w:jc w:val="center"/>
            </w:pPr>
          </w:p>
        </w:tc>
      </w:tr>
      <w:tr w14:paraId="0953D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15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26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AB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E3B0">
            <w:pPr>
              <w:jc w:val="center"/>
            </w:pPr>
            <w:r>
              <w:rPr>
                <w:rFonts w:ascii="宋体" w:hAnsi="宋体" w:eastAsia="宋体"/>
                <w:sz w:val="16"/>
              </w:rPr>
              <w:t>辅调员（人）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8000">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7A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C58F">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5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AA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A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B3A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F3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73CF">
            <w:pPr>
              <w:jc w:val="center"/>
            </w:pPr>
          </w:p>
        </w:tc>
      </w:tr>
      <w:tr w14:paraId="39D58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E9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28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E3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CBD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0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DC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C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D3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B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88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5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2A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F812">
            <w:pPr>
              <w:jc w:val="center"/>
            </w:pPr>
          </w:p>
        </w:tc>
      </w:tr>
      <w:tr w14:paraId="42321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F9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E6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A1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BB0D">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6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47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7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2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EB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EB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8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BD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72833">
            <w:pPr>
              <w:jc w:val="center"/>
            </w:pPr>
          </w:p>
        </w:tc>
      </w:tr>
      <w:tr w14:paraId="5BD15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19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DB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59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3752">
            <w:pPr>
              <w:jc w:val="center"/>
            </w:pPr>
            <w:r>
              <w:rPr>
                <w:rFonts w:ascii="宋体" w:hAnsi="宋体" w:eastAsia="宋体"/>
                <w:sz w:val="16"/>
              </w:rPr>
              <w:t>补贴标准（元/人）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061D">
            <w:pPr>
              <w:jc w:val="center"/>
            </w:pPr>
            <w:r>
              <w:rPr>
                <w:rFonts w:ascii="宋体" w:hAnsi="宋体" w:eastAsia="宋体"/>
                <w:sz w:val="16"/>
              </w:rPr>
              <w:t>&gt;=840元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D6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0D6F">
            <w:pPr>
              <w:jc w:val="center"/>
            </w:pPr>
            <w:r>
              <w:rPr>
                <w:rFonts w:ascii="宋体" w:hAnsi="宋体" w:eastAsia="宋体"/>
                <w:sz w:val="16"/>
              </w:rPr>
              <w:t>=840元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AA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5A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B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7314">
            <w:pPr>
              <w:jc w:val="center"/>
            </w:pPr>
            <w:r>
              <w:rPr>
                <w:rFonts w:ascii="宋体" w:hAnsi="宋体" w:eastAsia="宋体"/>
                <w:sz w:val="16"/>
              </w:rPr>
              <w:t>=840元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05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04EF">
            <w:pPr>
              <w:jc w:val="center"/>
            </w:pPr>
          </w:p>
        </w:tc>
      </w:tr>
      <w:tr w14:paraId="00B37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9E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5D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96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80D7">
            <w:pPr>
              <w:jc w:val="center"/>
            </w:pPr>
            <w:r>
              <w:rPr>
                <w:rFonts w:ascii="宋体" w:hAnsi="宋体" w:eastAsia="宋体"/>
                <w:sz w:val="16"/>
              </w:rPr>
              <w:t>受益户数（户）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C5B4">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87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1581">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F0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15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F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7EE6">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33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8B1EA">
            <w:pPr>
              <w:jc w:val="center"/>
            </w:pPr>
          </w:p>
        </w:tc>
      </w:tr>
      <w:tr w14:paraId="23FDD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1E0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C8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AF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5730">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88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51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81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71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5C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F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38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3B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030C">
            <w:pPr>
              <w:jc w:val="center"/>
            </w:pPr>
          </w:p>
        </w:tc>
      </w:tr>
      <w:tr w14:paraId="0782AE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10C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36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A78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7AB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631BA3"/>
        </w:tc>
      </w:tr>
    </w:tbl>
    <w:p w14:paraId="412510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4176DB02">
        <w:tblPrEx>
          <w:tblCellMar>
            <w:top w:w="0" w:type="dxa"/>
            <w:left w:w="108" w:type="dxa"/>
            <w:bottom w:w="0" w:type="dxa"/>
            <w:right w:w="108" w:type="dxa"/>
          </w:tblCellMar>
        </w:tblPrEx>
        <w:tc>
          <w:tcPr>
            <w:tcW w:w="8848" w:type="dxa"/>
            <w:gridSpan w:val="14"/>
            <w:vAlign w:val="center"/>
          </w:tcPr>
          <w:p w14:paraId="791FD522">
            <w:pPr>
              <w:jc w:val="center"/>
            </w:pPr>
            <w:r>
              <w:rPr>
                <w:rFonts w:ascii="宋体" w:hAnsi="宋体" w:eastAsia="宋体"/>
                <w:sz w:val="24"/>
              </w:rPr>
              <w:t>项目支出绩效自评表</w:t>
            </w:r>
          </w:p>
        </w:tc>
      </w:tr>
      <w:tr w14:paraId="5FCB8AD9">
        <w:tblPrEx>
          <w:tblCellMar>
            <w:top w:w="0" w:type="dxa"/>
            <w:left w:w="108" w:type="dxa"/>
            <w:bottom w:w="0" w:type="dxa"/>
            <w:right w:w="108" w:type="dxa"/>
          </w:tblCellMar>
        </w:tblPrEx>
        <w:tc>
          <w:tcPr>
            <w:tcW w:w="8848" w:type="dxa"/>
            <w:gridSpan w:val="14"/>
            <w:vAlign w:val="center"/>
          </w:tcPr>
          <w:p w14:paraId="3C318E79">
            <w:pPr>
              <w:jc w:val="center"/>
            </w:pPr>
            <w:r>
              <w:rPr>
                <w:rFonts w:ascii="宋体" w:hAnsi="宋体" w:eastAsia="宋体"/>
                <w:sz w:val="24"/>
              </w:rPr>
              <w:t>(2024年度)</w:t>
            </w:r>
          </w:p>
        </w:tc>
      </w:tr>
      <w:tr w14:paraId="73286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91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842864">
            <w:pPr>
              <w:jc w:val="center"/>
            </w:pPr>
            <w:r>
              <w:rPr>
                <w:rFonts w:ascii="宋体" w:hAnsi="宋体" w:eastAsia="宋体"/>
                <w:sz w:val="16"/>
              </w:rPr>
              <w:t>2024年县级人口抽样调查工作经费</w:t>
            </w:r>
          </w:p>
        </w:tc>
      </w:tr>
      <w:tr w14:paraId="042B9F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FB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B97E4">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0C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A51AFE">
            <w:pPr>
              <w:jc w:val="center"/>
            </w:pPr>
            <w:r>
              <w:rPr>
                <w:rFonts w:ascii="宋体" w:hAnsi="宋体" w:eastAsia="宋体"/>
                <w:sz w:val="16"/>
              </w:rPr>
              <w:t>阿克陶县统计局</w:t>
            </w:r>
          </w:p>
        </w:tc>
      </w:tr>
      <w:tr w14:paraId="446CC8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0B8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5B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5F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384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38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F4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E29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3768">
            <w:pPr>
              <w:jc w:val="center"/>
            </w:pPr>
            <w:r>
              <w:rPr>
                <w:rFonts w:ascii="宋体" w:hAnsi="宋体" w:eastAsia="宋体"/>
                <w:sz w:val="16"/>
              </w:rPr>
              <w:t>得分</w:t>
            </w:r>
          </w:p>
        </w:tc>
      </w:tr>
      <w:tr w14:paraId="612A0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1DB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05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F03C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7D3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58A0D">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A9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A09D8">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FC42">
            <w:pPr>
              <w:jc w:val="center"/>
            </w:pPr>
            <w:r>
              <w:rPr>
                <w:rFonts w:ascii="宋体" w:hAnsi="宋体" w:eastAsia="宋体"/>
                <w:sz w:val="16"/>
              </w:rPr>
              <w:t>0.00分</w:t>
            </w:r>
          </w:p>
        </w:tc>
      </w:tr>
      <w:tr w14:paraId="062F2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816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09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794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CF8B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9FAA7">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5A2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39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462C">
            <w:pPr>
              <w:jc w:val="center"/>
            </w:pPr>
            <w:r>
              <w:rPr>
                <w:rFonts w:ascii="宋体" w:hAnsi="宋体" w:eastAsia="宋体"/>
                <w:sz w:val="16"/>
              </w:rPr>
              <w:t>—</w:t>
            </w:r>
          </w:p>
        </w:tc>
      </w:tr>
      <w:tr w14:paraId="19B83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EA1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F1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C90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6E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B1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608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C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BA62">
            <w:pPr>
              <w:jc w:val="center"/>
            </w:pPr>
            <w:r>
              <w:rPr>
                <w:rFonts w:ascii="宋体" w:hAnsi="宋体" w:eastAsia="宋体"/>
                <w:sz w:val="16"/>
              </w:rPr>
              <w:t>—</w:t>
            </w:r>
          </w:p>
        </w:tc>
      </w:tr>
      <w:tr w14:paraId="6AC69B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8F8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611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2DF1D">
            <w:pPr>
              <w:jc w:val="center"/>
            </w:pPr>
            <w:r>
              <w:rPr>
                <w:rFonts w:ascii="宋体" w:hAnsi="宋体" w:eastAsia="宋体"/>
                <w:sz w:val="16"/>
              </w:rPr>
              <w:t>实际完成情况</w:t>
            </w:r>
          </w:p>
        </w:tc>
      </w:tr>
      <w:tr w14:paraId="14072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4D6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DAE1D">
            <w:pPr>
              <w:jc w:val="both"/>
            </w:pPr>
            <w:r>
              <w:rPr>
                <w:rFonts w:ascii="宋体" w:hAnsi="宋体" w:eastAsia="宋体"/>
                <w:sz w:val="16"/>
              </w:rPr>
              <w:t>为了准确</w:t>
            </w:r>
            <w:r>
              <w:rPr>
                <w:rFonts w:hint="eastAsia" w:ascii="宋体" w:hAnsi="宋体"/>
                <w:sz w:val="16"/>
                <w:lang w:eastAsia="zh-CN"/>
              </w:rPr>
              <w:t>及</w:t>
            </w:r>
            <w:r>
              <w:rPr>
                <w:rFonts w:ascii="宋体" w:hAnsi="宋体" w:eastAsia="宋体"/>
                <w:sz w:val="16"/>
              </w:rPr>
              <w:t>时地掌握阿克陶县域人口变动以及人口数量、构成、居住、计划执行等方面情况，为县党委、人民政府制定国民经济和社会发展规划和有关政策提供客观准确的依据，有着十分重要的意义。按照国家和自治区、自治州相关通知要求，阿克陶县统计局党组高度重视，为认真抓好落实，整体推进各阶段工作，高质量完成调查任务</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B3150F">
            <w:pPr>
              <w:jc w:val="both"/>
            </w:pPr>
            <w:r>
              <w:rPr>
                <w:rFonts w:ascii="宋体" w:hAnsi="宋体" w:eastAsia="宋体"/>
                <w:sz w:val="16"/>
              </w:rPr>
              <w:t>截至12月31日，此项目已完成了两员补助发放1.95元，印刷费和办公费由单位资金支出。</w:t>
            </w:r>
          </w:p>
        </w:tc>
      </w:tr>
      <w:tr w14:paraId="6FDA8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7A3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E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B1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12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71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2D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36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51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7B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09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F5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7A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D5DC">
            <w:pPr>
              <w:jc w:val="center"/>
            </w:pPr>
            <w:r>
              <w:rPr>
                <w:rFonts w:ascii="宋体" w:hAnsi="宋体" w:eastAsia="宋体"/>
                <w:sz w:val="16"/>
              </w:rPr>
              <w:t>偏差原因分析及改进措施</w:t>
            </w:r>
          </w:p>
        </w:tc>
      </w:tr>
      <w:tr w14:paraId="5139B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57E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5272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8E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819D">
            <w:pPr>
              <w:jc w:val="center"/>
            </w:pPr>
            <w:r>
              <w:rPr>
                <w:rFonts w:ascii="宋体" w:hAnsi="宋体" w:eastAsia="宋体"/>
                <w:sz w:val="16"/>
              </w:rPr>
              <w:t>两员补助人数（人）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7D2B">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F4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65B">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1FA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7F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0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B7D0">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D27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7F349">
            <w:pPr>
              <w:jc w:val="center"/>
            </w:pPr>
          </w:p>
        </w:tc>
      </w:tr>
      <w:tr w14:paraId="4277D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30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79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28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CA2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B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F1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6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57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4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F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6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2F8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4E38">
            <w:pPr>
              <w:jc w:val="center"/>
            </w:pPr>
          </w:p>
        </w:tc>
      </w:tr>
      <w:tr w14:paraId="46BC3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C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675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F0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F54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9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C7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9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6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9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E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0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14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4EFA">
            <w:pPr>
              <w:jc w:val="center"/>
            </w:pPr>
          </w:p>
        </w:tc>
      </w:tr>
      <w:tr w14:paraId="4535F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D87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5180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9CD30">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9DE0">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92B2">
            <w:pPr>
              <w:jc w:val="center"/>
            </w:pPr>
            <w:r>
              <w:rPr>
                <w:rFonts w:ascii="宋体" w:hAnsi="宋体" w:eastAsia="宋体"/>
                <w:sz w:val="16"/>
              </w:rPr>
              <w:t>＜=10元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B9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C7CB">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E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F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9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7505">
            <w:pPr>
              <w:jc w:val="center"/>
            </w:pPr>
            <w:r>
              <w:rPr>
                <w:rFonts w:ascii="宋体" w:hAnsi="宋体" w:eastAsia="宋体"/>
                <w:sz w:val="16"/>
              </w:rPr>
              <w:t>=1.95%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7E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62BD">
            <w:pPr>
              <w:jc w:val="center"/>
            </w:pPr>
            <w:r>
              <w:rPr>
                <w:rFonts w:ascii="宋体" w:hAnsi="宋体" w:eastAsia="宋体"/>
                <w:sz w:val="16"/>
              </w:rPr>
              <w:t>本项目年初规划时，财政预算已将10万县级资金列入计划。然后受各因素影响，财政资金不得不优先保障更为紧迫的支出事项，导致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该笔资金未能如期全部下达，指标未能完成。</w:t>
            </w:r>
          </w:p>
        </w:tc>
      </w:tr>
      <w:tr w14:paraId="2DF9C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8D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7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61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D63D">
            <w:pPr>
              <w:jc w:val="center"/>
            </w:pPr>
            <w:r>
              <w:rPr>
                <w:rFonts w:ascii="宋体" w:hAnsi="宋体" w:eastAsia="宋体"/>
                <w:sz w:val="16"/>
              </w:rPr>
              <w:t>补助标准（元/人）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6964">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34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59AF">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3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C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F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CA70">
            <w:pPr>
              <w:jc w:val="center"/>
            </w:pPr>
            <w:r>
              <w:rPr>
                <w:rFonts w:ascii="宋体" w:hAnsi="宋体" w:eastAsia="宋体"/>
                <w:sz w:val="16"/>
              </w:rPr>
              <w:t>487.5元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F6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F1C09">
            <w:pPr>
              <w:jc w:val="center"/>
            </w:pPr>
            <w:r>
              <w:rPr>
                <w:rFonts w:ascii="宋体" w:hAnsi="宋体" w:eastAsia="宋体"/>
                <w:sz w:val="16"/>
              </w:rPr>
              <w:t>本项目年初规划时，财政预算已将10万县级资金列入计划。然后受各因素影响，财政资金不得不优先保障更为紧迫的支出事项，导致</w:t>
            </w:r>
            <w:r>
              <w:rPr>
                <w:rFonts w:hint="eastAsia" w:ascii="宋体" w:hAnsi="宋体"/>
                <w:sz w:val="16"/>
                <w:lang w:eastAsia="zh-CN"/>
              </w:rPr>
              <w:t>本单位</w:t>
            </w:r>
            <w:r>
              <w:rPr>
                <w:rFonts w:ascii="宋体" w:hAnsi="宋体" w:eastAsia="宋体"/>
                <w:sz w:val="16"/>
              </w:rPr>
              <w:t>该笔资金未能如期全部下达，指标未能完成。</w:t>
            </w:r>
          </w:p>
        </w:tc>
      </w:tr>
      <w:tr w14:paraId="135B9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58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F7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4A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3BB3">
            <w:pPr>
              <w:jc w:val="center"/>
            </w:pPr>
            <w:r>
              <w:rPr>
                <w:rFonts w:ascii="宋体" w:hAnsi="宋体" w:eastAsia="宋体"/>
                <w:sz w:val="16"/>
              </w:rPr>
              <w:t>保障统计数据的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92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C1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9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30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9E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3F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3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91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E65C6">
            <w:pPr>
              <w:jc w:val="center"/>
            </w:pPr>
          </w:p>
        </w:tc>
      </w:tr>
      <w:tr w14:paraId="54F7F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2E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35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D0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7573">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EC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44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28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4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22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B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BD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E9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00B08">
            <w:pPr>
              <w:jc w:val="center"/>
            </w:pPr>
          </w:p>
        </w:tc>
      </w:tr>
      <w:tr w14:paraId="4BDCA7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D57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70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EC1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9BA1">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A1C327"/>
        </w:tc>
      </w:tr>
    </w:tbl>
    <w:p w14:paraId="29DD7E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B15F074">
        <w:tblPrEx>
          <w:tblCellMar>
            <w:top w:w="0" w:type="dxa"/>
            <w:left w:w="108" w:type="dxa"/>
            <w:bottom w:w="0" w:type="dxa"/>
            <w:right w:w="108" w:type="dxa"/>
          </w:tblCellMar>
        </w:tblPrEx>
        <w:tc>
          <w:tcPr>
            <w:tcW w:w="8848" w:type="dxa"/>
            <w:gridSpan w:val="14"/>
            <w:vAlign w:val="center"/>
          </w:tcPr>
          <w:p w14:paraId="20295EE4">
            <w:pPr>
              <w:jc w:val="center"/>
            </w:pPr>
            <w:r>
              <w:rPr>
                <w:rFonts w:ascii="宋体" w:hAnsi="宋体" w:eastAsia="宋体"/>
                <w:sz w:val="24"/>
              </w:rPr>
              <w:t>项目支出绩效自评表</w:t>
            </w:r>
          </w:p>
        </w:tc>
      </w:tr>
      <w:tr w14:paraId="63F193F1">
        <w:tblPrEx>
          <w:tblCellMar>
            <w:top w:w="0" w:type="dxa"/>
            <w:left w:w="108" w:type="dxa"/>
            <w:bottom w:w="0" w:type="dxa"/>
            <w:right w:w="108" w:type="dxa"/>
          </w:tblCellMar>
        </w:tblPrEx>
        <w:tc>
          <w:tcPr>
            <w:tcW w:w="8848" w:type="dxa"/>
            <w:gridSpan w:val="14"/>
            <w:vAlign w:val="center"/>
          </w:tcPr>
          <w:p w14:paraId="1E2B1F28">
            <w:pPr>
              <w:jc w:val="center"/>
            </w:pPr>
            <w:r>
              <w:rPr>
                <w:rFonts w:ascii="宋体" w:hAnsi="宋体" w:eastAsia="宋体"/>
                <w:sz w:val="24"/>
              </w:rPr>
              <w:t>(2024年度)</w:t>
            </w:r>
          </w:p>
        </w:tc>
      </w:tr>
      <w:tr w14:paraId="6A0C3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AB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AC57EF">
            <w:pPr>
              <w:jc w:val="center"/>
            </w:pPr>
            <w:r>
              <w:rPr>
                <w:rFonts w:ascii="宋体" w:hAnsi="宋体" w:eastAsia="宋体"/>
                <w:sz w:val="16"/>
              </w:rPr>
              <w:t>2024年县级第五次全国经济普查经费</w:t>
            </w:r>
          </w:p>
        </w:tc>
      </w:tr>
      <w:tr w14:paraId="7131A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5B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2C596">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53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1EC21">
            <w:pPr>
              <w:jc w:val="center"/>
            </w:pPr>
            <w:r>
              <w:rPr>
                <w:rFonts w:ascii="宋体" w:hAnsi="宋体" w:eastAsia="宋体"/>
                <w:sz w:val="16"/>
              </w:rPr>
              <w:t>阿克陶县统计局</w:t>
            </w:r>
          </w:p>
        </w:tc>
      </w:tr>
      <w:tr w14:paraId="3835A9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146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C0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3F8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88E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86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E8B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B4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C50B">
            <w:pPr>
              <w:jc w:val="center"/>
            </w:pPr>
            <w:r>
              <w:rPr>
                <w:rFonts w:ascii="宋体" w:hAnsi="宋体" w:eastAsia="宋体"/>
                <w:sz w:val="16"/>
              </w:rPr>
              <w:t>得分</w:t>
            </w:r>
          </w:p>
        </w:tc>
      </w:tr>
      <w:tr w14:paraId="09287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2DA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1B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63A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06F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EE81">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F80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C6BDA">
            <w:pPr>
              <w:jc w:val="center"/>
            </w:pPr>
            <w:r>
              <w:rPr>
                <w:rFonts w:ascii="宋体" w:hAnsi="宋体" w:eastAsia="宋体"/>
                <w:sz w:val="16"/>
              </w:rPr>
              <w:t>64.6%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84D6">
            <w:pPr>
              <w:jc w:val="center"/>
            </w:pPr>
            <w:r>
              <w:rPr>
                <w:rFonts w:ascii="宋体" w:hAnsi="宋体" w:eastAsia="宋体"/>
                <w:sz w:val="16"/>
              </w:rPr>
              <w:t>1.15分</w:t>
            </w:r>
          </w:p>
        </w:tc>
      </w:tr>
      <w:tr w14:paraId="3ECBD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93E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DCB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7DE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29C3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B141">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5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405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C796">
            <w:pPr>
              <w:jc w:val="center"/>
            </w:pPr>
            <w:r>
              <w:rPr>
                <w:rFonts w:ascii="宋体" w:hAnsi="宋体" w:eastAsia="宋体"/>
                <w:sz w:val="16"/>
              </w:rPr>
              <w:t>—</w:t>
            </w:r>
          </w:p>
        </w:tc>
      </w:tr>
      <w:tr w14:paraId="50C669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80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5CD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FB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8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06C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F41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A3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8C0B">
            <w:pPr>
              <w:jc w:val="center"/>
            </w:pPr>
            <w:r>
              <w:rPr>
                <w:rFonts w:ascii="宋体" w:hAnsi="宋体" w:eastAsia="宋体"/>
                <w:sz w:val="16"/>
              </w:rPr>
              <w:t>—</w:t>
            </w:r>
          </w:p>
        </w:tc>
      </w:tr>
      <w:tr w14:paraId="243B13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10F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678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D55A08">
            <w:pPr>
              <w:jc w:val="center"/>
            </w:pPr>
            <w:r>
              <w:rPr>
                <w:rFonts w:ascii="宋体" w:hAnsi="宋体" w:eastAsia="宋体"/>
                <w:sz w:val="16"/>
              </w:rPr>
              <w:t>实际完成情况</w:t>
            </w:r>
          </w:p>
        </w:tc>
      </w:tr>
      <w:tr w14:paraId="3E3E4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2AE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D0C92">
            <w:pPr>
              <w:jc w:val="both"/>
            </w:pPr>
            <w:r>
              <w:rPr>
                <w:rFonts w:ascii="宋体" w:hAnsi="宋体" w:eastAsia="宋体"/>
                <w:sz w:val="16"/>
              </w:rPr>
              <w:t>资金用于负责完成普查对象的基本情况、组织结构、人员工资、生产能力、财务状况、生产经营、能源生产和消费、研发活动、信息化建设和电子商务交易情况，以及投入结构、产品使用去向和固定资产投资构成情况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EECBAD">
            <w:pPr>
              <w:jc w:val="both"/>
            </w:pPr>
            <w:r>
              <w:rPr>
                <w:rFonts w:ascii="宋体" w:hAnsi="宋体" w:eastAsia="宋体"/>
                <w:sz w:val="16"/>
              </w:rPr>
              <w:t>截至2024年12月31日，此项目目前已完成了第五次经济普查的宣传和办公用品的支出和两员补助的发放，保障第五次经济普查的工作正常运转，维修（护）费和电费以及部分差旅费用单位资金支出。</w:t>
            </w:r>
          </w:p>
        </w:tc>
      </w:tr>
      <w:tr w14:paraId="285C44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53E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65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5F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83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26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5C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3E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F0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17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16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A5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93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B5B10">
            <w:pPr>
              <w:jc w:val="center"/>
            </w:pPr>
            <w:r>
              <w:rPr>
                <w:rFonts w:ascii="宋体" w:hAnsi="宋体" w:eastAsia="宋体"/>
                <w:sz w:val="16"/>
              </w:rPr>
              <w:t>偏差原因分析及改进措施</w:t>
            </w:r>
          </w:p>
        </w:tc>
      </w:tr>
      <w:tr w14:paraId="03FE2D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26A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8C1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FD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0FDC">
            <w:pPr>
              <w:jc w:val="center"/>
            </w:pPr>
            <w:r>
              <w:rPr>
                <w:rFonts w:ascii="宋体" w:hAnsi="宋体" w:eastAsia="宋体"/>
                <w:sz w:val="16"/>
              </w:rPr>
              <w:t>两员补助人数（人）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9483">
            <w:pPr>
              <w:jc w:val="center"/>
            </w:pPr>
            <w:r>
              <w:rPr>
                <w:rFonts w:ascii="宋体" w:hAnsi="宋体" w:eastAsia="宋体"/>
                <w:sz w:val="16"/>
              </w:rPr>
              <w:t>&lt;=249人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6F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6F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8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D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5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0B57">
            <w:pPr>
              <w:jc w:val="center"/>
            </w:pPr>
            <w:r>
              <w:rPr>
                <w:rFonts w:ascii="宋体" w:hAnsi="宋体" w:eastAsia="宋体"/>
                <w:sz w:val="16"/>
              </w:rPr>
              <w:t>=249人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0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91D4">
            <w:pPr>
              <w:jc w:val="center"/>
            </w:pPr>
          </w:p>
        </w:tc>
      </w:tr>
      <w:tr w14:paraId="0A4C0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339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EE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4F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C34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E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D1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D5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6E3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6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5F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C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3E7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8AB5">
            <w:pPr>
              <w:jc w:val="center"/>
            </w:pPr>
          </w:p>
        </w:tc>
      </w:tr>
      <w:tr w14:paraId="44609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0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C3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62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A5DB">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4C9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E5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AF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A7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3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76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192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608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BDA3">
            <w:pPr>
              <w:jc w:val="center"/>
            </w:pPr>
          </w:p>
        </w:tc>
      </w:tr>
      <w:tr w14:paraId="03384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F6E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EB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02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1E62">
            <w:pPr>
              <w:jc w:val="center"/>
            </w:pPr>
            <w:r>
              <w:rPr>
                <w:rFonts w:ascii="宋体" w:hAnsi="宋体" w:eastAsia="宋体"/>
                <w:sz w:val="16"/>
              </w:rPr>
              <w:t>普查经费成本（万元）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ACA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C3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8C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38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D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FC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52F1">
            <w:pPr>
              <w:jc w:val="center"/>
            </w:pPr>
            <w:r>
              <w:rPr>
                <w:rFonts w:ascii="宋体" w:hAnsi="宋体" w:eastAsia="宋体"/>
                <w:sz w:val="16"/>
              </w:rPr>
              <w:t>=9.68万元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9061">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B5647">
            <w:pPr>
              <w:jc w:val="center"/>
            </w:pPr>
          </w:p>
        </w:tc>
      </w:tr>
      <w:tr w14:paraId="56F5D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58F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370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A16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1D38">
            <w:pPr>
              <w:jc w:val="center"/>
            </w:pPr>
            <w:r>
              <w:rPr>
                <w:rFonts w:ascii="宋体" w:hAnsi="宋体" w:eastAsia="宋体"/>
                <w:sz w:val="16"/>
              </w:rPr>
              <w:t>提高抽调人员受益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56E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D6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F3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F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B8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51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C11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E5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4D96">
            <w:pPr>
              <w:jc w:val="center"/>
            </w:pPr>
          </w:p>
        </w:tc>
      </w:tr>
      <w:tr w14:paraId="15D1C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E6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5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1D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4BB8">
            <w:pPr>
              <w:jc w:val="center"/>
            </w:pPr>
            <w:r>
              <w:rPr>
                <w:rFonts w:ascii="宋体" w:hAnsi="宋体" w:eastAsia="宋体"/>
                <w:sz w:val="16"/>
              </w:rPr>
              <w:t>有效提高抽调人员的工作效率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88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D1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E5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9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3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5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91A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0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951A1">
            <w:pPr>
              <w:jc w:val="center"/>
            </w:pPr>
          </w:p>
        </w:tc>
      </w:tr>
      <w:tr w14:paraId="77451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2D7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47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1B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A9A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5F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5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6CC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B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7D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2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DD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94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BC3C7">
            <w:pPr>
              <w:jc w:val="center"/>
            </w:pPr>
          </w:p>
        </w:tc>
      </w:tr>
      <w:tr w14:paraId="0819F5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C8E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3F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C72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861C">
            <w:pPr>
              <w:jc w:val="center"/>
            </w:pPr>
            <w:r>
              <w:rPr>
                <w:rFonts w:ascii="宋体" w:hAnsi="宋体" w:eastAsia="宋体"/>
                <w:sz w:val="16"/>
              </w:rPr>
              <w:t>73.42分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511393"/>
        </w:tc>
      </w:tr>
    </w:tbl>
    <w:p w14:paraId="5FA28AA3">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96"/>
        <w:gridCol w:w="696"/>
        <w:gridCol w:w="606"/>
        <w:gridCol w:w="936"/>
        <w:gridCol w:w="614"/>
        <w:gridCol w:w="606"/>
        <w:gridCol w:w="606"/>
        <w:gridCol w:w="630"/>
        <w:gridCol w:w="630"/>
        <w:gridCol w:w="575"/>
        <w:gridCol w:w="631"/>
      </w:tblGrid>
      <w:tr w14:paraId="6F986B6E">
        <w:tblPrEx>
          <w:tblCellMar>
            <w:top w:w="0" w:type="dxa"/>
            <w:left w:w="108" w:type="dxa"/>
            <w:bottom w:w="0" w:type="dxa"/>
            <w:right w:w="108" w:type="dxa"/>
          </w:tblCellMar>
        </w:tblPrEx>
        <w:tc>
          <w:tcPr>
            <w:tcW w:w="8848" w:type="dxa"/>
            <w:gridSpan w:val="14"/>
            <w:vAlign w:val="center"/>
          </w:tcPr>
          <w:p w14:paraId="05861EDA">
            <w:pPr>
              <w:jc w:val="center"/>
            </w:pPr>
            <w:r>
              <w:rPr>
                <w:rFonts w:ascii="宋体" w:hAnsi="宋体" w:eastAsia="宋体"/>
                <w:sz w:val="24"/>
              </w:rPr>
              <w:t>项目支出绩效自评表</w:t>
            </w:r>
          </w:p>
        </w:tc>
      </w:tr>
      <w:tr w14:paraId="54D209EC">
        <w:tblPrEx>
          <w:tblCellMar>
            <w:top w:w="0" w:type="dxa"/>
            <w:left w:w="108" w:type="dxa"/>
            <w:bottom w:w="0" w:type="dxa"/>
            <w:right w:w="108" w:type="dxa"/>
          </w:tblCellMar>
        </w:tblPrEx>
        <w:tc>
          <w:tcPr>
            <w:tcW w:w="8848" w:type="dxa"/>
            <w:gridSpan w:val="14"/>
            <w:vAlign w:val="center"/>
          </w:tcPr>
          <w:p w14:paraId="24A5F7F1">
            <w:pPr>
              <w:jc w:val="center"/>
            </w:pPr>
            <w:r>
              <w:rPr>
                <w:rFonts w:ascii="宋体" w:hAnsi="宋体" w:eastAsia="宋体"/>
                <w:sz w:val="24"/>
              </w:rPr>
              <w:t>(2024年度)</w:t>
            </w:r>
          </w:p>
        </w:tc>
      </w:tr>
      <w:tr w14:paraId="058D27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2C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B48C38">
            <w:pPr>
              <w:jc w:val="center"/>
            </w:pPr>
            <w:r>
              <w:rPr>
                <w:rFonts w:ascii="宋体" w:hAnsi="宋体" w:eastAsia="宋体"/>
                <w:sz w:val="16"/>
              </w:rPr>
              <w:t>2024年第一书记为民办实事经费（县级）</w:t>
            </w:r>
          </w:p>
        </w:tc>
      </w:tr>
      <w:tr w14:paraId="778A2B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66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EB8CC">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D6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A95C3D">
            <w:pPr>
              <w:jc w:val="center"/>
            </w:pPr>
            <w:r>
              <w:rPr>
                <w:rFonts w:ascii="宋体" w:hAnsi="宋体" w:eastAsia="宋体"/>
                <w:sz w:val="16"/>
              </w:rPr>
              <w:t>阿克陶县统计局</w:t>
            </w:r>
          </w:p>
        </w:tc>
      </w:tr>
      <w:tr w14:paraId="5EBA8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1D1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EEE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42C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F5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9D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AA0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D1A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7120">
            <w:pPr>
              <w:jc w:val="center"/>
            </w:pPr>
            <w:r>
              <w:rPr>
                <w:rFonts w:ascii="宋体" w:hAnsi="宋体" w:eastAsia="宋体"/>
                <w:sz w:val="16"/>
              </w:rPr>
              <w:t>得分</w:t>
            </w:r>
          </w:p>
        </w:tc>
      </w:tr>
      <w:tr w14:paraId="142B4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C5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852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A752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255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9F1A7">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358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29336">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40D2">
            <w:pPr>
              <w:jc w:val="center"/>
            </w:pPr>
            <w:r>
              <w:rPr>
                <w:rFonts w:ascii="宋体" w:hAnsi="宋体" w:eastAsia="宋体"/>
                <w:sz w:val="16"/>
              </w:rPr>
              <w:t>9.88分</w:t>
            </w:r>
          </w:p>
        </w:tc>
      </w:tr>
      <w:tr w14:paraId="057BE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52D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25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2B6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7564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5A70">
            <w:pPr>
              <w:jc w:val="center"/>
            </w:pPr>
            <w:r>
              <w:rPr>
                <w:rFonts w:ascii="宋体" w:hAnsi="宋体" w:eastAsia="宋体"/>
                <w:sz w:val="16"/>
              </w:rPr>
              <w:t>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0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016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4FD2">
            <w:pPr>
              <w:jc w:val="center"/>
            </w:pPr>
            <w:r>
              <w:rPr>
                <w:rFonts w:ascii="宋体" w:hAnsi="宋体" w:eastAsia="宋体"/>
                <w:sz w:val="16"/>
              </w:rPr>
              <w:t>—</w:t>
            </w:r>
          </w:p>
        </w:tc>
      </w:tr>
      <w:tr w14:paraId="5B4A5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9A1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57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3B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46B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919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C2A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E2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8CEA">
            <w:pPr>
              <w:jc w:val="center"/>
            </w:pPr>
            <w:r>
              <w:rPr>
                <w:rFonts w:ascii="宋体" w:hAnsi="宋体" w:eastAsia="宋体"/>
                <w:sz w:val="16"/>
              </w:rPr>
              <w:t>—</w:t>
            </w:r>
          </w:p>
        </w:tc>
      </w:tr>
      <w:tr w14:paraId="3EDCA6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802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EE1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384FA">
            <w:pPr>
              <w:jc w:val="center"/>
            </w:pPr>
            <w:r>
              <w:rPr>
                <w:rFonts w:ascii="宋体" w:hAnsi="宋体" w:eastAsia="宋体"/>
                <w:sz w:val="16"/>
              </w:rPr>
              <w:t>实际完成情况</w:t>
            </w:r>
          </w:p>
        </w:tc>
      </w:tr>
      <w:tr w14:paraId="7093E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FF5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4F61E">
            <w:pPr>
              <w:jc w:val="both"/>
            </w:pPr>
            <w:r>
              <w:rPr>
                <w:rFonts w:ascii="宋体" w:hAnsi="宋体" w:eastAsia="宋体"/>
                <w:sz w:val="16"/>
              </w:rPr>
              <w:t>有效落实维护社会稳定、建强基层组织、做好群众工作、落实惠民政策、扩宽致富门路、推动脱贫攻坚、办好实事好事、壮大党员队伍等任务。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3DBAC8">
            <w:pPr>
              <w:jc w:val="both"/>
            </w:pPr>
            <w:r>
              <w:rPr>
                <w:rFonts w:ascii="宋体" w:hAnsi="宋体" w:eastAsia="宋体"/>
                <w:sz w:val="16"/>
              </w:rPr>
              <w:t>截至2024年12月31日，此项目</w:t>
            </w:r>
            <w:r>
              <w:rPr>
                <w:rFonts w:hint="eastAsia" w:ascii="宋体" w:hAnsi="宋体"/>
                <w:sz w:val="16"/>
                <w:lang w:eastAsia="zh-CN"/>
              </w:rPr>
              <w:t>已</w:t>
            </w:r>
            <w:r>
              <w:rPr>
                <w:rFonts w:ascii="宋体" w:hAnsi="宋体" w:eastAsia="宋体"/>
                <w:sz w:val="16"/>
              </w:rPr>
              <w:t>完整结束，有效落实维护社会稳定、建强基层组织、做好群众工作、落实惠民政策、扩宽致富门路、推动脱贫攻坚、办好实事好事、壮大党员队伍等任务。</w:t>
            </w:r>
          </w:p>
        </w:tc>
      </w:tr>
      <w:tr w14:paraId="5F6DC9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375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B4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0A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8B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87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09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16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542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A6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59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C5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A9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AEC4E">
            <w:pPr>
              <w:jc w:val="center"/>
            </w:pPr>
            <w:r>
              <w:rPr>
                <w:rFonts w:ascii="宋体" w:hAnsi="宋体" w:eastAsia="宋体"/>
                <w:sz w:val="16"/>
              </w:rPr>
              <w:t>偏差原因分析及改进措施</w:t>
            </w:r>
          </w:p>
        </w:tc>
      </w:tr>
      <w:tr w14:paraId="73B7DF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33C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1302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57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5A4A">
            <w:pPr>
              <w:jc w:val="center"/>
            </w:pPr>
            <w:r>
              <w:rPr>
                <w:rFonts w:ascii="宋体" w:hAnsi="宋体" w:eastAsia="宋体"/>
                <w:sz w:val="16"/>
              </w:rPr>
              <w:t>补助</w:t>
            </w:r>
            <w:r>
              <w:rPr>
                <w:rFonts w:hint="eastAsia" w:ascii="宋体" w:hAnsi="宋体"/>
                <w:sz w:val="16"/>
                <w:lang w:eastAsia="zh-CN"/>
              </w:rPr>
              <w:t>为民办实事</w:t>
            </w:r>
            <w:r>
              <w:rPr>
                <w:rFonts w:ascii="宋体" w:hAnsi="宋体" w:eastAsia="宋体"/>
                <w:sz w:val="16"/>
              </w:rPr>
              <w:t>点数量（个）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B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22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33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3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7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8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53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0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E9FEA">
            <w:pPr>
              <w:jc w:val="center"/>
            </w:pPr>
          </w:p>
        </w:tc>
      </w:tr>
      <w:tr w14:paraId="2FE56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4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8C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91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DE7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28E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5C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6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1D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9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8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7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F18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DF56">
            <w:pPr>
              <w:jc w:val="center"/>
            </w:pPr>
          </w:p>
        </w:tc>
      </w:tr>
      <w:tr w14:paraId="39E72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3B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1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47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EB02">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2F0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4C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1E9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16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B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39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87B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935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8696">
            <w:pPr>
              <w:jc w:val="center"/>
            </w:pPr>
          </w:p>
        </w:tc>
      </w:tr>
      <w:tr w14:paraId="4357F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AB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78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10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4B8B">
            <w:pPr>
              <w:jc w:val="center"/>
            </w:pPr>
            <w:r>
              <w:rPr>
                <w:rFonts w:ascii="宋体" w:hAnsi="宋体" w:eastAsia="宋体"/>
                <w:sz w:val="16"/>
              </w:rPr>
              <w:t>工作经费成本（万元）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C63E">
            <w:pPr>
              <w:jc w:val="center"/>
            </w:pPr>
            <w:r>
              <w:rPr>
                <w:rFonts w:ascii="宋体" w:hAnsi="宋体" w:eastAsia="宋体"/>
                <w:sz w:val="16"/>
              </w:rPr>
              <w:t>&gt;=2万元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EB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FD24">
            <w:pPr>
              <w:jc w:val="center"/>
            </w:pPr>
            <w:r>
              <w:rPr>
                <w:rFonts w:ascii="宋体" w:hAnsi="宋体" w:eastAsia="宋体"/>
                <w:sz w:val="16"/>
              </w:rPr>
              <w:t>=19907.55元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E2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6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D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7E14">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9F7A">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0274D">
            <w:pPr>
              <w:jc w:val="center"/>
            </w:pPr>
            <w:r>
              <w:rPr>
                <w:rFonts w:ascii="宋体" w:hAnsi="宋体" w:eastAsia="宋体"/>
                <w:sz w:val="16"/>
              </w:rPr>
              <w:t>偏离0.5%，属于正常范围内浮动。</w:t>
            </w:r>
          </w:p>
        </w:tc>
      </w:tr>
      <w:tr w14:paraId="6E261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FF9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D25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C4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F313">
            <w:pPr>
              <w:jc w:val="center"/>
            </w:pPr>
            <w:r>
              <w:rPr>
                <w:rFonts w:ascii="宋体" w:hAnsi="宋体" w:eastAsia="宋体"/>
                <w:sz w:val="16"/>
              </w:rPr>
              <w:t>提升社会服务能力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C0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DA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EF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E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E5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A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B7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7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5C1FD">
            <w:pPr>
              <w:jc w:val="center"/>
            </w:pPr>
          </w:p>
        </w:tc>
      </w:tr>
      <w:tr w14:paraId="5F668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07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3D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77D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D8AF">
            <w:pPr>
              <w:jc w:val="center"/>
            </w:pPr>
            <w:r>
              <w:rPr>
                <w:rFonts w:ascii="宋体" w:hAnsi="宋体" w:eastAsia="宋体"/>
                <w:sz w:val="16"/>
              </w:rPr>
              <w:t>保障工作队各项事务正常开展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BEA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7D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C6B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F8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0C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C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9F0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2B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02E8">
            <w:pPr>
              <w:jc w:val="center"/>
            </w:pPr>
          </w:p>
        </w:tc>
      </w:tr>
      <w:tr w14:paraId="12D94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24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1F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20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8BF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38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BB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AB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2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FA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0E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7B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6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32CA">
            <w:pPr>
              <w:jc w:val="center"/>
            </w:pPr>
          </w:p>
        </w:tc>
      </w:tr>
      <w:tr w14:paraId="29B2F4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171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5D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253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1291">
            <w:pPr>
              <w:jc w:val="center"/>
            </w:pPr>
            <w:r>
              <w:rPr>
                <w:rFonts w:ascii="宋体" w:hAnsi="宋体" w:eastAsia="宋体"/>
                <w:sz w:val="16"/>
              </w:rPr>
              <w:t>99.63分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C8AC0E"/>
        </w:tc>
      </w:tr>
    </w:tbl>
    <w:p w14:paraId="06DAC073">
      <w:r>
        <w:br w:type="page"/>
      </w:r>
    </w:p>
    <w:p w14:paraId="2801374D">
      <w:pPr>
        <w:spacing w:line="640" w:lineRule="exact"/>
        <w:ind w:firstLine="640"/>
        <w:jc w:val="both"/>
        <w:outlineLvl w:val="2"/>
      </w:pPr>
      <w:r>
        <w:rPr>
          <w:rFonts w:ascii="黑体" w:hAnsi="黑体" w:eastAsia="黑体"/>
          <w:sz w:val="32"/>
        </w:rPr>
        <w:t>十二、其他需说明的事项</w:t>
      </w:r>
    </w:p>
    <w:p w14:paraId="75AD80C7">
      <w:pPr>
        <w:spacing w:line="580" w:lineRule="exact"/>
        <w:ind w:firstLine="640"/>
        <w:jc w:val="both"/>
      </w:pPr>
      <w:r>
        <w:rPr>
          <w:rFonts w:ascii="仿宋_GB2312" w:hAnsi="仿宋_GB2312" w:eastAsia="仿宋_GB2312"/>
          <w:b w:val="0"/>
          <w:sz w:val="32"/>
        </w:rPr>
        <w:t>本单位无其他需说明的事项。</w:t>
      </w:r>
    </w:p>
    <w:p w14:paraId="4E2E4197">
      <w:r>
        <w:br w:type="page"/>
      </w:r>
    </w:p>
    <w:p w14:paraId="68B33AF9">
      <w:pPr>
        <w:spacing w:line="240" w:lineRule="auto"/>
        <w:jc w:val="center"/>
        <w:outlineLvl w:val="1"/>
      </w:pPr>
      <w:r>
        <w:rPr>
          <w:rFonts w:ascii="黑体" w:hAnsi="黑体" w:eastAsia="黑体"/>
          <w:sz w:val="32"/>
        </w:rPr>
        <w:t>第三部分 专业名词解释</w:t>
      </w:r>
    </w:p>
    <w:p w14:paraId="4D337F5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F2F78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0B8E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A638B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6CC0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EB0F5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750815">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652CA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C698C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018F2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6E203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736C0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3A7CA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5978E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A290F7">
      <w:r>
        <w:br w:type="page"/>
      </w:r>
    </w:p>
    <w:p w14:paraId="3695C506">
      <w:pPr>
        <w:spacing w:line="240" w:lineRule="auto"/>
        <w:jc w:val="center"/>
        <w:outlineLvl w:val="1"/>
      </w:pPr>
      <w:r>
        <w:rPr>
          <w:rFonts w:ascii="黑体" w:hAnsi="黑体" w:eastAsia="黑体"/>
          <w:sz w:val="32"/>
        </w:rPr>
        <w:t>第四部分 部门决算报表（见附表）</w:t>
      </w:r>
    </w:p>
    <w:p w14:paraId="4E371FE3">
      <w:pPr>
        <w:spacing w:line="240" w:lineRule="auto"/>
        <w:ind w:firstLine="640"/>
        <w:jc w:val="both"/>
      </w:pPr>
      <w:r>
        <w:rPr>
          <w:rFonts w:ascii="仿宋_GB2312" w:hAnsi="仿宋_GB2312" w:eastAsia="仿宋_GB2312"/>
          <w:b w:val="0"/>
          <w:sz w:val="32"/>
        </w:rPr>
        <w:t>一、《收入支出决算总表》</w:t>
      </w:r>
    </w:p>
    <w:p w14:paraId="1A815A2B">
      <w:pPr>
        <w:spacing w:line="240" w:lineRule="auto"/>
        <w:ind w:firstLine="640"/>
        <w:jc w:val="both"/>
      </w:pPr>
      <w:r>
        <w:rPr>
          <w:rFonts w:ascii="仿宋_GB2312" w:hAnsi="仿宋_GB2312" w:eastAsia="仿宋_GB2312"/>
          <w:b w:val="0"/>
          <w:sz w:val="32"/>
        </w:rPr>
        <w:t>二、《收入决算表》</w:t>
      </w:r>
    </w:p>
    <w:p w14:paraId="5B561A64">
      <w:pPr>
        <w:spacing w:line="240" w:lineRule="auto"/>
        <w:ind w:firstLine="640"/>
        <w:jc w:val="both"/>
      </w:pPr>
      <w:r>
        <w:rPr>
          <w:rFonts w:ascii="仿宋_GB2312" w:hAnsi="仿宋_GB2312" w:eastAsia="仿宋_GB2312"/>
          <w:b w:val="0"/>
          <w:sz w:val="32"/>
        </w:rPr>
        <w:t>三、《支出决算表》</w:t>
      </w:r>
    </w:p>
    <w:p w14:paraId="24B23A86">
      <w:pPr>
        <w:spacing w:line="240" w:lineRule="auto"/>
        <w:ind w:firstLine="640"/>
        <w:jc w:val="both"/>
      </w:pPr>
      <w:r>
        <w:rPr>
          <w:rFonts w:ascii="仿宋_GB2312" w:hAnsi="仿宋_GB2312" w:eastAsia="仿宋_GB2312"/>
          <w:b w:val="0"/>
          <w:sz w:val="32"/>
        </w:rPr>
        <w:t>四、《财政拨款收入支出决算总表》</w:t>
      </w:r>
    </w:p>
    <w:p w14:paraId="19AEE845">
      <w:pPr>
        <w:spacing w:line="240" w:lineRule="auto"/>
        <w:ind w:firstLine="640"/>
        <w:jc w:val="both"/>
      </w:pPr>
      <w:r>
        <w:rPr>
          <w:rFonts w:ascii="仿宋_GB2312" w:hAnsi="仿宋_GB2312" w:eastAsia="仿宋_GB2312"/>
          <w:b w:val="0"/>
          <w:sz w:val="32"/>
        </w:rPr>
        <w:t>五、《一般公共预算财政拨款支出决算表》</w:t>
      </w:r>
    </w:p>
    <w:p w14:paraId="66C673D4">
      <w:pPr>
        <w:spacing w:line="240" w:lineRule="auto"/>
        <w:ind w:firstLine="640"/>
        <w:jc w:val="both"/>
      </w:pPr>
      <w:r>
        <w:rPr>
          <w:rFonts w:ascii="仿宋_GB2312" w:hAnsi="仿宋_GB2312" w:eastAsia="仿宋_GB2312"/>
          <w:b w:val="0"/>
          <w:sz w:val="32"/>
        </w:rPr>
        <w:t>六、《一般公共预算财政拨款基本支出决算表》</w:t>
      </w:r>
    </w:p>
    <w:p w14:paraId="4997D468">
      <w:pPr>
        <w:spacing w:line="240" w:lineRule="auto"/>
        <w:ind w:firstLine="640"/>
        <w:jc w:val="both"/>
      </w:pPr>
      <w:r>
        <w:rPr>
          <w:rFonts w:ascii="仿宋_GB2312" w:hAnsi="仿宋_GB2312" w:eastAsia="仿宋_GB2312"/>
          <w:b w:val="0"/>
          <w:sz w:val="32"/>
        </w:rPr>
        <w:t>七、《政府性基金预算财政拨款收入支出决算表》</w:t>
      </w:r>
    </w:p>
    <w:p w14:paraId="2004D84E">
      <w:pPr>
        <w:spacing w:line="240" w:lineRule="auto"/>
        <w:ind w:firstLine="640"/>
        <w:jc w:val="both"/>
      </w:pPr>
      <w:r>
        <w:rPr>
          <w:rFonts w:ascii="仿宋_GB2312" w:hAnsi="仿宋_GB2312" w:eastAsia="仿宋_GB2312"/>
          <w:b w:val="0"/>
          <w:sz w:val="32"/>
        </w:rPr>
        <w:t>八、《国有资本经营预算财政拨款收入支出决算表》</w:t>
      </w:r>
    </w:p>
    <w:p w14:paraId="20B673B1">
      <w:pPr>
        <w:spacing w:line="240" w:lineRule="auto"/>
        <w:ind w:firstLine="640"/>
        <w:jc w:val="both"/>
      </w:pPr>
      <w:r>
        <w:rPr>
          <w:rFonts w:ascii="仿宋_GB2312" w:hAnsi="仿宋_GB2312" w:eastAsia="仿宋_GB2312"/>
          <w:b w:val="0"/>
          <w:sz w:val="32"/>
        </w:rPr>
        <w:t>九、《财政拨款“三公”经费支出决算表》</w:t>
      </w:r>
    </w:p>
    <w:p w14:paraId="008B50FE">
      <w:pPr>
        <w:spacing w:line="240" w:lineRule="auto"/>
        <w:ind w:firstLine="640"/>
        <w:jc w:val="both"/>
      </w:pPr>
    </w:p>
    <w:p w14:paraId="54E32156">
      <w:pPr>
        <w:spacing w:line="240" w:lineRule="auto"/>
        <w:ind w:firstLine="640"/>
        <w:jc w:val="both"/>
      </w:pPr>
    </w:p>
    <w:p w14:paraId="1C496397">
      <w:pPr>
        <w:spacing w:line="240" w:lineRule="auto"/>
        <w:ind w:firstLine="640"/>
        <w:jc w:val="both"/>
      </w:pPr>
    </w:p>
    <w:p w14:paraId="7A586157">
      <w:pPr>
        <w:spacing w:line="240" w:lineRule="auto"/>
        <w:ind w:firstLine="640"/>
        <w:jc w:val="both"/>
      </w:pPr>
    </w:p>
    <w:p w14:paraId="1B9E9A2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E65F7E-D7EF-46CD-8178-48BCFDAA29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FE6461D-5F99-4A2C-B41B-A8F382243ACF}"/>
  </w:font>
  <w:font w:name="仿宋_GB2312">
    <w:altName w:val="仿宋"/>
    <w:panose1 w:val="02010609030101010101"/>
    <w:charset w:val="86"/>
    <w:family w:val="modern"/>
    <w:pitch w:val="default"/>
    <w:sig w:usb0="00000000" w:usb1="00000000" w:usb2="00000000" w:usb3="00000000" w:csb0="00040000" w:csb1="00000000"/>
    <w:embedRegular r:id="rId3" w:fontKey="{0FA1941B-AD4C-4815-8DBF-0EE113EABE00}"/>
  </w:font>
  <w:font w:name="楷体_GB2312">
    <w:altName w:val="楷体"/>
    <w:panose1 w:val="02010609030101010101"/>
    <w:charset w:val="86"/>
    <w:family w:val="auto"/>
    <w:pitch w:val="default"/>
    <w:sig w:usb0="00000000" w:usb1="00000000" w:usb2="00000000" w:usb3="00000000" w:csb0="00040000" w:csb1="00000000"/>
    <w:embedRegular r:id="rId4" w:fontKey="{5987450F-8933-4C92-92D1-E8D00DB64FA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C06D6A"/>
    <w:rsid w:val="73DE4104"/>
    <w:rsid w:val="73FB6630"/>
    <w:rsid w:val="74CE04EC"/>
    <w:rsid w:val="74E76DCD"/>
    <w:rsid w:val="76660D7C"/>
    <w:rsid w:val="76FB5A5A"/>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6269</Words>
  <Characters>7123</Characters>
  <Lines>0</Lines>
  <Paragraphs>0</Paragraphs>
  <TotalTime>4</TotalTime>
  <ScaleCrop>false</ScaleCrop>
  <LinksUpToDate>false</LinksUpToDate>
  <CharactersWithSpaces>7131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