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E05DEE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阿克陶县向日葵幼儿园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FCD2B5">
      <w:r>
        <w:br w:type="page"/>
      </w:r>
    </w:p>
    <w:p w14:paraId="77EEE5BE">
      <w:pPr>
        <w:spacing w:line="640" w:lineRule="exact"/>
        <w:jc w:val="center"/>
        <w:outlineLvl w:val="1"/>
      </w:pPr>
      <w:r>
        <w:rPr>
          <w:rFonts w:ascii="黑体" w:hAnsi="黑体" w:eastAsia="黑体"/>
          <w:sz w:val="32"/>
        </w:rPr>
        <w:t>第一部分 单位概况</w:t>
      </w:r>
    </w:p>
    <w:p w14:paraId="309F1947">
      <w:pPr>
        <w:spacing w:line="640" w:lineRule="exact"/>
        <w:ind w:firstLine="640"/>
        <w:jc w:val="both"/>
        <w:outlineLvl w:val="2"/>
      </w:pPr>
      <w:r>
        <w:rPr>
          <w:rFonts w:ascii="黑体" w:hAnsi="黑体" w:eastAsia="黑体"/>
          <w:sz w:val="32"/>
        </w:rPr>
        <w:t>一、主要职能</w:t>
      </w:r>
    </w:p>
    <w:p w14:paraId="337150E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51B611E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36A29EC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14B1CC9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5AC03A3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15F600E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76A06A75">
      <w:pPr>
        <w:spacing w:line="640" w:lineRule="exact"/>
        <w:ind w:firstLine="640"/>
        <w:jc w:val="both"/>
        <w:outlineLvl w:val="2"/>
      </w:pPr>
      <w:r>
        <w:rPr>
          <w:rFonts w:ascii="黑体" w:hAnsi="黑体" w:eastAsia="黑体"/>
          <w:sz w:val="32"/>
        </w:rPr>
        <w:t>二、机构设置及人员情况</w:t>
      </w:r>
    </w:p>
    <w:p w14:paraId="5BC26DE5">
      <w:pPr>
        <w:spacing w:line="580" w:lineRule="exact"/>
        <w:ind w:firstLine="640"/>
        <w:jc w:val="both"/>
      </w:pPr>
      <w:r>
        <w:rPr>
          <w:rFonts w:ascii="仿宋_GB2312" w:hAnsi="仿宋_GB2312" w:eastAsia="仿宋_GB2312"/>
          <w:sz w:val="32"/>
        </w:rPr>
        <w:t>阿克陶县向日葵幼儿园2024年度，实有人数56人，其中：在职人员56人，减少3人；离休人员0人，增加0人；退休人员0人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67404FBE">
      <w:pPr>
        <w:spacing w:line="580" w:lineRule="exact"/>
        <w:ind w:firstLine="640"/>
        <w:jc w:val="both"/>
      </w:pPr>
      <w:r>
        <w:rPr>
          <w:rFonts w:ascii="仿宋_GB2312" w:hAnsi="仿宋_GB2312" w:eastAsia="仿宋_GB2312"/>
          <w:sz w:val="32"/>
        </w:rPr>
        <w:t>阿克陶县向日葵幼儿园无下属预算单位，下设6个科室，分别是：党建办、书记办公室、园长办公室、教务处、财务室、活动室。</w:t>
      </w:r>
    </w:p>
    <w:p w14:paraId="59413000">
      <w:r>
        <w:br w:type="page"/>
      </w:r>
    </w:p>
    <w:p w14:paraId="2626344D">
      <w:pPr>
        <w:spacing w:line="240" w:lineRule="auto"/>
        <w:jc w:val="center"/>
        <w:outlineLvl w:val="1"/>
      </w:pPr>
      <w:r>
        <w:rPr>
          <w:rFonts w:ascii="黑体" w:hAnsi="黑体" w:eastAsia="黑体"/>
          <w:sz w:val="32"/>
        </w:rPr>
        <w:t>第二部分 部门决算情况说明</w:t>
      </w:r>
    </w:p>
    <w:p w14:paraId="22DCDA3C">
      <w:pPr>
        <w:spacing w:line="640" w:lineRule="exact"/>
        <w:ind w:firstLine="640"/>
        <w:jc w:val="both"/>
        <w:outlineLvl w:val="2"/>
      </w:pPr>
      <w:r>
        <w:rPr>
          <w:rFonts w:ascii="黑体" w:hAnsi="黑体" w:eastAsia="黑体"/>
          <w:sz w:val="32"/>
        </w:rPr>
        <w:t>一、收入支出决算总体情况说明</w:t>
      </w:r>
    </w:p>
    <w:p w14:paraId="4551FFFC">
      <w:pPr>
        <w:spacing w:line="580" w:lineRule="exact"/>
        <w:ind w:firstLine="640"/>
        <w:jc w:val="both"/>
      </w:pPr>
      <w:r>
        <w:rPr>
          <w:rFonts w:ascii="仿宋_GB2312" w:hAnsi="仿宋_GB2312" w:eastAsia="仿宋_GB2312"/>
          <w:b/>
          <w:sz w:val="32"/>
        </w:rPr>
        <w:t>2024年度收入总计1,268.30万元，</w:t>
      </w:r>
      <w:r>
        <w:rPr>
          <w:rFonts w:ascii="仿宋_GB2312" w:hAnsi="仿宋_GB2312" w:eastAsia="仿宋_GB2312"/>
          <w:b w:val="0"/>
          <w:sz w:val="32"/>
        </w:rPr>
        <w:t>其中：本年收入合计1,262.63万元，使用非财政拨款结余（含专用结余）0.00万元，年初结转和结余5.67万元。</w:t>
      </w:r>
    </w:p>
    <w:p w14:paraId="3CE664A3">
      <w:pPr>
        <w:spacing w:line="580" w:lineRule="exact"/>
        <w:ind w:firstLine="640"/>
        <w:jc w:val="both"/>
      </w:pPr>
      <w:r>
        <w:rPr>
          <w:rFonts w:ascii="仿宋_GB2312" w:hAnsi="仿宋_GB2312" w:eastAsia="仿宋_GB2312"/>
          <w:b/>
          <w:sz w:val="32"/>
        </w:rPr>
        <w:t>2024年度支出总计1,268.30万元，</w:t>
      </w:r>
      <w:r>
        <w:rPr>
          <w:rFonts w:ascii="仿宋_GB2312" w:hAnsi="仿宋_GB2312" w:eastAsia="仿宋_GB2312"/>
          <w:b w:val="0"/>
          <w:sz w:val="32"/>
        </w:rPr>
        <w:t>其中：本年支出合计1,267.88万元，结余分配0.00万元，年末结转和结余0.42万元。</w:t>
      </w:r>
    </w:p>
    <w:p w14:paraId="10E2F719">
      <w:pPr>
        <w:spacing w:line="580" w:lineRule="exact"/>
        <w:ind w:firstLine="640"/>
        <w:jc w:val="both"/>
      </w:pPr>
      <w:r>
        <w:rPr>
          <w:rFonts w:ascii="仿宋_GB2312" w:hAnsi="仿宋_GB2312" w:eastAsia="仿宋_GB2312"/>
          <w:b w:val="0"/>
          <w:sz w:val="32"/>
        </w:rPr>
        <w:t>收入支出总体与上年相比，减少10.94万元，下降0.86%，主要原因是：本年在职人员减少，相关人员经费较上年减少。本年单位取暖经费较上年减少。</w:t>
      </w:r>
    </w:p>
    <w:p w14:paraId="2DD0EB41">
      <w:pPr>
        <w:spacing w:line="640" w:lineRule="exact"/>
        <w:ind w:firstLine="640"/>
        <w:jc w:val="both"/>
        <w:outlineLvl w:val="2"/>
      </w:pPr>
      <w:r>
        <w:rPr>
          <w:rFonts w:ascii="黑体" w:hAnsi="黑体" w:eastAsia="黑体"/>
          <w:sz w:val="32"/>
        </w:rPr>
        <w:t>二、收入决算情况说明</w:t>
      </w:r>
    </w:p>
    <w:p w14:paraId="64A40604">
      <w:pPr>
        <w:spacing w:line="580" w:lineRule="exact"/>
        <w:ind w:firstLine="640"/>
        <w:jc w:val="both"/>
      </w:pPr>
      <w:r>
        <w:rPr>
          <w:rFonts w:ascii="仿宋_GB2312" w:hAnsi="仿宋_GB2312" w:eastAsia="仿宋_GB2312"/>
          <w:b/>
          <w:sz w:val="32"/>
        </w:rPr>
        <w:t>本年收入1,262.63万元，</w:t>
      </w:r>
      <w:r>
        <w:rPr>
          <w:rFonts w:ascii="仿宋_GB2312" w:hAnsi="仿宋_GB2312" w:eastAsia="仿宋_GB2312"/>
          <w:b w:val="0"/>
          <w:sz w:val="32"/>
        </w:rPr>
        <w:t>其中：财政拨款收入1,262.63万元，占100.00%；上级补助收入0.00万元，占0.00%；事业收入0.00万元，占0.00%；经营收入0.00万元，占0.00%；附属单位上缴收入0.00万元，占0.00%；其他收入0.00万元，占0.00%。</w:t>
      </w:r>
    </w:p>
    <w:p w14:paraId="24BD60CF">
      <w:pPr>
        <w:spacing w:line="640" w:lineRule="exact"/>
        <w:ind w:firstLine="640"/>
        <w:jc w:val="both"/>
        <w:outlineLvl w:val="2"/>
      </w:pPr>
      <w:r>
        <w:rPr>
          <w:rFonts w:ascii="黑体" w:hAnsi="黑体" w:eastAsia="黑体"/>
          <w:sz w:val="32"/>
        </w:rPr>
        <w:t>三、支出决算情况说明</w:t>
      </w:r>
    </w:p>
    <w:p w14:paraId="081EC0C2">
      <w:pPr>
        <w:spacing w:line="580" w:lineRule="exact"/>
        <w:ind w:firstLine="640"/>
        <w:jc w:val="both"/>
      </w:pPr>
      <w:r>
        <w:rPr>
          <w:rFonts w:ascii="仿宋_GB2312" w:hAnsi="仿宋_GB2312" w:eastAsia="仿宋_GB2312"/>
          <w:b/>
          <w:sz w:val="32"/>
        </w:rPr>
        <w:t>本年支出1,267.88万元，</w:t>
      </w:r>
      <w:r>
        <w:rPr>
          <w:rFonts w:ascii="仿宋_GB2312" w:hAnsi="仿宋_GB2312" w:eastAsia="仿宋_GB2312"/>
          <w:b w:val="0"/>
          <w:sz w:val="32"/>
        </w:rPr>
        <w:t>其中：基本支出1,178.64万元，占92.96%；项目支出89.24万元，占7.04%；上缴上级支出0.00万元，占0.00%；经营支出0.00万元，占0.00%；对附属单位补助支出0.00万元，占0.00%。</w:t>
      </w:r>
    </w:p>
    <w:p w14:paraId="5F5FB8FD">
      <w:pPr>
        <w:spacing w:line="640" w:lineRule="exact"/>
        <w:ind w:firstLine="640"/>
        <w:jc w:val="both"/>
        <w:outlineLvl w:val="2"/>
      </w:pPr>
      <w:r>
        <w:rPr>
          <w:rFonts w:ascii="黑体" w:hAnsi="黑体" w:eastAsia="黑体"/>
          <w:sz w:val="32"/>
        </w:rPr>
        <w:t>四、财政拨款收入支出决算总体情况说明</w:t>
      </w:r>
    </w:p>
    <w:p w14:paraId="3FE83711">
      <w:pPr>
        <w:spacing w:line="580" w:lineRule="exact"/>
        <w:ind w:firstLine="640"/>
        <w:jc w:val="both"/>
      </w:pPr>
      <w:r>
        <w:rPr>
          <w:rFonts w:ascii="仿宋_GB2312" w:hAnsi="仿宋_GB2312" w:eastAsia="仿宋_GB2312"/>
          <w:b/>
          <w:sz w:val="32"/>
        </w:rPr>
        <w:t>2024年度财政拨款收入总计1,263.05万元，</w:t>
      </w:r>
      <w:r>
        <w:rPr>
          <w:rFonts w:ascii="仿宋_GB2312" w:hAnsi="仿宋_GB2312" w:eastAsia="仿宋_GB2312"/>
          <w:b w:val="0"/>
          <w:sz w:val="32"/>
        </w:rPr>
        <w:t>其中：年初财政拨款结转和结余0.42万元，本年财政拨款收入1,262.63万元。</w:t>
      </w:r>
      <w:r>
        <w:rPr>
          <w:rFonts w:ascii="仿宋_GB2312" w:hAnsi="仿宋_GB2312" w:eastAsia="仿宋_GB2312"/>
          <w:b/>
          <w:sz w:val="32"/>
        </w:rPr>
        <w:t>财政拨款支出总计1,263.05万元，</w:t>
      </w:r>
      <w:r>
        <w:rPr>
          <w:rFonts w:ascii="仿宋_GB2312" w:hAnsi="仿宋_GB2312" w:eastAsia="仿宋_GB2312"/>
          <w:b w:val="0"/>
          <w:sz w:val="32"/>
        </w:rPr>
        <w:t>其中：年末财政拨款结转和结余0.42万元，本年财政拨款支出1,262.63万元。</w:t>
      </w:r>
    </w:p>
    <w:p w14:paraId="77EEE3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减少9.77万元，下降0.77%，主要原因是：本年在职人员减少，相关人员经费较上年减少。本年单位取暖经费较上年减少。</w:t>
      </w:r>
      <w:r>
        <w:rPr>
          <w:rFonts w:ascii="仿宋_GB2312" w:hAnsi="仿宋_GB2312" w:eastAsia="仿宋_GB2312"/>
          <w:b/>
          <w:sz w:val="32"/>
        </w:rPr>
        <w:t>与年初预算相比，</w:t>
      </w:r>
      <w:r>
        <w:rPr>
          <w:rFonts w:ascii="仿宋_GB2312" w:hAnsi="仿宋_GB2312" w:eastAsia="仿宋_GB2312"/>
          <w:b w:val="0"/>
          <w:sz w:val="32"/>
        </w:rPr>
        <w:t>年初预算数1,231.59万元，决算数1,263.05万元，预决算差异率2.55%，主要原因是：年中追加人员工资、社保、公积金基数调增部分资金，导致预决算存在差异。</w:t>
      </w:r>
    </w:p>
    <w:p w14:paraId="77DEA9A5">
      <w:pPr>
        <w:spacing w:line="640" w:lineRule="exact"/>
        <w:ind w:firstLine="640"/>
        <w:jc w:val="both"/>
        <w:outlineLvl w:val="2"/>
      </w:pPr>
      <w:r>
        <w:rPr>
          <w:rFonts w:ascii="黑体" w:hAnsi="黑体" w:eastAsia="黑体"/>
          <w:sz w:val="32"/>
        </w:rPr>
        <w:t>五、一般公共预算财政拨款支出决算情况说明</w:t>
      </w:r>
    </w:p>
    <w:p w14:paraId="69B62366">
      <w:pPr>
        <w:spacing w:line="640" w:lineRule="exact"/>
        <w:ind w:firstLine="640"/>
        <w:jc w:val="both"/>
        <w:outlineLvl w:val="3"/>
      </w:pPr>
      <w:r>
        <w:rPr>
          <w:rFonts w:ascii="楷体_GB2312" w:hAnsi="楷体_GB2312" w:eastAsia="楷体_GB2312"/>
          <w:b/>
          <w:sz w:val="32"/>
        </w:rPr>
        <w:t>（一）一般公共预算财政拨款支出决算总体情况</w:t>
      </w:r>
    </w:p>
    <w:p w14:paraId="07291FC5">
      <w:pPr>
        <w:spacing w:line="580" w:lineRule="exact"/>
        <w:ind w:firstLine="640"/>
        <w:jc w:val="both"/>
      </w:pPr>
      <w:r>
        <w:rPr>
          <w:rFonts w:ascii="仿宋_GB2312" w:hAnsi="仿宋_GB2312" w:eastAsia="仿宋_GB2312"/>
          <w:b/>
          <w:sz w:val="32"/>
        </w:rPr>
        <w:t>2024年度一般公共预算财政拨款支出1,262.63万元，</w:t>
      </w:r>
      <w:r>
        <w:rPr>
          <w:rFonts w:ascii="仿宋_GB2312" w:hAnsi="仿宋_GB2312" w:eastAsia="仿宋_GB2312"/>
          <w:b w:val="0"/>
          <w:sz w:val="32"/>
        </w:rPr>
        <w:t>占本年支出合计的99.59%。</w:t>
      </w:r>
      <w:r>
        <w:rPr>
          <w:rFonts w:ascii="仿宋_GB2312" w:hAnsi="仿宋_GB2312" w:eastAsia="仿宋_GB2312"/>
          <w:b/>
          <w:sz w:val="32"/>
        </w:rPr>
        <w:t>与上年相比，</w:t>
      </w:r>
      <w:r>
        <w:rPr>
          <w:rFonts w:ascii="仿宋_GB2312" w:hAnsi="仿宋_GB2312" w:eastAsia="仿宋_GB2312"/>
          <w:b w:val="0"/>
          <w:sz w:val="32"/>
        </w:rPr>
        <w:t>减少9.77万元，下降0.77%，主要原因是：本年在职人员减少，相关人员经费较上年减少。本年单位取暖经费较上年减少。</w:t>
      </w:r>
      <w:r>
        <w:rPr>
          <w:rFonts w:ascii="仿宋_GB2312" w:hAnsi="仿宋_GB2312" w:eastAsia="仿宋_GB2312"/>
          <w:b/>
          <w:sz w:val="32"/>
        </w:rPr>
        <w:t>与年初预算相比,</w:t>
      </w:r>
      <w:r>
        <w:rPr>
          <w:rFonts w:ascii="仿宋_GB2312" w:hAnsi="仿宋_GB2312" w:eastAsia="仿宋_GB2312"/>
          <w:b w:val="0"/>
          <w:sz w:val="32"/>
        </w:rPr>
        <w:t>年初预算数1,231.59万元，决算数1,262.63万元，预决算差异率2.52%，主要原因是：年中追加人员工资、社保、公积金基数调增部分资金，导致预决算存在差异。</w:t>
      </w:r>
    </w:p>
    <w:p w14:paraId="6C49D55E">
      <w:pPr>
        <w:spacing w:line="640" w:lineRule="exact"/>
        <w:ind w:firstLine="640"/>
        <w:jc w:val="both"/>
        <w:outlineLvl w:val="3"/>
      </w:pPr>
      <w:r>
        <w:rPr>
          <w:rFonts w:ascii="楷体_GB2312" w:hAnsi="楷体_GB2312" w:eastAsia="楷体_GB2312"/>
          <w:b/>
          <w:sz w:val="32"/>
        </w:rPr>
        <w:t>（二）一般公共预算财政拨款支出决算结构情况</w:t>
      </w:r>
    </w:p>
    <w:p w14:paraId="3D6CB5A3">
      <w:pPr>
        <w:spacing w:line="580" w:lineRule="exact"/>
        <w:ind w:firstLine="640"/>
        <w:jc w:val="both"/>
      </w:pPr>
      <w:r>
        <w:rPr>
          <w:rFonts w:ascii="仿宋_GB2312" w:hAnsi="仿宋_GB2312" w:eastAsia="仿宋_GB2312"/>
          <w:b w:val="0"/>
          <w:sz w:val="32"/>
        </w:rPr>
        <w:t>1.教育支出(类)1,262.63万元,占100.00%。</w:t>
      </w:r>
    </w:p>
    <w:p w14:paraId="0EA88953">
      <w:pPr>
        <w:spacing w:line="640" w:lineRule="exact"/>
        <w:ind w:firstLine="640"/>
        <w:jc w:val="both"/>
        <w:outlineLvl w:val="3"/>
      </w:pPr>
      <w:r>
        <w:rPr>
          <w:rFonts w:ascii="楷体_GB2312" w:hAnsi="楷体_GB2312" w:eastAsia="楷体_GB2312"/>
          <w:b/>
          <w:sz w:val="32"/>
        </w:rPr>
        <w:t>（三）一般公共预算财政拨款支出决算具体情况</w:t>
      </w:r>
    </w:p>
    <w:p w14:paraId="77843871">
      <w:pPr>
        <w:spacing w:line="580" w:lineRule="exact"/>
        <w:ind w:firstLine="640"/>
        <w:jc w:val="both"/>
      </w:pPr>
      <w:r>
        <w:rPr>
          <w:rFonts w:ascii="仿宋_GB2312" w:hAnsi="仿宋_GB2312" w:eastAsia="仿宋_GB2312"/>
          <w:b w:val="0"/>
          <w:sz w:val="32"/>
        </w:rPr>
        <w:t>1.教育支出(类)普通教育(款)学前教育(项):支出决算数为1,262.63万元，比上年决算增加100.92万元，增长8.69%,主要原因是：本年功能科目调整，养老保险缴费上年度单独列支，本年调整至主科目列支，导致经费较上年增加。</w:t>
      </w:r>
    </w:p>
    <w:p w14:paraId="7414F84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110.69万元，下降100.00%,主要原因是：本年功能科目调整，养老保险缴费上年度单独列支，本年调整至主科目列支，导致经费较上年减少。</w:t>
      </w:r>
    </w:p>
    <w:p w14:paraId="4F7E7BA6">
      <w:pPr>
        <w:spacing w:line="640" w:lineRule="exact"/>
        <w:ind w:firstLine="640"/>
        <w:jc w:val="both"/>
        <w:outlineLvl w:val="2"/>
      </w:pPr>
      <w:r>
        <w:rPr>
          <w:rFonts w:ascii="黑体" w:hAnsi="黑体" w:eastAsia="黑体"/>
          <w:sz w:val="32"/>
        </w:rPr>
        <w:t>六、一般公共预算财政拨款基本支出决算情况说明</w:t>
      </w:r>
    </w:p>
    <w:p w14:paraId="3F35B347">
      <w:pPr>
        <w:spacing w:line="580" w:lineRule="exact"/>
        <w:ind w:firstLine="640"/>
        <w:jc w:val="both"/>
      </w:pPr>
      <w:r>
        <w:rPr>
          <w:rFonts w:ascii="仿宋_GB2312" w:hAnsi="仿宋_GB2312" w:eastAsia="仿宋_GB2312"/>
          <w:b w:val="0"/>
          <w:sz w:val="32"/>
        </w:rPr>
        <w:t>2024年度一般公共预算财政拨款基本支出1,178.64万元，其中：</w:t>
      </w:r>
      <w:r>
        <w:rPr>
          <w:rFonts w:ascii="仿宋_GB2312" w:hAnsi="仿宋_GB2312" w:eastAsia="仿宋_GB2312"/>
          <w:b/>
          <w:sz w:val="32"/>
        </w:rPr>
        <w:t>人员经费1,174.98万元，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w:t>
      </w:r>
    </w:p>
    <w:p w14:paraId="3FECB91F">
      <w:pPr>
        <w:spacing w:line="580" w:lineRule="exact"/>
        <w:ind w:firstLine="640"/>
        <w:jc w:val="both"/>
      </w:pPr>
      <w:r>
        <w:rPr>
          <w:rFonts w:ascii="仿宋_GB2312" w:hAnsi="仿宋_GB2312" w:eastAsia="仿宋_GB2312"/>
          <w:b/>
          <w:sz w:val="32"/>
        </w:rPr>
        <w:t>公用经费3.66万元，</w:t>
      </w:r>
      <w:r>
        <w:rPr>
          <w:rFonts w:ascii="仿宋_GB2312" w:hAnsi="仿宋_GB2312" w:eastAsia="仿宋_GB2312"/>
          <w:b w:val="0"/>
          <w:sz w:val="32"/>
        </w:rPr>
        <w:t>包括：取暖费。</w:t>
      </w:r>
    </w:p>
    <w:p w14:paraId="3CCBA1EA">
      <w:pPr>
        <w:spacing w:line="640" w:lineRule="exact"/>
        <w:ind w:firstLine="640"/>
        <w:jc w:val="both"/>
        <w:outlineLvl w:val="2"/>
      </w:pPr>
      <w:r>
        <w:rPr>
          <w:rFonts w:ascii="黑体" w:hAnsi="黑体" w:eastAsia="黑体"/>
          <w:sz w:val="32"/>
        </w:rPr>
        <w:t>七、政府性基金预算财政拨款收入支出决算情况说明</w:t>
      </w:r>
    </w:p>
    <w:p w14:paraId="600F0EE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61BACE5">
      <w:pPr>
        <w:spacing w:line="640" w:lineRule="exact"/>
        <w:ind w:firstLine="640"/>
        <w:jc w:val="both"/>
        <w:outlineLvl w:val="2"/>
      </w:pPr>
      <w:r>
        <w:rPr>
          <w:rFonts w:ascii="黑体" w:hAnsi="黑体" w:eastAsia="黑体"/>
          <w:sz w:val="32"/>
        </w:rPr>
        <w:t>八、国有资本经营预算财政拨款收入支出决算情况说明</w:t>
      </w:r>
    </w:p>
    <w:p w14:paraId="640D37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8916BF7">
      <w:pPr>
        <w:spacing w:line="640" w:lineRule="exact"/>
        <w:ind w:firstLine="640"/>
        <w:jc w:val="both"/>
        <w:outlineLvl w:val="2"/>
      </w:pPr>
      <w:r>
        <w:rPr>
          <w:rFonts w:ascii="黑体" w:hAnsi="黑体" w:eastAsia="黑体"/>
          <w:sz w:val="32"/>
        </w:rPr>
        <w:t>九、财政拨款“三公”经费支出决算情况说明</w:t>
      </w:r>
    </w:p>
    <w:p w14:paraId="14F296C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6EE450F">
      <w:pPr>
        <w:spacing w:line="580" w:lineRule="exact"/>
        <w:ind w:firstLine="640"/>
        <w:jc w:val="both"/>
      </w:pPr>
      <w:r>
        <w:rPr>
          <w:rFonts w:ascii="仿宋_GB2312" w:hAnsi="仿宋_GB2312" w:eastAsia="仿宋_GB2312"/>
          <w:b/>
          <w:sz w:val="32"/>
        </w:rPr>
        <w:t>具体情况如下：</w:t>
      </w:r>
    </w:p>
    <w:p w14:paraId="20B7E59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ADF236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1B1F69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984FA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EB82C6D">
      <w:pPr>
        <w:spacing w:line="640" w:lineRule="exact"/>
        <w:ind w:firstLine="640"/>
        <w:jc w:val="both"/>
        <w:outlineLvl w:val="2"/>
      </w:pPr>
      <w:r>
        <w:rPr>
          <w:rFonts w:ascii="黑体" w:hAnsi="黑体" w:eastAsia="黑体"/>
          <w:sz w:val="32"/>
        </w:rPr>
        <w:t>十、其他重要事项的情况说明</w:t>
      </w:r>
    </w:p>
    <w:p w14:paraId="58480DAD">
      <w:pPr>
        <w:spacing w:line="640" w:lineRule="exact"/>
        <w:ind w:firstLine="640"/>
        <w:jc w:val="both"/>
        <w:outlineLvl w:val="3"/>
      </w:pPr>
      <w:r>
        <w:rPr>
          <w:rFonts w:ascii="楷体_GB2312" w:hAnsi="楷体_GB2312" w:eastAsia="楷体_GB2312"/>
          <w:b/>
          <w:sz w:val="32"/>
        </w:rPr>
        <w:t>（一）机关运行经费及公用经费支出情况</w:t>
      </w:r>
    </w:p>
    <w:p w14:paraId="425F23C0">
      <w:pPr>
        <w:spacing w:line="580" w:lineRule="exact"/>
        <w:ind w:firstLine="640"/>
        <w:jc w:val="both"/>
      </w:pPr>
      <w:r>
        <w:rPr>
          <w:rFonts w:ascii="仿宋_GB2312" w:hAnsi="仿宋_GB2312" w:eastAsia="仿宋_GB2312"/>
          <w:b w:val="0"/>
          <w:sz w:val="32"/>
        </w:rPr>
        <w:t>2024年度阿克陶县向日葵幼儿园（事业单位）公用经费支出3.66万元，比上年减少51.68万元，下降93.39%，主要原因是：本年度</w:t>
      </w:r>
      <w:r>
        <w:rPr>
          <w:rFonts w:hint="eastAsia" w:ascii="仿宋_GB2312" w:hAnsi="仿宋_GB2312" w:eastAsia="仿宋_GB2312"/>
          <w:b w:val="0"/>
          <w:sz w:val="32"/>
          <w:lang w:val="en-US" w:eastAsia="zh-CN"/>
        </w:rPr>
        <w:t>大部分</w:t>
      </w:r>
      <w:r>
        <w:rPr>
          <w:rFonts w:ascii="仿宋_GB2312" w:hAnsi="仿宋_GB2312" w:eastAsia="仿宋_GB2312"/>
          <w:b w:val="0"/>
          <w:sz w:val="32"/>
        </w:rPr>
        <w:t>公用经费在项目中列支，少部分在基本支出公用经费中列支，导致公用经费较上年减少。</w:t>
      </w:r>
    </w:p>
    <w:p w14:paraId="2D49134C">
      <w:pPr>
        <w:spacing w:line="640" w:lineRule="exact"/>
        <w:ind w:firstLine="640"/>
        <w:jc w:val="both"/>
        <w:outlineLvl w:val="3"/>
      </w:pPr>
      <w:r>
        <w:rPr>
          <w:rFonts w:ascii="楷体_GB2312" w:hAnsi="楷体_GB2312" w:eastAsia="楷体_GB2312"/>
          <w:b/>
          <w:sz w:val="32"/>
        </w:rPr>
        <w:t>（二）政府采购情况</w:t>
      </w:r>
    </w:p>
    <w:p w14:paraId="4DCDF7E0">
      <w:pPr>
        <w:spacing w:line="580" w:lineRule="exact"/>
        <w:ind w:firstLine="640"/>
        <w:jc w:val="both"/>
      </w:pPr>
      <w:r>
        <w:rPr>
          <w:rFonts w:ascii="仿宋_GB2312" w:hAnsi="仿宋_GB2312" w:eastAsia="仿宋_GB2312"/>
          <w:b w:val="0"/>
          <w:sz w:val="32"/>
        </w:rPr>
        <w:t>2024年度政府采购支出总额0.98万元，其中：政府采购货物支出0.98万元、政府采购工程支出0.00万元、政府采购服务支出0.00万元。</w:t>
      </w:r>
    </w:p>
    <w:p w14:paraId="3C355C0F">
      <w:pPr>
        <w:spacing w:line="580" w:lineRule="exact"/>
        <w:ind w:firstLine="640"/>
        <w:jc w:val="both"/>
      </w:pPr>
      <w:r>
        <w:rPr>
          <w:rFonts w:ascii="仿宋_GB2312" w:hAnsi="仿宋_GB2312" w:eastAsia="仿宋_GB2312"/>
          <w:b w:val="0"/>
          <w:sz w:val="32"/>
        </w:rPr>
        <w:t>授予中小企业合同金额0.98万元，占政府采购支出总额的100.00%，其中：授予小微企业合同金额0.98万元，占政府采购支出总额的100.00%。</w:t>
      </w:r>
    </w:p>
    <w:p w14:paraId="681CA526">
      <w:pPr>
        <w:spacing w:line="640" w:lineRule="exact"/>
        <w:ind w:firstLine="640"/>
        <w:jc w:val="both"/>
        <w:outlineLvl w:val="3"/>
      </w:pPr>
      <w:r>
        <w:rPr>
          <w:rFonts w:ascii="楷体_GB2312" w:hAnsi="楷体_GB2312" w:eastAsia="楷体_GB2312"/>
          <w:b/>
          <w:sz w:val="32"/>
        </w:rPr>
        <w:t>（三）国有资产占用情况说明</w:t>
      </w:r>
    </w:p>
    <w:p w14:paraId="7C0EB40A">
      <w:pPr>
        <w:spacing w:line="580" w:lineRule="exact"/>
        <w:ind w:firstLine="640"/>
        <w:jc w:val="both"/>
      </w:pPr>
      <w:r>
        <w:rPr>
          <w:rFonts w:ascii="仿宋_GB2312" w:hAnsi="仿宋_GB2312" w:eastAsia="仿宋_GB2312"/>
          <w:b w:val="0"/>
          <w:sz w:val="32"/>
        </w:rPr>
        <w:t>截至2024年12月31日，房屋3,882.35平方米，价值675.06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79D1A93">
      <w:pPr>
        <w:spacing w:line="640" w:lineRule="exact"/>
        <w:ind w:firstLine="640"/>
        <w:jc w:val="both"/>
        <w:outlineLvl w:val="2"/>
      </w:pPr>
      <w:r>
        <w:rPr>
          <w:rFonts w:ascii="黑体" w:hAnsi="黑体" w:eastAsia="黑体"/>
          <w:sz w:val="32"/>
        </w:rPr>
        <w:t>十一、预算绩效的情况说明</w:t>
      </w:r>
    </w:p>
    <w:p w14:paraId="46B0177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1,268.30万元，实际执行总额1,267.88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3D5B5D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F83A011">
        <w:tblPrEx>
          <w:tblCellMar>
            <w:top w:w="0" w:type="dxa"/>
            <w:left w:w="108" w:type="dxa"/>
            <w:bottom w:w="0" w:type="dxa"/>
            <w:right w:w="108" w:type="dxa"/>
          </w:tblCellMar>
        </w:tblPrEx>
        <w:tc>
          <w:tcPr>
            <w:tcW w:w="8840" w:type="dxa"/>
            <w:gridSpan w:val="8"/>
            <w:vAlign w:val="center"/>
          </w:tcPr>
          <w:p w14:paraId="4B6FFE71">
            <w:pPr>
              <w:jc w:val="center"/>
            </w:pPr>
            <w:r>
              <w:rPr>
                <w:rFonts w:ascii="宋体" w:hAnsi="宋体" w:eastAsia="宋体"/>
                <w:sz w:val="24"/>
              </w:rPr>
              <w:t>单位整体支出绩效自评表</w:t>
            </w:r>
          </w:p>
        </w:tc>
      </w:tr>
      <w:tr w14:paraId="78541E08">
        <w:tblPrEx>
          <w:tblCellMar>
            <w:top w:w="0" w:type="dxa"/>
            <w:left w:w="108" w:type="dxa"/>
            <w:bottom w:w="0" w:type="dxa"/>
            <w:right w:w="108" w:type="dxa"/>
          </w:tblCellMar>
        </w:tblPrEx>
        <w:tc>
          <w:tcPr>
            <w:tcW w:w="8840" w:type="dxa"/>
            <w:gridSpan w:val="8"/>
            <w:vAlign w:val="center"/>
          </w:tcPr>
          <w:p w14:paraId="42D63953">
            <w:pPr>
              <w:jc w:val="center"/>
            </w:pPr>
            <w:r>
              <w:rPr>
                <w:rFonts w:ascii="宋体" w:hAnsi="宋体" w:eastAsia="宋体"/>
                <w:sz w:val="24"/>
              </w:rPr>
              <w:t>（2024年度）</w:t>
            </w:r>
          </w:p>
        </w:tc>
      </w:tr>
      <w:tr w14:paraId="72FF4E6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C040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3854E3">
            <w:pPr>
              <w:jc w:val="center"/>
            </w:pPr>
            <w:r>
              <w:rPr>
                <w:rFonts w:ascii="宋体" w:hAnsi="宋体" w:eastAsia="宋体"/>
                <w:sz w:val="16"/>
              </w:rPr>
              <w:t>阿克陶县向日葵幼儿园</w:t>
            </w:r>
          </w:p>
        </w:tc>
      </w:tr>
      <w:tr w14:paraId="5D1DC5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63CF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598F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179E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D57D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58C0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E805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5B70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C5586">
            <w:pPr>
              <w:jc w:val="center"/>
            </w:pPr>
            <w:r>
              <w:rPr>
                <w:rFonts w:ascii="宋体" w:hAnsi="宋体" w:eastAsia="宋体"/>
                <w:sz w:val="16"/>
              </w:rPr>
              <w:t>得分</w:t>
            </w:r>
          </w:p>
        </w:tc>
      </w:tr>
      <w:tr w14:paraId="3CA8B2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2201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2C1A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FB086">
            <w:pPr>
              <w:jc w:val="center"/>
            </w:pPr>
            <w:r>
              <w:rPr>
                <w:rFonts w:ascii="宋体" w:hAnsi="宋体" w:eastAsia="宋体"/>
                <w:sz w:val="16"/>
              </w:rPr>
              <w:t>1,213.25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A52AB">
            <w:pPr>
              <w:jc w:val="center"/>
            </w:pPr>
            <w:r>
              <w:rPr>
                <w:rFonts w:ascii="宋体" w:hAnsi="宋体" w:eastAsia="宋体"/>
                <w:sz w:val="16"/>
              </w:rPr>
              <w:t>1,268.30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95811">
            <w:pPr>
              <w:jc w:val="center"/>
            </w:pPr>
            <w:r>
              <w:rPr>
                <w:rFonts w:ascii="宋体" w:hAnsi="宋体" w:eastAsia="宋体"/>
                <w:sz w:val="16"/>
              </w:rPr>
              <w:t>1,267.88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E929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ACDAB">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56D21">
            <w:pPr>
              <w:jc w:val="center"/>
            </w:pPr>
            <w:r>
              <w:rPr>
                <w:rFonts w:ascii="宋体" w:hAnsi="宋体" w:eastAsia="宋体"/>
                <w:sz w:val="16"/>
              </w:rPr>
              <w:t>9.99</w:t>
            </w:r>
          </w:p>
        </w:tc>
      </w:tr>
      <w:tr w14:paraId="6B2752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6B92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B7F4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369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C26D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A6CF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F20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AFE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9AA8F">
            <w:pPr>
              <w:jc w:val="center"/>
            </w:pPr>
            <w:r>
              <w:rPr>
                <w:rFonts w:ascii="宋体" w:hAnsi="宋体" w:eastAsia="宋体"/>
                <w:sz w:val="16"/>
              </w:rPr>
              <w:t>—</w:t>
            </w:r>
          </w:p>
        </w:tc>
      </w:tr>
      <w:tr w14:paraId="2B8ED5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53E2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CCACF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E7A2D">
            <w:pPr>
              <w:jc w:val="center"/>
            </w:pPr>
            <w:r>
              <w:rPr>
                <w:rFonts w:ascii="宋体" w:hAnsi="宋体" w:eastAsia="宋体"/>
                <w:sz w:val="16"/>
              </w:rPr>
              <w:t>1,213.25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BE72C">
            <w:pPr>
              <w:jc w:val="center"/>
            </w:pPr>
            <w:r>
              <w:rPr>
                <w:rFonts w:ascii="宋体" w:hAnsi="宋体" w:eastAsia="宋体"/>
                <w:sz w:val="16"/>
              </w:rPr>
              <w:t>1,268.30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05AB6">
            <w:pPr>
              <w:jc w:val="center"/>
            </w:pPr>
            <w:r>
              <w:rPr>
                <w:rFonts w:ascii="宋体" w:hAnsi="宋体" w:eastAsia="宋体"/>
                <w:sz w:val="16"/>
              </w:rPr>
              <w:t>1,267.88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3A2C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754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3E321">
            <w:pPr>
              <w:jc w:val="center"/>
            </w:pPr>
            <w:r>
              <w:rPr>
                <w:rFonts w:ascii="宋体" w:hAnsi="宋体" w:eastAsia="宋体"/>
                <w:sz w:val="16"/>
              </w:rPr>
              <w:t>—</w:t>
            </w:r>
          </w:p>
        </w:tc>
      </w:tr>
      <w:tr w14:paraId="0B7DE8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1B63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7B9B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B55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1CDA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D2A4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C8C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493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E2BAC">
            <w:pPr>
              <w:jc w:val="center"/>
            </w:pPr>
            <w:r>
              <w:rPr>
                <w:rFonts w:ascii="宋体" w:hAnsi="宋体" w:eastAsia="宋体"/>
                <w:sz w:val="16"/>
              </w:rPr>
              <w:t>—</w:t>
            </w:r>
          </w:p>
        </w:tc>
      </w:tr>
      <w:tr w14:paraId="4B19FAA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60FC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F55AE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5F2646">
            <w:pPr>
              <w:jc w:val="center"/>
            </w:pPr>
            <w:r>
              <w:rPr>
                <w:rFonts w:ascii="宋体" w:hAnsi="宋体" w:eastAsia="宋体"/>
                <w:sz w:val="16"/>
              </w:rPr>
              <w:t>实际完成情况</w:t>
            </w:r>
          </w:p>
        </w:tc>
      </w:tr>
      <w:tr w14:paraId="6CCA83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E9FE0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0D0B34">
            <w:pPr>
              <w:jc w:val="both"/>
            </w:pPr>
            <w:r>
              <w:rPr>
                <w:rFonts w:ascii="宋体" w:hAnsi="宋体" w:eastAsia="宋体"/>
                <w:sz w:val="16"/>
              </w:rPr>
              <w:t>全面贯彻执行党和国家的教育方针、政策、法规，坚持社会主义办学方向，努力培养德、智、体全面发展的社会主义事业的建设者和接班人。实行保育与教育相结合的原则，促进幼儿身体机能协调发展，增强体质，培养良好的行为习惯；同时，加强幼儿国家通用语言文字的掌握和使用。人员经费主要用于阿克陶县向日葵幼儿园教职工人员工资、基本养老保险、住房公积金、医疗保险等支出，从而保障教育教学工作质量，提升教师工作效率。公用经费主要用于更好</w:t>
            </w:r>
            <w:r>
              <w:rPr>
                <w:rFonts w:hint="eastAsia" w:ascii="宋体" w:hAnsi="宋体"/>
                <w:sz w:val="16"/>
                <w:lang w:eastAsia="zh-CN"/>
              </w:rPr>
              <w:t>地</w:t>
            </w:r>
            <w:r>
              <w:rPr>
                <w:rFonts w:ascii="宋体" w:hAnsi="宋体" w:eastAsia="宋体"/>
                <w:sz w:val="16"/>
              </w:rPr>
              <w:t>创造良好的教学环境，保障教学日常工作正常进行，提高教职工工作积极性。</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CF669F">
            <w:pPr>
              <w:jc w:val="both"/>
            </w:pPr>
            <w:r>
              <w:rPr>
                <w:rFonts w:ascii="宋体" w:hAnsi="宋体" w:eastAsia="宋体"/>
                <w:sz w:val="16"/>
              </w:rPr>
              <w:t>在职56人，1人调走，1人辞职，1人退休，全年工资足额按时发放，有效提升部门人员工作积极性和服务质量；有效保障部门日常运转，为部门正常履职和开展综合性事务提供有效支撑，并大大提升我校教育教学水平，最大程度提高师生的满意度。</w:t>
            </w:r>
          </w:p>
        </w:tc>
      </w:tr>
      <w:tr w14:paraId="0E6F66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422B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DF26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C70B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4A53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5FAE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CA6F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6D46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C01FB">
            <w:pPr>
              <w:jc w:val="center"/>
            </w:pPr>
            <w:r>
              <w:rPr>
                <w:rFonts w:ascii="宋体" w:hAnsi="宋体" w:eastAsia="宋体"/>
                <w:sz w:val="16"/>
              </w:rPr>
              <w:t>得分</w:t>
            </w:r>
          </w:p>
        </w:tc>
      </w:tr>
      <w:tr w14:paraId="3CF4158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9547E">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B535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C9A67">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A9B00">
            <w:pPr>
              <w:jc w:val="center"/>
            </w:pPr>
            <w:r>
              <w:rPr>
                <w:rFonts w:ascii="宋体" w:hAnsi="宋体" w:eastAsia="宋体"/>
                <w:sz w:val="16"/>
              </w:rPr>
              <w:t>&gt;=59人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450AB">
            <w:pPr>
              <w:jc w:val="center"/>
            </w:pPr>
            <w:r>
              <w:rPr>
                <w:rFonts w:ascii="宋体" w:hAnsi="宋体" w:eastAsia="宋体"/>
                <w:sz w:val="16"/>
              </w:rPr>
              <w:t>上年度末工资册汇总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170F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AC72A">
            <w:pPr>
              <w:jc w:val="center"/>
            </w:pPr>
            <w:r>
              <w:rPr>
                <w:rFonts w:ascii="宋体" w:hAnsi="宋体" w:eastAsia="宋体"/>
                <w:sz w:val="16"/>
              </w:rPr>
              <w:t>56人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B0151">
            <w:pPr>
              <w:jc w:val="center"/>
            </w:pPr>
            <w:r>
              <w:rPr>
                <w:rFonts w:ascii="宋体" w:hAnsi="宋体" w:eastAsia="宋体"/>
                <w:sz w:val="16"/>
              </w:rPr>
              <w:t>9.49</w:t>
            </w:r>
          </w:p>
        </w:tc>
      </w:tr>
      <w:tr w14:paraId="211661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4785B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2287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8E5E8">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98C02">
            <w:pPr>
              <w:jc w:val="center"/>
            </w:pPr>
            <w:r>
              <w:rPr>
                <w:rFonts w:ascii="宋体" w:hAnsi="宋体" w:eastAsia="宋体"/>
                <w:sz w:val="16"/>
              </w:rPr>
              <w:t>&lt;=1194.61万元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32626">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9060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1EA38">
            <w:pPr>
              <w:jc w:val="center"/>
            </w:pPr>
            <w:r>
              <w:rPr>
                <w:rFonts w:ascii="宋体" w:hAnsi="宋体" w:eastAsia="宋体"/>
                <w:sz w:val="16"/>
              </w:rPr>
              <w:t>1174.98万元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2C1F0">
            <w:pPr>
              <w:jc w:val="center"/>
            </w:pPr>
            <w:r>
              <w:rPr>
                <w:rFonts w:ascii="宋体" w:hAnsi="宋体" w:eastAsia="宋体"/>
                <w:sz w:val="16"/>
              </w:rPr>
              <w:t>9.84</w:t>
            </w:r>
          </w:p>
        </w:tc>
      </w:tr>
      <w:tr w14:paraId="3BA86B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0B8F4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54A5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B7014">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2777B">
            <w:pPr>
              <w:jc w:val="center"/>
            </w:pPr>
            <w:r>
              <w:rPr>
                <w:rFonts w:ascii="宋体" w:hAnsi="宋体" w:eastAsia="宋体"/>
                <w:sz w:val="16"/>
              </w:rPr>
              <w:t>&lt;=18.64万元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9024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6DD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93F77">
            <w:pPr>
              <w:jc w:val="center"/>
            </w:pPr>
            <w:r>
              <w:rPr>
                <w:rFonts w:ascii="宋体" w:hAnsi="宋体" w:eastAsia="宋体"/>
                <w:sz w:val="16"/>
              </w:rPr>
              <w:t>3.66万元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00710">
            <w:pPr>
              <w:jc w:val="center"/>
            </w:pPr>
            <w:r>
              <w:rPr>
                <w:rFonts w:ascii="宋体" w:hAnsi="宋体" w:eastAsia="宋体"/>
                <w:sz w:val="16"/>
              </w:rPr>
              <w:t>1.96</w:t>
            </w:r>
          </w:p>
        </w:tc>
      </w:tr>
      <w:tr w14:paraId="1E094E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65497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1417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E155D">
            <w:pPr>
              <w:jc w:val="center"/>
            </w:pPr>
            <w:r>
              <w:rPr>
                <w:rFonts w:ascii="宋体" w:hAnsi="宋体" w:eastAsia="宋体"/>
                <w:sz w:val="16"/>
              </w:rPr>
              <w:t>之间是有合规率（%）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639C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716ED">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ED63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1575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36407">
            <w:pPr>
              <w:jc w:val="center"/>
            </w:pPr>
            <w:r>
              <w:rPr>
                <w:rFonts w:ascii="宋体" w:hAnsi="宋体" w:eastAsia="宋体"/>
                <w:sz w:val="16"/>
              </w:rPr>
              <w:t>10</w:t>
            </w:r>
          </w:p>
        </w:tc>
      </w:tr>
      <w:tr w14:paraId="18B43C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748E6">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8CAE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00EAD">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760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9724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1548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877C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3E9F7">
            <w:pPr>
              <w:jc w:val="center"/>
            </w:pPr>
            <w:r>
              <w:rPr>
                <w:rFonts w:ascii="宋体" w:hAnsi="宋体" w:eastAsia="宋体"/>
                <w:sz w:val="16"/>
              </w:rPr>
              <w:t>10</w:t>
            </w:r>
          </w:p>
        </w:tc>
      </w:tr>
      <w:tr w14:paraId="03B4ED7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7DBD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9DA3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2BAB3">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38C8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43C61">
            <w:pPr>
              <w:jc w:val="center"/>
            </w:pPr>
            <w:r>
              <w:rPr>
                <w:rFonts w:ascii="宋体" w:hAnsi="宋体" w:eastAsia="宋体"/>
                <w:sz w:val="16"/>
              </w:rPr>
              <w:t>资金性质及法律法规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150D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9B39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8BCCB">
            <w:pPr>
              <w:jc w:val="center"/>
            </w:pPr>
            <w:r>
              <w:rPr>
                <w:rFonts w:ascii="宋体" w:hAnsi="宋体" w:eastAsia="宋体"/>
                <w:sz w:val="16"/>
              </w:rPr>
              <w:t>10</w:t>
            </w:r>
          </w:p>
        </w:tc>
      </w:tr>
      <w:tr w14:paraId="1C0309F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FEFE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CE88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C34D2">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18B8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CDFE0">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74A2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5261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328D0">
            <w:pPr>
              <w:jc w:val="center"/>
            </w:pPr>
            <w:r>
              <w:rPr>
                <w:rFonts w:ascii="宋体" w:hAnsi="宋体" w:eastAsia="宋体"/>
                <w:sz w:val="16"/>
              </w:rPr>
              <w:t>10</w:t>
            </w:r>
          </w:p>
        </w:tc>
      </w:tr>
      <w:tr w14:paraId="2E706E0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BCC3A">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A539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0F35D">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6FA6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A729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10E6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7263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0904A">
            <w:pPr>
              <w:jc w:val="center"/>
            </w:pPr>
            <w:r>
              <w:rPr>
                <w:rFonts w:ascii="宋体" w:hAnsi="宋体" w:eastAsia="宋体"/>
                <w:sz w:val="16"/>
              </w:rPr>
              <w:t>10</w:t>
            </w:r>
          </w:p>
        </w:tc>
      </w:tr>
      <w:tr w14:paraId="110690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F2EA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876E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B32E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F4B8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1B4C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8DED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435E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81D17">
            <w:pPr>
              <w:jc w:val="center"/>
            </w:pPr>
            <w:r>
              <w:rPr>
                <w:rFonts w:ascii="宋体" w:hAnsi="宋体" w:eastAsia="宋体"/>
                <w:sz w:val="16"/>
              </w:rPr>
              <w:t>10</w:t>
            </w:r>
          </w:p>
        </w:tc>
      </w:tr>
    </w:tbl>
    <w:p w14:paraId="412FD78D">
      <w:r>
        <w:br w:type="page"/>
      </w:r>
    </w:p>
    <w:p w14:paraId="2318A6E3">
      <w:pPr>
        <w:spacing w:line="640" w:lineRule="exact"/>
        <w:ind w:firstLine="640"/>
        <w:jc w:val="both"/>
        <w:outlineLvl w:val="2"/>
      </w:pPr>
      <w:r>
        <w:rPr>
          <w:rFonts w:ascii="黑体" w:hAnsi="黑体" w:eastAsia="黑体"/>
          <w:sz w:val="32"/>
        </w:rPr>
        <w:t>十二、其他需说明的事项</w:t>
      </w:r>
    </w:p>
    <w:p w14:paraId="4F61CF7D">
      <w:pPr>
        <w:spacing w:line="580" w:lineRule="exact"/>
        <w:ind w:firstLine="640"/>
        <w:jc w:val="both"/>
      </w:pPr>
      <w:r>
        <w:rPr>
          <w:rFonts w:ascii="仿宋_GB2312" w:hAnsi="仿宋_GB2312" w:eastAsia="仿宋_GB2312"/>
          <w:b w:val="0"/>
          <w:sz w:val="32"/>
        </w:rPr>
        <w:t>本单位无其他需说明的事项。</w:t>
      </w:r>
    </w:p>
    <w:p w14:paraId="07A39A87">
      <w:r>
        <w:br w:type="page"/>
      </w:r>
    </w:p>
    <w:p w14:paraId="407F6415">
      <w:pPr>
        <w:spacing w:line="240" w:lineRule="auto"/>
        <w:jc w:val="center"/>
        <w:outlineLvl w:val="1"/>
      </w:pPr>
      <w:r>
        <w:rPr>
          <w:rFonts w:ascii="黑体" w:hAnsi="黑体" w:eastAsia="黑体"/>
          <w:sz w:val="32"/>
        </w:rPr>
        <w:t>第三部分 专业名词解释</w:t>
      </w:r>
    </w:p>
    <w:p w14:paraId="7C63BF9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23063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C4A1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139ABD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425D6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646E0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99EA8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8A8551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94149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FF17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BCFC3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3D621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F0C489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C8B65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588511">
      <w:r>
        <w:br w:type="page"/>
      </w:r>
    </w:p>
    <w:p w14:paraId="22D25243">
      <w:pPr>
        <w:spacing w:line="240" w:lineRule="auto"/>
        <w:jc w:val="center"/>
        <w:outlineLvl w:val="1"/>
      </w:pPr>
      <w:r>
        <w:rPr>
          <w:rFonts w:ascii="黑体" w:hAnsi="黑体" w:eastAsia="黑体"/>
          <w:sz w:val="32"/>
        </w:rPr>
        <w:t>第四部分 部门决算报表（见附表）</w:t>
      </w:r>
    </w:p>
    <w:p w14:paraId="6B079F91">
      <w:pPr>
        <w:spacing w:line="240" w:lineRule="auto"/>
        <w:ind w:firstLine="640"/>
        <w:jc w:val="both"/>
      </w:pPr>
      <w:r>
        <w:rPr>
          <w:rFonts w:ascii="仿宋_GB2312" w:hAnsi="仿宋_GB2312" w:eastAsia="仿宋_GB2312"/>
          <w:b w:val="0"/>
          <w:sz w:val="32"/>
        </w:rPr>
        <w:t>一、《收入支出决算总表》</w:t>
      </w:r>
    </w:p>
    <w:p w14:paraId="249320B9">
      <w:pPr>
        <w:spacing w:line="240" w:lineRule="auto"/>
        <w:ind w:firstLine="640"/>
        <w:jc w:val="both"/>
      </w:pPr>
      <w:r>
        <w:rPr>
          <w:rFonts w:ascii="仿宋_GB2312" w:hAnsi="仿宋_GB2312" w:eastAsia="仿宋_GB2312"/>
          <w:b w:val="0"/>
          <w:sz w:val="32"/>
        </w:rPr>
        <w:t>二、《收入决算表》</w:t>
      </w:r>
    </w:p>
    <w:p w14:paraId="6EC4D948">
      <w:pPr>
        <w:spacing w:line="240" w:lineRule="auto"/>
        <w:ind w:firstLine="640"/>
        <w:jc w:val="both"/>
      </w:pPr>
      <w:r>
        <w:rPr>
          <w:rFonts w:ascii="仿宋_GB2312" w:hAnsi="仿宋_GB2312" w:eastAsia="仿宋_GB2312"/>
          <w:b w:val="0"/>
          <w:sz w:val="32"/>
        </w:rPr>
        <w:t>三、《支出决算表》</w:t>
      </w:r>
    </w:p>
    <w:p w14:paraId="4F7D9106">
      <w:pPr>
        <w:spacing w:line="240" w:lineRule="auto"/>
        <w:ind w:firstLine="640"/>
        <w:jc w:val="both"/>
      </w:pPr>
      <w:r>
        <w:rPr>
          <w:rFonts w:ascii="仿宋_GB2312" w:hAnsi="仿宋_GB2312" w:eastAsia="仿宋_GB2312"/>
          <w:b w:val="0"/>
          <w:sz w:val="32"/>
        </w:rPr>
        <w:t>四、《财政拨款收入支出决算总表》</w:t>
      </w:r>
    </w:p>
    <w:p w14:paraId="3F8F6AA4">
      <w:pPr>
        <w:spacing w:line="240" w:lineRule="auto"/>
        <w:ind w:firstLine="640"/>
        <w:jc w:val="both"/>
      </w:pPr>
      <w:r>
        <w:rPr>
          <w:rFonts w:ascii="仿宋_GB2312" w:hAnsi="仿宋_GB2312" w:eastAsia="仿宋_GB2312"/>
          <w:b w:val="0"/>
          <w:sz w:val="32"/>
        </w:rPr>
        <w:t>五、《一般公共预算财政拨款支出决算表》</w:t>
      </w:r>
    </w:p>
    <w:p w14:paraId="7DF0B5FE">
      <w:pPr>
        <w:spacing w:line="240" w:lineRule="auto"/>
        <w:ind w:firstLine="640"/>
        <w:jc w:val="both"/>
      </w:pPr>
      <w:r>
        <w:rPr>
          <w:rFonts w:ascii="仿宋_GB2312" w:hAnsi="仿宋_GB2312" w:eastAsia="仿宋_GB2312"/>
          <w:b w:val="0"/>
          <w:sz w:val="32"/>
        </w:rPr>
        <w:t>六、《一般公共预算财政拨款基本支出决算表》</w:t>
      </w:r>
    </w:p>
    <w:p w14:paraId="2E0779B2">
      <w:pPr>
        <w:spacing w:line="240" w:lineRule="auto"/>
        <w:ind w:firstLine="640"/>
        <w:jc w:val="both"/>
      </w:pPr>
      <w:r>
        <w:rPr>
          <w:rFonts w:ascii="仿宋_GB2312" w:hAnsi="仿宋_GB2312" w:eastAsia="仿宋_GB2312"/>
          <w:b w:val="0"/>
          <w:sz w:val="32"/>
        </w:rPr>
        <w:t>七、《政府性基金预算财政拨款收入支出决算表》</w:t>
      </w:r>
    </w:p>
    <w:p w14:paraId="0851B3FB">
      <w:pPr>
        <w:spacing w:line="240" w:lineRule="auto"/>
        <w:ind w:firstLine="640"/>
        <w:jc w:val="both"/>
      </w:pPr>
      <w:r>
        <w:rPr>
          <w:rFonts w:ascii="仿宋_GB2312" w:hAnsi="仿宋_GB2312" w:eastAsia="仿宋_GB2312"/>
          <w:b w:val="0"/>
          <w:sz w:val="32"/>
        </w:rPr>
        <w:t>八、《国有资本经营预算财政拨款收入支出决算表》</w:t>
      </w:r>
    </w:p>
    <w:p w14:paraId="700CD1F0">
      <w:pPr>
        <w:spacing w:line="240" w:lineRule="auto"/>
        <w:ind w:firstLine="640"/>
        <w:jc w:val="both"/>
      </w:pPr>
      <w:r>
        <w:rPr>
          <w:rFonts w:ascii="仿宋_GB2312" w:hAnsi="仿宋_GB2312" w:eastAsia="仿宋_GB2312"/>
          <w:b w:val="0"/>
          <w:sz w:val="32"/>
        </w:rPr>
        <w:t>九、《财政拨款“三公”经费支出决算表》</w:t>
      </w:r>
    </w:p>
    <w:p w14:paraId="3D27EBA9">
      <w:pPr>
        <w:spacing w:line="240" w:lineRule="auto"/>
        <w:ind w:firstLine="640"/>
        <w:jc w:val="both"/>
      </w:pPr>
    </w:p>
    <w:p w14:paraId="643F8DCE">
      <w:pPr>
        <w:spacing w:line="240" w:lineRule="auto"/>
        <w:ind w:firstLine="640"/>
        <w:jc w:val="both"/>
      </w:pPr>
    </w:p>
    <w:p w14:paraId="2ACC1BF4">
      <w:pPr>
        <w:spacing w:line="240" w:lineRule="auto"/>
        <w:ind w:firstLine="640"/>
        <w:jc w:val="both"/>
      </w:pPr>
    </w:p>
    <w:p w14:paraId="3D777C78">
      <w:pPr>
        <w:spacing w:line="240" w:lineRule="auto"/>
        <w:ind w:firstLine="640"/>
        <w:jc w:val="both"/>
      </w:pPr>
    </w:p>
    <w:p w14:paraId="6094F71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7D0B3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AE6D3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5545</Words>
  <Characters>6277</Characters>
  <Lines>0</Lines>
  <Paragraphs>0</Paragraphs>
  <TotalTime>3</TotalTime>
  <ScaleCrop>false</ScaleCrop>
  <LinksUpToDate>false</LinksUpToDate>
  <CharactersWithSpaces>6287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