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阿克陶县小胡杨小学2024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47E4C5">
      <w:r>
        <w:br w:type="page"/>
      </w:r>
    </w:p>
    <w:p w14:paraId="2B37A8A7">
      <w:pPr>
        <w:spacing w:line="640" w:lineRule="exact"/>
        <w:jc w:val="center"/>
        <w:outlineLvl w:val="1"/>
      </w:pPr>
      <w:r>
        <w:rPr>
          <w:rFonts w:ascii="黑体" w:hAnsi="黑体" w:eastAsia="黑体"/>
          <w:sz w:val="32"/>
        </w:rPr>
        <w:t>第一部分 单位概况</w:t>
      </w:r>
    </w:p>
    <w:p w14:paraId="293C9AB3">
      <w:pPr>
        <w:spacing w:line="640" w:lineRule="exact"/>
        <w:ind w:firstLine="640"/>
        <w:jc w:val="both"/>
        <w:outlineLvl w:val="2"/>
      </w:pPr>
      <w:r>
        <w:rPr>
          <w:rFonts w:ascii="黑体" w:hAnsi="黑体" w:eastAsia="黑体"/>
          <w:sz w:val="32"/>
        </w:rPr>
        <w:t>一、主要职能</w:t>
      </w:r>
    </w:p>
    <w:p w14:paraId="4E8E3E18">
      <w:pPr>
        <w:spacing w:line="580" w:lineRule="exact"/>
        <w:ind w:firstLine="640"/>
        <w:jc w:val="both"/>
      </w:pPr>
      <w:r>
        <w:rPr>
          <w:rFonts w:ascii="仿宋_GB2312" w:hAnsi="仿宋_GB2312" w:eastAsia="仿宋_GB2312"/>
          <w:sz w:val="32"/>
        </w:rPr>
        <w:t>①实施小学义务教育，促进基础教育发展，为适龄学生提供教育服务。</w:t>
      </w:r>
    </w:p>
    <w:p w14:paraId="35AD69C9">
      <w:pPr>
        <w:spacing w:line="580" w:lineRule="exact"/>
        <w:ind w:firstLine="640"/>
        <w:jc w:val="both"/>
      </w:pPr>
      <w:r>
        <w:rPr>
          <w:rFonts w:ascii="仿宋_GB2312" w:hAnsi="仿宋_GB2312" w:eastAsia="仿宋_GB2312"/>
          <w:sz w:val="32"/>
        </w:rPr>
        <w:t>②遵守国家的法律、法规、依法办学。</w:t>
      </w:r>
    </w:p>
    <w:p w14:paraId="6830D1EB">
      <w:pPr>
        <w:spacing w:line="580" w:lineRule="exact"/>
        <w:ind w:firstLine="640"/>
        <w:jc w:val="both"/>
      </w:pPr>
      <w:r>
        <w:rPr>
          <w:rFonts w:ascii="仿宋_GB2312" w:hAnsi="仿宋_GB2312" w:eastAsia="仿宋_GB2312"/>
          <w:sz w:val="32"/>
        </w:rPr>
        <w:t>③贯彻国家的教育方针，执行国家教育教学标准，组织实施教育教学活动，保证教育教学质量。</w:t>
      </w:r>
    </w:p>
    <w:p w14:paraId="7C7E4F38">
      <w:pPr>
        <w:spacing w:line="580" w:lineRule="exact"/>
        <w:ind w:firstLine="640"/>
        <w:jc w:val="both"/>
      </w:pPr>
      <w:r>
        <w:rPr>
          <w:rFonts w:ascii="仿宋_GB2312" w:hAnsi="仿宋_GB2312" w:eastAsia="仿宋_GB2312"/>
          <w:sz w:val="32"/>
        </w:rPr>
        <w:t>④对受教育者进行学籍管理，实施奖励或处分，维护受教育者的合法权益。</w:t>
      </w:r>
    </w:p>
    <w:p w14:paraId="29DCD3E9">
      <w:pPr>
        <w:spacing w:line="580" w:lineRule="exact"/>
        <w:ind w:firstLine="640"/>
        <w:jc w:val="both"/>
      </w:pPr>
      <w:r>
        <w:rPr>
          <w:rFonts w:ascii="仿宋_GB2312" w:hAnsi="仿宋_GB2312" w:eastAsia="仿宋_GB2312"/>
          <w:sz w:val="32"/>
        </w:rPr>
        <w:t>⑤对教师及职工进行教育和管理，维护教师和职工的合法权益。</w:t>
      </w:r>
    </w:p>
    <w:p w14:paraId="3453705D">
      <w:pPr>
        <w:spacing w:line="580" w:lineRule="exact"/>
        <w:ind w:firstLine="640"/>
        <w:jc w:val="both"/>
      </w:pPr>
      <w:r>
        <w:rPr>
          <w:rFonts w:ascii="仿宋_GB2312" w:hAnsi="仿宋_GB2312" w:eastAsia="仿宋_GB2312"/>
          <w:sz w:val="32"/>
        </w:rPr>
        <w:t>⑥依法接受监督，拒绝任何组织和个人对学校正常教育教学活动的非法干涉。</w:t>
      </w:r>
    </w:p>
    <w:p w14:paraId="405817A0">
      <w:pPr>
        <w:spacing w:line="580" w:lineRule="exact"/>
        <w:ind w:firstLine="640"/>
        <w:jc w:val="both"/>
      </w:pPr>
      <w:r>
        <w:rPr>
          <w:rFonts w:ascii="仿宋_GB2312" w:hAnsi="仿宋_GB2312" w:eastAsia="仿宋_GB2312"/>
          <w:sz w:val="32"/>
        </w:rPr>
        <w:t>⑦完成自治州</w:t>
      </w:r>
      <w:r>
        <w:rPr>
          <w:rFonts w:hint="eastAsia" w:ascii="仿宋_GB2312" w:hAnsi="仿宋_GB2312" w:eastAsia="仿宋_GB2312"/>
          <w:sz w:val="32"/>
          <w:lang w:eastAsia="zh-CN"/>
        </w:rPr>
        <w:t>人民政府</w:t>
      </w:r>
      <w:r>
        <w:rPr>
          <w:rFonts w:ascii="仿宋_GB2312" w:hAnsi="仿宋_GB2312" w:eastAsia="仿宋_GB2312"/>
          <w:sz w:val="32"/>
        </w:rPr>
        <w:t>交办的其他工作。</w:t>
      </w:r>
    </w:p>
    <w:p w14:paraId="034B90B0">
      <w:pPr>
        <w:spacing w:line="640" w:lineRule="exact"/>
        <w:ind w:firstLine="640"/>
        <w:jc w:val="both"/>
        <w:outlineLvl w:val="2"/>
      </w:pPr>
      <w:r>
        <w:rPr>
          <w:rFonts w:ascii="黑体" w:hAnsi="黑体" w:eastAsia="黑体"/>
          <w:sz w:val="32"/>
        </w:rPr>
        <w:t>二、机构设置及人员情况</w:t>
      </w:r>
    </w:p>
    <w:p w14:paraId="53EA0C2C">
      <w:pPr>
        <w:spacing w:line="580" w:lineRule="exact"/>
        <w:ind w:firstLine="640"/>
        <w:jc w:val="both"/>
      </w:pPr>
      <w:r>
        <w:rPr>
          <w:rFonts w:ascii="仿宋_GB2312" w:hAnsi="仿宋_GB2312" w:eastAsia="仿宋_GB2312"/>
          <w:sz w:val="32"/>
        </w:rPr>
        <w:t>阿克陶县小胡杨小学2024年度，实有人数141人，其中：在职人员140人，减少3人；离休人员0人，增加0人；退休人员1人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增加1人。</w:t>
      </w:r>
    </w:p>
    <w:p w14:paraId="59DCCBA1">
      <w:pPr>
        <w:spacing w:line="580" w:lineRule="exact"/>
        <w:ind w:firstLine="640"/>
        <w:jc w:val="both"/>
      </w:pPr>
      <w:r>
        <w:rPr>
          <w:rFonts w:ascii="仿宋_GB2312" w:hAnsi="仿宋_GB2312" w:eastAsia="仿宋_GB2312"/>
          <w:sz w:val="32"/>
        </w:rPr>
        <w:t>阿克陶县小胡杨小学无下属预算单位，下设8个科室，分别是：行政办、党建办、安全办、财务室、教研室、后勤处、教务处、德育处。</w:t>
      </w:r>
    </w:p>
    <w:p w14:paraId="55431DB0">
      <w:r>
        <w:br w:type="page"/>
      </w:r>
    </w:p>
    <w:p w14:paraId="7BF624A4">
      <w:pPr>
        <w:spacing w:line="240" w:lineRule="auto"/>
        <w:jc w:val="center"/>
        <w:outlineLvl w:val="1"/>
      </w:pPr>
      <w:r>
        <w:rPr>
          <w:rFonts w:ascii="黑体" w:hAnsi="黑体" w:eastAsia="黑体"/>
          <w:sz w:val="32"/>
        </w:rPr>
        <w:t>第二部分 部门决算情况说明</w:t>
      </w:r>
    </w:p>
    <w:p w14:paraId="792DF95C">
      <w:pPr>
        <w:spacing w:line="640" w:lineRule="exact"/>
        <w:ind w:firstLine="640"/>
        <w:jc w:val="both"/>
        <w:outlineLvl w:val="2"/>
      </w:pPr>
      <w:r>
        <w:rPr>
          <w:rFonts w:ascii="黑体" w:hAnsi="黑体" w:eastAsia="黑体"/>
          <w:sz w:val="32"/>
        </w:rPr>
        <w:t>一、收入支出决算总体情况说明</w:t>
      </w:r>
    </w:p>
    <w:p w14:paraId="0ED08FDA">
      <w:pPr>
        <w:spacing w:line="580" w:lineRule="exact"/>
        <w:ind w:firstLine="640"/>
        <w:jc w:val="both"/>
      </w:pPr>
      <w:r>
        <w:rPr>
          <w:rFonts w:ascii="仿宋_GB2312" w:hAnsi="仿宋_GB2312" w:eastAsia="仿宋_GB2312"/>
          <w:b/>
          <w:sz w:val="32"/>
        </w:rPr>
        <w:t>2024年度收入总计3,208.73万元，</w:t>
      </w:r>
      <w:r>
        <w:rPr>
          <w:rFonts w:ascii="仿宋_GB2312" w:hAnsi="仿宋_GB2312" w:eastAsia="仿宋_GB2312"/>
          <w:b w:val="0"/>
          <w:sz w:val="32"/>
        </w:rPr>
        <w:t>其中：本年收入合计3,201.75万元，使用非财政拨款结余（含专用结余）0.00万元，年初结转和结余6.98万元。</w:t>
      </w:r>
    </w:p>
    <w:p w14:paraId="4ED550CC">
      <w:pPr>
        <w:spacing w:line="580" w:lineRule="exact"/>
        <w:ind w:firstLine="640"/>
        <w:jc w:val="both"/>
      </w:pPr>
      <w:r>
        <w:rPr>
          <w:rFonts w:ascii="仿宋_GB2312" w:hAnsi="仿宋_GB2312" w:eastAsia="仿宋_GB2312"/>
          <w:b/>
          <w:sz w:val="32"/>
        </w:rPr>
        <w:t>2024年度支出总计3,208.73万元，</w:t>
      </w:r>
      <w:r>
        <w:rPr>
          <w:rFonts w:ascii="仿宋_GB2312" w:hAnsi="仿宋_GB2312" w:eastAsia="仿宋_GB2312"/>
          <w:b w:val="0"/>
          <w:sz w:val="32"/>
        </w:rPr>
        <w:t>其中：本年支出合计3,206.18万元，结余分配0.00万元，年末结转和结余2.54万元。</w:t>
      </w:r>
    </w:p>
    <w:p w14:paraId="4092E72D">
      <w:pPr>
        <w:spacing w:line="580" w:lineRule="exact"/>
        <w:ind w:firstLine="640"/>
        <w:jc w:val="both"/>
      </w:pPr>
      <w:r>
        <w:rPr>
          <w:rFonts w:ascii="仿宋_GB2312" w:hAnsi="仿宋_GB2312" w:eastAsia="仿宋_GB2312"/>
          <w:b w:val="0"/>
          <w:sz w:val="32"/>
        </w:rPr>
        <w:t>收入支出总体与上年相比，增加111.47万元，增长3.60%，主要原因是：本年在职人员工资调增，社保、公积金基数调增，人员经费增加；本年清欠阳光热力公司历年取暖费、</w:t>
      </w:r>
      <w:r>
        <w:rPr>
          <w:rFonts w:hint="eastAsia" w:ascii="仿宋_GB2312" w:hAnsi="仿宋_GB2312" w:eastAsia="仿宋_GB2312"/>
          <w:b w:val="0"/>
          <w:sz w:val="32"/>
          <w:lang w:val="en-US" w:eastAsia="zh-CN"/>
        </w:rPr>
        <w:t>增加</w:t>
      </w:r>
      <w:r>
        <w:rPr>
          <w:rFonts w:ascii="仿宋_GB2312" w:hAnsi="仿宋_GB2312" w:eastAsia="仿宋_GB2312"/>
          <w:b w:val="0"/>
          <w:sz w:val="32"/>
        </w:rPr>
        <w:t>以奖代补“</w:t>
      </w:r>
      <w:r>
        <w:rPr>
          <w:rFonts w:hint="eastAsia" w:ascii="仿宋_GB2312" w:hAnsi="仿宋_GB2312" w:eastAsia="仿宋_GB2312"/>
          <w:b w:val="0"/>
          <w:sz w:val="32"/>
          <w:lang w:eastAsia="zh-CN"/>
        </w:rPr>
        <w:t>“五个好”</w:t>
      </w:r>
      <w:r>
        <w:rPr>
          <w:rFonts w:ascii="仿宋_GB2312" w:hAnsi="仿宋_GB2312" w:eastAsia="仿宋_GB2312"/>
          <w:b w:val="0"/>
          <w:sz w:val="32"/>
        </w:rPr>
        <w:t>党支部奖励金”等项目。</w:t>
      </w:r>
    </w:p>
    <w:p w14:paraId="64721644">
      <w:pPr>
        <w:spacing w:line="640" w:lineRule="exact"/>
        <w:ind w:firstLine="640"/>
        <w:jc w:val="both"/>
        <w:outlineLvl w:val="2"/>
      </w:pPr>
      <w:r>
        <w:rPr>
          <w:rFonts w:ascii="黑体" w:hAnsi="黑体" w:eastAsia="黑体"/>
          <w:sz w:val="32"/>
        </w:rPr>
        <w:t>二、收入决算情况说明</w:t>
      </w:r>
    </w:p>
    <w:p w14:paraId="4F13F267">
      <w:pPr>
        <w:spacing w:line="580" w:lineRule="exact"/>
        <w:ind w:firstLine="640"/>
        <w:jc w:val="both"/>
      </w:pPr>
      <w:r>
        <w:rPr>
          <w:rFonts w:ascii="仿宋_GB2312" w:hAnsi="仿宋_GB2312" w:eastAsia="仿宋_GB2312"/>
          <w:b/>
          <w:sz w:val="32"/>
        </w:rPr>
        <w:t>本年收入3,201.75万元，</w:t>
      </w:r>
      <w:r>
        <w:rPr>
          <w:rFonts w:ascii="仿宋_GB2312" w:hAnsi="仿宋_GB2312" w:eastAsia="仿宋_GB2312"/>
          <w:b w:val="0"/>
          <w:sz w:val="32"/>
        </w:rPr>
        <w:t>其中：财政拨款收入3,201.75万元，占100.00%；上级补助收入0.00万元，占0.00%；事业收入0.00万元，占0.00%；经营收入0.00万元，占0.00%；附属单位上缴收入0.00万元，占0.00%；其他收入0.00万元，占0.00%。</w:t>
      </w:r>
    </w:p>
    <w:p w14:paraId="099FCA3D">
      <w:pPr>
        <w:spacing w:line="640" w:lineRule="exact"/>
        <w:ind w:firstLine="640"/>
        <w:jc w:val="both"/>
        <w:outlineLvl w:val="2"/>
      </w:pPr>
      <w:r>
        <w:rPr>
          <w:rFonts w:ascii="黑体" w:hAnsi="黑体" w:eastAsia="黑体"/>
          <w:sz w:val="32"/>
        </w:rPr>
        <w:t>三、支出决算情况说明</w:t>
      </w:r>
    </w:p>
    <w:p w14:paraId="5C3A525B">
      <w:pPr>
        <w:spacing w:line="580" w:lineRule="exact"/>
        <w:ind w:firstLine="640"/>
        <w:jc w:val="both"/>
      </w:pPr>
      <w:r>
        <w:rPr>
          <w:rFonts w:ascii="仿宋_GB2312" w:hAnsi="仿宋_GB2312" w:eastAsia="仿宋_GB2312"/>
          <w:b/>
          <w:sz w:val="32"/>
        </w:rPr>
        <w:t>本年支出3,206.18万元，</w:t>
      </w:r>
      <w:r>
        <w:rPr>
          <w:rFonts w:ascii="仿宋_GB2312" w:hAnsi="仿宋_GB2312" w:eastAsia="仿宋_GB2312"/>
          <w:b w:val="0"/>
          <w:sz w:val="32"/>
        </w:rPr>
        <w:t>其中：基本支出2,817.32万元，占87.87%；项目支出388.86万元，占12.13%；上缴上级支出0.00万元，占0.00%；经营支出0.00万元，占0.00%；对附属单位补助支出0.00万元，占0.00%。</w:t>
      </w:r>
    </w:p>
    <w:p w14:paraId="1269720C">
      <w:pPr>
        <w:spacing w:line="640" w:lineRule="exact"/>
        <w:ind w:firstLine="640"/>
        <w:jc w:val="both"/>
        <w:outlineLvl w:val="2"/>
      </w:pPr>
      <w:r>
        <w:rPr>
          <w:rFonts w:ascii="黑体" w:hAnsi="黑体" w:eastAsia="黑体"/>
          <w:sz w:val="32"/>
        </w:rPr>
        <w:t>四、财政拨款收入支出决算总体情况说明</w:t>
      </w:r>
    </w:p>
    <w:p w14:paraId="5A4BF0C7">
      <w:pPr>
        <w:spacing w:line="580" w:lineRule="exact"/>
        <w:ind w:firstLine="640"/>
        <w:jc w:val="both"/>
      </w:pPr>
      <w:r>
        <w:rPr>
          <w:rFonts w:ascii="仿宋_GB2312" w:hAnsi="仿宋_GB2312" w:eastAsia="仿宋_GB2312"/>
          <w:b/>
          <w:sz w:val="32"/>
        </w:rPr>
        <w:t>2024年度财政拨款收入总计3,201.75万元，</w:t>
      </w:r>
      <w:r>
        <w:rPr>
          <w:rFonts w:ascii="仿宋_GB2312" w:hAnsi="仿宋_GB2312" w:eastAsia="仿宋_GB2312"/>
          <w:b w:val="0"/>
          <w:sz w:val="32"/>
        </w:rPr>
        <w:t>其中：年初财政拨款结转和结余0.00万元，本年财政拨款收入3,201.75万元。</w:t>
      </w:r>
      <w:r>
        <w:rPr>
          <w:rFonts w:ascii="仿宋_GB2312" w:hAnsi="仿宋_GB2312" w:eastAsia="仿宋_GB2312"/>
          <w:b/>
          <w:sz w:val="32"/>
        </w:rPr>
        <w:t>财政拨款支出总计3,201.75万元，</w:t>
      </w:r>
      <w:r>
        <w:rPr>
          <w:rFonts w:ascii="仿宋_GB2312" w:hAnsi="仿宋_GB2312" w:eastAsia="仿宋_GB2312"/>
          <w:b w:val="0"/>
          <w:sz w:val="32"/>
        </w:rPr>
        <w:t>其中：年末财政拨款结转和结余0.00万元，本年财政拨款支出3,201.75万元。</w:t>
      </w:r>
    </w:p>
    <w:p w14:paraId="0759B53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增加142.25万元，增长4.65%，主要原因是：本年在职人员工资调增，社保、公积金基数调增，人员经费增加；本年清欠阳光热力公司历年取暖费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年初预算数2,906.67万元，决算数3,201.75万元，预决算差异率10.15%，主要原因是：年中追加人员工资、社保、公积金基数调增部分资金，导致预决算存在差异。</w:t>
      </w:r>
    </w:p>
    <w:p w14:paraId="2C90150A">
      <w:pPr>
        <w:spacing w:line="640" w:lineRule="exact"/>
        <w:ind w:firstLine="640"/>
        <w:jc w:val="both"/>
        <w:outlineLvl w:val="2"/>
      </w:pPr>
      <w:r>
        <w:rPr>
          <w:rFonts w:ascii="黑体" w:hAnsi="黑体" w:eastAsia="黑体"/>
          <w:sz w:val="32"/>
        </w:rPr>
        <w:t>五、一般公共预算财政拨款支出决算情况说明</w:t>
      </w:r>
    </w:p>
    <w:p w14:paraId="3305434D">
      <w:pPr>
        <w:spacing w:line="640" w:lineRule="exact"/>
        <w:ind w:firstLine="640"/>
        <w:jc w:val="both"/>
        <w:outlineLvl w:val="3"/>
      </w:pPr>
      <w:r>
        <w:rPr>
          <w:rFonts w:ascii="楷体_GB2312" w:hAnsi="楷体_GB2312" w:eastAsia="楷体_GB2312"/>
          <w:b/>
          <w:sz w:val="32"/>
        </w:rPr>
        <w:t>（一）一般公共预算财政拨款支出决算总体情况</w:t>
      </w:r>
    </w:p>
    <w:p w14:paraId="25B813C5">
      <w:pPr>
        <w:spacing w:line="580" w:lineRule="exact"/>
        <w:ind w:firstLine="640"/>
        <w:jc w:val="both"/>
      </w:pPr>
      <w:r>
        <w:rPr>
          <w:rFonts w:ascii="仿宋_GB2312" w:hAnsi="仿宋_GB2312" w:eastAsia="仿宋_GB2312"/>
          <w:b/>
          <w:sz w:val="32"/>
        </w:rPr>
        <w:t>2024年度一般公共预算财政拨款支出3,201.75万元，</w:t>
      </w:r>
      <w:r>
        <w:rPr>
          <w:rFonts w:ascii="仿宋_GB2312" w:hAnsi="仿宋_GB2312" w:eastAsia="仿宋_GB2312"/>
          <w:b w:val="0"/>
          <w:sz w:val="32"/>
        </w:rPr>
        <w:t>占本年支出合计的99.86%。</w:t>
      </w:r>
      <w:r>
        <w:rPr>
          <w:rFonts w:ascii="仿宋_GB2312" w:hAnsi="仿宋_GB2312" w:eastAsia="仿宋_GB2312"/>
          <w:b/>
          <w:sz w:val="32"/>
        </w:rPr>
        <w:t>与上年相比，</w:t>
      </w:r>
      <w:r>
        <w:rPr>
          <w:rFonts w:ascii="仿宋_GB2312" w:hAnsi="仿宋_GB2312" w:eastAsia="仿宋_GB2312"/>
          <w:b w:val="0"/>
          <w:sz w:val="32"/>
        </w:rPr>
        <w:t>增加143.70万元，增长4.70%，主要原因是：本年在职人员工资调增，社保、公积金基数调增，人员经费增加；本年清欠阳光热力公司历年取暖费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年初预算数2,906.67万元，决算数3,201.75万元，预决算差异率10.15%，主要原因是：年中追加人员工资、社保、公积金基数调增部分资金，导致预决算存在差异。</w:t>
      </w:r>
    </w:p>
    <w:p w14:paraId="47F15A1C">
      <w:pPr>
        <w:spacing w:line="640" w:lineRule="exact"/>
        <w:ind w:firstLine="640"/>
        <w:jc w:val="both"/>
        <w:outlineLvl w:val="3"/>
      </w:pPr>
      <w:r>
        <w:rPr>
          <w:rFonts w:ascii="楷体_GB2312" w:hAnsi="楷体_GB2312" w:eastAsia="楷体_GB2312"/>
          <w:b/>
          <w:sz w:val="32"/>
        </w:rPr>
        <w:t>（二）一般公共预算财政拨款支出决算结构情况</w:t>
      </w:r>
    </w:p>
    <w:p w14:paraId="4ED07FD5">
      <w:pPr>
        <w:spacing w:line="580" w:lineRule="exact"/>
        <w:ind w:firstLine="640"/>
        <w:jc w:val="both"/>
      </w:pPr>
      <w:r>
        <w:rPr>
          <w:rFonts w:ascii="仿宋_GB2312" w:hAnsi="仿宋_GB2312" w:eastAsia="仿宋_GB2312"/>
          <w:b w:val="0"/>
          <w:sz w:val="32"/>
        </w:rPr>
        <w:t>1.教育支出(类)3,201.75万元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14:paraId="3118AF3F">
      <w:pPr>
        <w:spacing w:line="640" w:lineRule="exact"/>
        <w:ind w:firstLine="640"/>
        <w:jc w:val="both"/>
        <w:outlineLvl w:val="3"/>
      </w:pPr>
      <w:r>
        <w:rPr>
          <w:rFonts w:ascii="楷体_GB2312" w:hAnsi="楷体_GB2312" w:eastAsia="楷体_GB2312"/>
          <w:b/>
          <w:sz w:val="32"/>
        </w:rPr>
        <w:t>（三）一般公共预算财政拨款支出决算具体情况</w:t>
      </w:r>
    </w:p>
    <w:p w14:paraId="082D6320">
      <w:pPr>
        <w:spacing w:line="580" w:lineRule="exact"/>
        <w:ind w:firstLine="640"/>
        <w:jc w:val="both"/>
      </w:pPr>
      <w:r>
        <w:rPr>
          <w:rFonts w:ascii="仿宋_GB2312" w:hAnsi="仿宋_GB2312" w:eastAsia="仿宋_GB2312"/>
          <w:b w:val="0"/>
          <w:sz w:val="32"/>
        </w:rPr>
        <w:t>1.教育支出(类)普通教育(款)小学教育(项)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支出决算数为3,201.75万元，比上年决算增加410.89万元，增长14.72%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主要原因是：本年在职人员工资调增，社保、公积金基数调增，人员经费增加；本年功能科目调整，养老保险缴费上年度单独列支，本年调整至主科目列支，导致经费较上年增加。</w:t>
      </w:r>
    </w:p>
    <w:p w14:paraId="1494DFC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支出决算数为0.00万元，比上年决算减少267.19万元，下降100.00%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1A12EB3D">
      <w:pPr>
        <w:spacing w:line="640" w:lineRule="exact"/>
        <w:ind w:firstLine="640"/>
        <w:jc w:val="both"/>
        <w:outlineLvl w:val="2"/>
      </w:pPr>
      <w:r>
        <w:rPr>
          <w:rFonts w:ascii="黑体" w:hAnsi="黑体" w:eastAsia="黑体"/>
          <w:sz w:val="32"/>
        </w:rPr>
        <w:t>六、一般公共预算财政拨款基本支出决算情况说明</w:t>
      </w:r>
    </w:p>
    <w:p w14:paraId="75EAA4AE">
      <w:pPr>
        <w:spacing w:line="580" w:lineRule="exact"/>
        <w:ind w:firstLine="640"/>
        <w:jc w:val="both"/>
      </w:pPr>
      <w:r>
        <w:rPr>
          <w:rFonts w:ascii="仿宋_GB2312" w:hAnsi="仿宋_GB2312" w:eastAsia="仿宋_GB2312"/>
          <w:b w:val="0"/>
          <w:sz w:val="32"/>
        </w:rPr>
        <w:t>2024年度一般公共预算财政拨款基本支出2,817.32万元，其中：</w:t>
      </w:r>
      <w:r>
        <w:rPr>
          <w:rFonts w:ascii="仿宋_GB2312" w:hAnsi="仿宋_GB2312" w:eastAsia="仿宋_GB2312"/>
          <w:b/>
          <w:sz w:val="32"/>
        </w:rPr>
        <w:t>人员经费2,817.32万元，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1F48018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66E7F27">
      <w:pPr>
        <w:spacing w:line="640" w:lineRule="exact"/>
        <w:ind w:firstLine="640"/>
        <w:jc w:val="both"/>
        <w:outlineLvl w:val="2"/>
      </w:pPr>
      <w:r>
        <w:rPr>
          <w:rFonts w:ascii="黑体" w:hAnsi="黑体" w:eastAsia="黑体"/>
          <w:sz w:val="32"/>
        </w:rPr>
        <w:t>七、政府性基金预算财政拨款收入支出决算情况说明</w:t>
      </w:r>
    </w:p>
    <w:p w14:paraId="4D8BD090">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4097887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减少1.45万元，下降100.00%，主要原因是：本年减少中央专项彩票公益少年宫资金等项目。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政府性基金预算</w:t>
      </w:r>
      <w:bookmarkStart w:id="0" w:name="_GoBack"/>
      <w:bookmarkEnd w:id="0"/>
      <w:r>
        <w:rPr>
          <w:rFonts w:ascii="仿宋_GB2312" w:hAnsi="仿宋_GB2312" w:eastAsia="仿宋_GB2312"/>
          <w:b w:val="0"/>
          <w:sz w:val="32"/>
        </w:rPr>
        <w:t>。</w:t>
      </w:r>
    </w:p>
    <w:p w14:paraId="7B6F5CAB">
      <w:pPr>
        <w:spacing w:line="580" w:lineRule="exact"/>
        <w:ind w:firstLine="640"/>
        <w:jc w:val="both"/>
      </w:pPr>
      <w:r>
        <w:rPr>
          <w:rFonts w:ascii="仿宋_GB2312" w:hAnsi="仿宋_GB2312" w:eastAsia="仿宋_GB2312"/>
          <w:b w:val="0"/>
          <w:sz w:val="32"/>
        </w:rPr>
        <w:t>政府性基金预算财政拨款支出0.00万元。</w:t>
      </w:r>
    </w:p>
    <w:p w14:paraId="18486E93">
      <w:pPr>
        <w:spacing w:line="580" w:lineRule="exact"/>
        <w:ind w:firstLine="640"/>
        <w:jc w:val="both"/>
      </w:pPr>
      <w:r>
        <w:rPr>
          <w:rFonts w:ascii="仿宋_GB2312" w:hAnsi="仿宋_GB2312" w:eastAsia="仿宋_GB2312"/>
          <w:b w:val="0"/>
          <w:sz w:val="32"/>
        </w:rPr>
        <w:t>1.其他支出(类)彩票公益金安排的支出(款)用于教育事业的彩票公益金支出(项)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主要原因是：本年减少中央专项彩票公益少年宫资金等项目。</w:t>
      </w:r>
    </w:p>
    <w:p w14:paraId="70E57246">
      <w:pPr>
        <w:spacing w:line="640" w:lineRule="exact"/>
        <w:ind w:firstLine="640"/>
        <w:jc w:val="both"/>
        <w:outlineLvl w:val="2"/>
      </w:pPr>
      <w:r>
        <w:rPr>
          <w:rFonts w:ascii="黑体" w:hAnsi="黑体" w:eastAsia="黑体"/>
          <w:sz w:val="32"/>
        </w:rPr>
        <w:t>八、国有资本经营预算财政拨款收入支出决算情况说明</w:t>
      </w:r>
    </w:p>
    <w:p w14:paraId="3B50767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7EB6D3">
      <w:pPr>
        <w:spacing w:line="640" w:lineRule="exact"/>
        <w:ind w:firstLine="640"/>
        <w:jc w:val="both"/>
        <w:outlineLvl w:val="2"/>
      </w:pPr>
      <w:r>
        <w:rPr>
          <w:rFonts w:ascii="黑体" w:hAnsi="黑体" w:eastAsia="黑体"/>
          <w:sz w:val="32"/>
        </w:rPr>
        <w:t>九、财政拨款“三公”经费支出决算情况说明</w:t>
      </w:r>
    </w:p>
    <w:p w14:paraId="4920191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82F50F9">
      <w:pPr>
        <w:spacing w:line="580" w:lineRule="exact"/>
        <w:ind w:firstLine="640"/>
        <w:jc w:val="both"/>
      </w:pPr>
      <w:r>
        <w:rPr>
          <w:rFonts w:ascii="仿宋_GB2312" w:hAnsi="仿宋_GB2312" w:eastAsia="仿宋_GB2312"/>
          <w:b/>
          <w:sz w:val="32"/>
        </w:rPr>
        <w:t>具体情况如下：</w:t>
      </w:r>
    </w:p>
    <w:p w14:paraId="464D150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C52C4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5DDEAF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6936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52AD1E">
      <w:pPr>
        <w:spacing w:line="640" w:lineRule="exact"/>
        <w:ind w:firstLine="640"/>
        <w:jc w:val="both"/>
        <w:outlineLvl w:val="2"/>
      </w:pPr>
      <w:r>
        <w:rPr>
          <w:rFonts w:ascii="黑体" w:hAnsi="黑体" w:eastAsia="黑体"/>
          <w:sz w:val="32"/>
        </w:rPr>
        <w:t>十、其他重要事项的情况说明</w:t>
      </w:r>
    </w:p>
    <w:p w14:paraId="34EC99B5">
      <w:pPr>
        <w:spacing w:line="640" w:lineRule="exact"/>
        <w:ind w:firstLine="640"/>
        <w:jc w:val="both"/>
        <w:outlineLvl w:val="3"/>
      </w:pPr>
      <w:r>
        <w:rPr>
          <w:rFonts w:ascii="楷体_GB2312" w:hAnsi="楷体_GB2312" w:eastAsia="楷体_GB2312"/>
          <w:b/>
          <w:sz w:val="32"/>
        </w:rPr>
        <w:t>（一）机关运行经费及公用经费支出情况</w:t>
      </w:r>
    </w:p>
    <w:p w14:paraId="65DEA478">
      <w:pPr>
        <w:spacing w:line="580" w:lineRule="exact"/>
        <w:ind w:firstLine="640"/>
        <w:jc w:val="both"/>
      </w:pPr>
      <w:r>
        <w:rPr>
          <w:rFonts w:ascii="仿宋_GB2312" w:hAnsi="仿宋_GB2312" w:eastAsia="仿宋_GB2312"/>
          <w:b w:val="0"/>
          <w:sz w:val="32"/>
        </w:rPr>
        <w:t>2024年度阿克陶县小胡杨小学（事业单位）公用经费支出0.00万元，比上年增加0.00万元，增长0.00%，主要原因是：2023年与2024年均未安排公用经费支出。</w:t>
      </w:r>
    </w:p>
    <w:p w14:paraId="6021BBA2">
      <w:pPr>
        <w:spacing w:line="640" w:lineRule="exact"/>
        <w:ind w:firstLine="640"/>
        <w:jc w:val="both"/>
        <w:outlineLvl w:val="3"/>
      </w:pPr>
      <w:r>
        <w:rPr>
          <w:rFonts w:ascii="楷体_GB2312" w:hAnsi="楷体_GB2312" w:eastAsia="楷体_GB2312"/>
          <w:b/>
          <w:sz w:val="32"/>
        </w:rPr>
        <w:t>（二）政府采购情况</w:t>
      </w:r>
    </w:p>
    <w:p w14:paraId="7EA4BFB6">
      <w:pPr>
        <w:spacing w:line="580" w:lineRule="exact"/>
        <w:ind w:firstLine="640"/>
        <w:jc w:val="both"/>
      </w:pPr>
      <w:r>
        <w:rPr>
          <w:rFonts w:ascii="仿宋_GB2312" w:hAnsi="仿宋_GB2312" w:eastAsia="仿宋_GB2312"/>
          <w:b w:val="0"/>
          <w:sz w:val="32"/>
        </w:rPr>
        <w:t>2024年度政府采购支出总额2.11万元，其中：政府采购货物支出0.13万元、政府采购工程支出0.00万元、政府采购服务支出1.98万元。</w:t>
      </w:r>
    </w:p>
    <w:p w14:paraId="790BCB9C">
      <w:pPr>
        <w:spacing w:line="580" w:lineRule="exact"/>
        <w:ind w:firstLine="640"/>
        <w:jc w:val="both"/>
      </w:pPr>
      <w:r>
        <w:rPr>
          <w:rFonts w:ascii="仿宋_GB2312" w:hAnsi="仿宋_GB2312" w:eastAsia="仿宋_GB2312"/>
          <w:b w:val="0"/>
          <w:sz w:val="32"/>
        </w:rPr>
        <w:t>授予中小企业合同金额2.11万元，占政府采购支出总额的100.00%，其中：授予小微企业合同金额2.11万元，占政府采购支出总额的100.00%。</w:t>
      </w:r>
    </w:p>
    <w:p w14:paraId="348BAFC8">
      <w:pPr>
        <w:spacing w:line="640" w:lineRule="exact"/>
        <w:ind w:firstLine="640"/>
        <w:jc w:val="both"/>
        <w:outlineLvl w:val="3"/>
      </w:pPr>
      <w:r>
        <w:rPr>
          <w:rFonts w:ascii="楷体_GB2312" w:hAnsi="楷体_GB2312" w:eastAsia="楷体_GB2312"/>
          <w:b/>
          <w:sz w:val="32"/>
        </w:rPr>
        <w:t>（三）国有资产占用情况说明</w:t>
      </w:r>
    </w:p>
    <w:p w14:paraId="594DCAB6">
      <w:pPr>
        <w:spacing w:line="580" w:lineRule="exact"/>
        <w:ind w:firstLine="640"/>
        <w:jc w:val="both"/>
      </w:pPr>
      <w:r>
        <w:rPr>
          <w:rFonts w:ascii="仿宋_GB2312" w:hAnsi="仿宋_GB2312" w:eastAsia="仿宋_GB2312"/>
          <w:b w:val="0"/>
          <w:sz w:val="32"/>
        </w:rPr>
        <w:t>截至2024年12月31日，房屋10,809.28平方米，价值845.78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57E5070">
      <w:pPr>
        <w:spacing w:line="640" w:lineRule="exact"/>
        <w:ind w:firstLine="640"/>
        <w:jc w:val="both"/>
        <w:outlineLvl w:val="2"/>
      </w:pPr>
      <w:r>
        <w:rPr>
          <w:rFonts w:ascii="黑体" w:hAnsi="黑体" w:eastAsia="黑体"/>
          <w:sz w:val="32"/>
        </w:rPr>
        <w:t>十一、预算绩效的情况说明</w:t>
      </w:r>
    </w:p>
    <w:p w14:paraId="3116230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3,208.73万元，实际执行总额3,206.18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15A8BEE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0ACA5EC">
        <w:tblPrEx>
          <w:tblCellMar>
            <w:top w:w="0" w:type="dxa"/>
            <w:left w:w="108" w:type="dxa"/>
            <w:bottom w:w="0" w:type="dxa"/>
            <w:right w:w="108" w:type="dxa"/>
          </w:tblCellMar>
        </w:tblPrEx>
        <w:tc>
          <w:tcPr>
            <w:tcW w:w="8840" w:type="dxa"/>
            <w:gridSpan w:val="8"/>
            <w:vAlign w:val="center"/>
          </w:tcPr>
          <w:p w14:paraId="1E11C71E">
            <w:pPr>
              <w:jc w:val="center"/>
            </w:pPr>
            <w:r>
              <w:rPr>
                <w:rFonts w:ascii="宋体" w:hAnsi="宋体" w:eastAsia="宋体"/>
                <w:sz w:val="24"/>
              </w:rPr>
              <w:t>单位整体支出绩效自评表</w:t>
            </w:r>
          </w:p>
        </w:tc>
      </w:tr>
      <w:tr w14:paraId="4ABE0DA4">
        <w:tblPrEx>
          <w:tblCellMar>
            <w:top w:w="0" w:type="dxa"/>
            <w:left w:w="108" w:type="dxa"/>
            <w:bottom w:w="0" w:type="dxa"/>
            <w:right w:w="108" w:type="dxa"/>
          </w:tblCellMar>
        </w:tblPrEx>
        <w:tc>
          <w:tcPr>
            <w:tcW w:w="8840" w:type="dxa"/>
            <w:gridSpan w:val="8"/>
            <w:vAlign w:val="center"/>
          </w:tcPr>
          <w:p w14:paraId="59B43DF5">
            <w:pPr>
              <w:jc w:val="center"/>
            </w:pPr>
            <w:r>
              <w:rPr>
                <w:rFonts w:ascii="宋体" w:hAnsi="宋体" w:eastAsia="宋体"/>
                <w:sz w:val="24"/>
              </w:rPr>
              <w:t>（2024年度）</w:t>
            </w:r>
          </w:p>
        </w:tc>
      </w:tr>
      <w:tr w14:paraId="08E60C6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5190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82A3A">
            <w:pPr>
              <w:jc w:val="center"/>
            </w:pPr>
            <w:r>
              <w:rPr>
                <w:rFonts w:ascii="宋体" w:hAnsi="宋体" w:eastAsia="宋体"/>
                <w:sz w:val="16"/>
              </w:rPr>
              <w:t>阿克陶县小胡杨小学</w:t>
            </w:r>
          </w:p>
        </w:tc>
      </w:tr>
      <w:tr w14:paraId="5DE91E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C3FF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9C6B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33D2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725B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6799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ED60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33BB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8AFA8">
            <w:pPr>
              <w:jc w:val="center"/>
            </w:pPr>
            <w:r>
              <w:rPr>
                <w:rFonts w:ascii="宋体" w:hAnsi="宋体" w:eastAsia="宋体"/>
                <w:sz w:val="16"/>
              </w:rPr>
              <w:t>得分</w:t>
            </w:r>
          </w:p>
        </w:tc>
      </w:tr>
      <w:tr w14:paraId="58EE01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9BB1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AB25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FA209">
            <w:pPr>
              <w:jc w:val="center"/>
            </w:pPr>
            <w:r>
              <w:rPr>
                <w:rFonts w:ascii="宋体" w:hAnsi="宋体" w:eastAsia="宋体"/>
                <w:sz w:val="16"/>
              </w:rPr>
              <w:t>2,896.76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CCB65">
            <w:pPr>
              <w:jc w:val="center"/>
            </w:pPr>
            <w:r>
              <w:rPr>
                <w:rFonts w:ascii="宋体" w:hAnsi="宋体" w:eastAsia="宋体"/>
                <w:sz w:val="16"/>
              </w:rPr>
              <w:t>3,208.73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FEE50">
            <w:pPr>
              <w:jc w:val="center"/>
            </w:pPr>
            <w:r>
              <w:rPr>
                <w:rFonts w:ascii="宋体" w:hAnsi="宋体" w:eastAsia="宋体"/>
                <w:sz w:val="16"/>
              </w:rPr>
              <w:t>3,206.18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948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38603">
            <w:pPr>
              <w:jc w:val="center"/>
            </w:pPr>
            <w:r>
              <w:rPr>
                <w:rFonts w:ascii="宋体" w:hAnsi="宋体" w:eastAsia="宋体"/>
                <w:sz w:val="16"/>
              </w:rPr>
              <w:t>99.92%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27BC8">
            <w:pPr>
              <w:jc w:val="center"/>
            </w:pPr>
            <w:r>
              <w:rPr>
                <w:rFonts w:ascii="宋体" w:hAnsi="宋体" w:eastAsia="宋体"/>
                <w:sz w:val="16"/>
              </w:rPr>
              <w:t>9.99</w:t>
            </w:r>
          </w:p>
        </w:tc>
      </w:tr>
      <w:tr w14:paraId="06978B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440B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1930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C481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EB37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B987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306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1D2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790B5">
            <w:pPr>
              <w:jc w:val="center"/>
            </w:pPr>
            <w:r>
              <w:rPr>
                <w:rFonts w:ascii="宋体" w:hAnsi="宋体" w:eastAsia="宋体"/>
                <w:sz w:val="16"/>
              </w:rPr>
              <w:t>—</w:t>
            </w:r>
          </w:p>
        </w:tc>
      </w:tr>
      <w:tr w14:paraId="66A3CB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26CF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BE66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4275B">
            <w:pPr>
              <w:jc w:val="center"/>
            </w:pPr>
            <w:r>
              <w:rPr>
                <w:rFonts w:ascii="宋体" w:hAnsi="宋体" w:eastAsia="宋体"/>
                <w:sz w:val="16"/>
              </w:rPr>
              <w:t>2,896.76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69D98">
            <w:pPr>
              <w:jc w:val="center"/>
            </w:pPr>
            <w:r>
              <w:rPr>
                <w:rFonts w:ascii="宋体" w:hAnsi="宋体" w:eastAsia="宋体"/>
                <w:sz w:val="16"/>
              </w:rPr>
              <w:t>3,208.73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81505">
            <w:pPr>
              <w:jc w:val="center"/>
            </w:pPr>
            <w:r>
              <w:rPr>
                <w:rFonts w:ascii="宋体" w:hAnsi="宋体" w:eastAsia="宋体"/>
                <w:sz w:val="16"/>
              </w:rPr>
              <w:t>3,206.18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76C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CB3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68F2C">
            <w:pPr>
              <w:jc w:val="center"/>
            </w:pPr>
            <w:r>
              <w:rPr>
                <w:rFonts w:ascii="宋体" w:hAnsi="宋体" w:eastAsia="宋体"/>
                <w:sz w:val="16"/>
              </w:rPr>
              <w:t>—</w:t>
            </w:r>
          </w:p>
        </w:tc>
      </w:tr>
      <w:tr w14:paraId="46AE13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8A75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7753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6D40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6919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7B9E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340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7B7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AF567">
            <w:pPr>
              <w:jc w:val="center"/>
            </w:pPr>
            <w:r>
              <w:rPr>
                <w:rFonts w:ascii="宋体" w:hAnsi="宋体" w:eastAsia="宋体"/>
                <w:sz w:val="16"/>
              </w:rPr>
              <w:t>—</w:t>
            </w:r>
          </w:p>
        </w:tc>
      </w:tr>
      <w:tr w14:paraId="26569D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016B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4CB76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D34FBF">
            <w:pPr>
              <w:jc w:val="center"/>
            </w:pPr>
            <w:r>
              <w:rPr>
                <w:rFonts w:ascii="宋体" w:hAnsi="宋体" w:eastAsia="宋体"/>
                <w:sz w:val="16"/>
              </w:rPr>
              <w:t>实际完成情况</w:t>
            </w:r>
          </w:p>
        </w:tc>
      </w:tr>
      <w:tr w14:paraId="2E1447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8A3B0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31B69B">
            <w:pPr>
              <w:jc w:val="both"/>
            </w:pPr>
            <w:r>
              <w:rPr>
                <w:rFonts w:ascii="宋体" w:hAnsi="宋体" w:eastAsia="宋体"/>
                <w:sz w:val="16"/>
              </w:rPr>
              <w:t>人员经费主要用于阿克陶县小胡杨小学教职工人员工资、基本养老保险、住房公积金、医疗保险等支出，从而保障教育教学工作质量，提升教师工作效率。公用经费主要用于公用取暖费，工会经费，福利费，为了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382629">
            <w:pPr>
              <w:jc w:val="both"/>
            </w:pPr>
            <w:r>
              <w:rPr>
                <w:rFonts w:ascii="宋体" w:hAnsi="宋体" w:eastAsia="宋体"/>
                <w:sz w:val="16"/>
              </w:rPr>
              <w:t>人员工资福利支出预算保障人数141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7FD99C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9135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C4FE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8A9A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D38D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EDCC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C3C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9D6E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E2626">
            <w:pPr>
              <w:jc w:val="center"/>
            </w:pPr>
            <w:r>
              <w:rPr>
                <w:rFonts w:ascii="宋体" w:hAnsi="宋体" w:eastAsia="宋体"/>
                <w:sz w:val="16"/>
              </w:rPr>
              <w:t>得分</w:t>
            </w:r>
          </w:p>
        </w:tc>
      </w:tr>
      <w:tr w14:paraId="3070C6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69E44">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B63C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F208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3C74A">
            <w:pPr>
              <w:jc w:val="center"/>
            </w:pPr>
            <w:r>
              <w:rPr>
                <w:rFonts w:ascii="宋体" w:hAnsi="宋体" w:eastAsia="宋体"/>
                <w:sz w:val="16"/>
              </w:rPr>
              <w:t>&gt;=141人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85D7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69D5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937CB">
            <w:pPr>
              <w:jc w:val="center"/>
            </w:pPr>
            <w:r>
              <w:rPr>
                <w:rFonts w:ascii="宋体" w:hAnsi="宋体" w:eastAsia="宋体"/>
                <w:sz w:val="16"/>
              </w:rPr>
              <w:t>=141人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413C5">
            <w:pPr>
              <w:jc w:val="center"/>
            </w:pPr>
            <w:r>
              <w:rPr>
                <w:rFonts w:ascii="宋体" w:hAnsi="宋体" w:eastAsia="宋体"/>
                <w:sz w:val="16"/>
              </w:rPr>
              <w:t>10</w:t>
            </w:r>
          </w:p>
        </w:tc>
      </w:tr>
      <w:tr w14:paraId="68958E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1C67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EE77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3C17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F3EEA">
            <w:pPr>
              <w:jc w:val="center"/>
            </w:pPr>
            <w:r>
              <w:rPr>
                <w:rFonts w:ascii="宋体" w:hAnsi="宋体" w:eastAsia="宋体"/>
                <w:sz w:val="16"/>
              </w:rPr>
              <w:t>&lt;=2843.51万元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CCFF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633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C452C">
            <w:pPr>
              <w:jc w:val="center"/>
            </w:pPr>
            <w:r>
              <w:rPr>
                <w:rFonts w:ascii="宋体" w:hAnsi="宋体" w:eastAsia="宋体"/>
                <w:sz w:val="16"/>
              </w:rPr>
              <w:t>=3208.73万元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7BD29">
            <w:pPr>
              <w:jc w:val="center"/>
            </w:pPr>
            <w:r>
              <w:rPr>
                <w:rFonts w:ascii="宋体" w:hAnsi="宋体" w:eastAsia="宋体"/>
                <w:sz w:val="16"/>
              </w:rPr>
              <w:t>10</w:t>
            </w:r>
          </w:p>
        </w:tc>
      </w:tr>
      <w:tr w14:paraId="5777CE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7C68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6434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623AA">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80D5C">
            <w:pPr>
              <w:jc w:val="center"/>
            </w:pPr>
            <w:r>
              <w:rPr>
                <w:rFonts w:ascii="宋体" w:hAnsi="宋体" w:eastAsia="宋体"/>
                <w:sz w:val="16"/>
              </w:rPr>
              <w:t>&lt;=53.25万元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1F9A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EDA7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8DE08">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FD6D1">
            <w:pPr>
              <w:jc w:val="center"/>
            </w:pPr>
            <w:r>
              <w:rPr>
                <w:rFonts w:ascii="宋体" w:hAnsi="宋体" w:eastAsia="宋体"/>
                <w:sz w:val="16"/>
              </w:rPr>
              <w:t>0</w:t>
            </w:r>
          </w:p>
        </w:tc>
      </w:tr>
      <w:tr w14:paraId="7A0ADCB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8DB40">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1E90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AC0B0">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A77E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D57D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AFD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E67B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F3CFE">
            <w:pPr>
              <w:jc w:val="center"/>
            </w:pPr>
            <w:r>
              <w:rPr>
                <w:rFonts w:ascii="宋体" w:hAnsi="宋体" w:eastAsia="宋体"/>
                <w:sz w:val="16"/>
              </w:rPr>
              <w:t>15</w:t>
            </w:r>
          </w:p>
        </w:tc>
      </w:tr>
      <w:tr w14:paraId="400B0DD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B7DE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0A29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5006F">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3EBDB">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3387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97FE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BD08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B9973">
            <w:pPr>
              <w:jc w:val="center"/>
            </w:pPr>
            <w:r>
              <w:rPr>
                <w:rFonts w:ascii="宋体" w:hAnsi="宋体" w:eastAsia="宋体"/>
                <w:sz w:val="16"/>
              </w:rPr>
              <w:t>15</w:t>
            </w:r>
          </w:p>
        </w:tc>
      </w:tr>
      <w:tr w14:paraId="1868F79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31D4A">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3782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2C011">
            <w:pPr>
              <w:jc w:val="center"/>
            </w:pPr>
            <w:r>
              <w:rPr>
                <w:rFonts w:ascii="宋体" w:hAnsi="宋体" w:eastAsia="宋体"/>
                <w:sz w:val="16"/>
              </w:rPr>
              <w:t>保障部门单位正常履职和各项政策措施有效实行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57CC7">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6EB8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42C4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77AB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C76D6">
            <w:pPr>
              <w:jc w:val="center"/>
            </w:pPr>
            <w:r>
              <w:rPr>
                <w:rFonts w:ascii="宋体" w:hAnsi="宋体" w:eastAsia="宋体"/>
                <w:sz w:val="16"/>
              </w:rPr>
              <w:t>10</w:t>
            </w:r>
          </w:p>
        </w:tc>
      </w:tr>
      <w:tr w14:paraId="0904631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27BD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CAFA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C06FD">
            <w:pPr>
              <w:jc w:val="center"/>
            </w:pPr>
            <w:r>
              <w:rPr>
                <w:rFonts w:ascii="宋体" w:hAnsi="宋体" w:eastAsia="宋体"/>
                <w:sz w:val="16"/>
              </w:rPr>
              <w:t>家长对本部门履职效果的满意度（%）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F72B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C31B7">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953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299D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2DD6D">
            <w:pPr>
              <w:jc w:val="center"/>
            </w:pPr>
            <w:r>
              <w:rPr>
                <w:rFonts w:ascii="宋体" w:hAnsi="宋体" w:eastAsia="宋体"/>
                <w:sz w:val="16"/>
              </w:rPr>
              <w:t>10</w:t>
            </w:r>
          </w:p>
        </w:tc>
      </w:tr>
      <w:tr w14:paraId="2A83FC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2A64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7B8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B628F">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F28F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ACB63">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98A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AAF5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741EB">
            <w:pPr>
              <w:jc w:val="center"/>
            </w:pPr>
            <w:r>
              <w:rPr>
                <w:rFonts w:ascii="宋体" w:hAnsi="宋体" w:eastAsia="宋体"/>
                <w:sz w:val="16"/>
              </w:rPr>
              <w:t>10</w:t>
            </w:r>
          </w:p>
        </w:tc>
      </w:tr>
    </w:tbl>
    <w:p w14:paraId="6C2EC7B4">
      <w:r>
        <w:br w:type="page"/>
      </w:r>
    </w:p>
    <w:p w14:paraId="25EC4894">
      <w:pPr>
        <w:spacing w:line="640" w:lineRule="exact"/>
        <w:ind w:firstLine="640"/>
        <w:jc w:val="both"/>
        <w:outlineLvl w:val="2"/>
      </w:pPr>
      <w:r>
        <w:rPr>
          <w:rFonts w:ascii="黑体" w:hAnsi="黑体" w:eastAsia="黑体"/>
          <w:sz w:val="32"/>
        </w:rPr>
        <w:t>十二、其他需说明的事项</w:t>
      </w:r>
    </w:p>
    <w:p w14:paraId="002819B9">
      <w:pPr>
        <w:spacing w:line="580" w:lineRule="exact"/>
        <w:ind w:firstLine="640"/>
        <w:jc w:val="both"/>
      </w:pPr>
      <w:r>
        <w:rPr>
          <w:rFonts w:ascii="仿宋_GB2312" w:hAnsi="仿宋_GB2312" w:eastAsia="仿宋_GB2312"/>
          <w:b w:val="0"/>
          <w:sz w:val="32"/>
        </w:rPr>
        <w:t>本单位无其他需说明的事项。</w:t>
      </w:r>
    </w:p>
    <w:p w14:paraId="22EED775">
      <w:r>
        <w:br w:type="page"/>
      </w:r>
    </w:p>
    <w:p w14:paraId="69ADBD09">
      <w:pPr>
        <w:spacing w:line="240" w:lineRule="auto"/>
        <w:jc w:val="center"/>
        <w:outlineLvl w:val="1"/>
      </w:pPr>
      <w:r>
        <w:rPr>
          <w:rFonts w:ascii="黑体" w:hAnsi="黑体" w:eastAsia="黑体"/>
          <w:sz w:val="32"/>
        </w:rPr>
        <w:t>第三部分 专业名词解释</w:t>
      </w:r>
    </w:p>
    <w:p w14:paraId="100581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B1C7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E2AAE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A7D1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0409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4332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873B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AEF6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6E0C9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95908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96539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9ADAA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56966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452B8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C28D4FA">
      <w:r>
        <w:br w:type="page"/>
      </w:r>
    </w:p>
    <w:p w14:paraId="1B6B2C67">
      <w:pPr>
        <w:spacing w:line="240" w:lineRule="auto"/>
        <w:jc w:val="center"/>
        <w:outlineLvl w:val="1"/>
      </w:pPr>
      <w:r>
        <w:rPr>
          <w:rFonts w:ascii="黑体" w:hAnsi="黑体" w:eastAsia="黑体"/>
          <w:sz w:val="32"/>
        </w:rPr>
        <w:t>第四部分 部门决算报表（见附表）</w:t>
      </w:r>
    </w:p>
    <w:p w14:paraId="3D3D84DE">
      <w:pPr>
        <w:spacing w:line="240" w:lineRule="auto"/>
        <w:ind w:firstLine="640"/>
        <w:jc w:val="both"/>
      </w:pPr>
      <w:r>
        <w:rPr>
          <w:rFonts w:ascii="仿宋_GB2312" w:hAnsi="仿宋_GB2312" w:eastAsia="仿宋_GB2312"/>
          <w:b w:val="0"/>
          <w:sz w:val="32"/>
        </w:rPr>
        <w:t>一、《收入支出决算总表》</w:t>
      </w:r>
    </w:p>
    <w:p w14:paraId="3C531C81">
      <w:pPr>
        <w:spacing w:line="240" w:lineRule="auto"/>
        <w:ind w:firstLine="640"/>
        <w:jc w:val="both"/>
      </w:pPr>
      <w:r>
        <w:rPr>
          <w:rFonts w:ascii="仿宋_GB2312" w:hAnsi="仿宋_GB2312" w:eastAsia="仿宋_GB2312"/>
          <w:b w:val="0"/>
          <w:sz w:val="32"/>
        </w:rPr>
        <w:t>二、《收入决算表》</w:t>
      </w:r>
    </w:p>
    <w:p w14:paraId="06BE13E7">
      <w:pPr>
        <w:spacing w:line="240" w:lineRule="auto"/>
        <w:ind w:firstLine="640"/>
        <w:jc w:val="both"/>
      </w:pPr>
      <w:r>
        <w:rPr>
          <w:rFonts w:ascii="仿宋_GB2312" w:hAnsi="仿宋_GB2312" w:eastAsia="仿宋_GB2312"/>
          <w:b w:val="0"/>
          <w:sz w:val="32"/>
        </w:rPr>
        <w:t>三、《支出决算表》</w:t>
      </w:r>
    </w:p>
    <w:p w14:paraId="2259E1D6">
      <w:pPr>
        <w:spacing w:line="240" w:lineRule="auto"/>
        <w:ind w:firstLine="640"/>
        <w:jc w:val="both"/>
      </w:pPr>
      <w:r>
        <w:rPr>
          <w:rFonts w:ascii="仿宋_GB2312" w:hAnsi="仿宋_GB2312" w:eastAsia="仿宋_GB2312"/>
          <w:b w:val="0"/>
          <w:sz w:val="32"/>
        </w:rPr>
        <w:t>四、《财政拨款收入支出决算总表》</w:t>
      </w:r>
    </w:p>
    <w:p w14:paraId="56229127">
      <w:pPr>
        <w:spacing w:line="240" w:lineRule="auto"/>
        <w:ind w:firstLine="640"/>
        <w:jc w:val="both"/>
      </w:pPr>
      <w:r>
        <w:rPr>
          <w:rFonts w:ascii="仿宋_GB2312" w:hAnsi="仿宋_GB2312" w:eastAsia="仿宋_GB2312"/>
          <w:b w:val="0"/>
          <w:sz w:val="32"/>
        </w:rPr>
        <w:t>五、《一般公共预算财政拨款支出决算表》</w:t>
      </w:r>
    </w:p>
    <w:p w14:paraId="3E726877">
      <w:pPr>
        <w:spacing w:line="240" w:lineRule="auto"/>
        <w:ind w:firstLine="640"/>
        <w:jc w:val="both"/>
      </w:pPr>
      <w:r>
        <w:rPr>
          <w:rFonts w:ascii="仿宋_GB2312" w:hAnsi="仿宋_GB2312" w:eastAsia="仿宋_GB2312"/>
          <w:b w:val="0"/>
          <w:sz w:val="32"/>
        </w:rPr>
        <w:t>六、《一般公共预算财政拨款基本支出决算表》</w:t>
      </w:r>
    </w:p>
    <w:p w14:paraId="75B2DC69">
      <w:pPr>
        <w:spacing w:line="240" w:lineRule="auto"/>
        <w:ind w:firstLine="640"/>
        <w:jc w:val="both"/>
      </w:pPr>
      <w:r>
        <w:rPr>
          <w:rFonts w:ascii="仿宋_GB2312" w:hAnsi="仿宋_GB2312" w:eastAsia="仿宋_GB2312"/>
          <w:b w:val="0"/>
          <w:sz w:val="32"/>
        </w:rPr>
        <w:t>七、《政府性基金预算财政拨款收入支出决算表》</w:t>
      </w:r>
    </w:p>
    <w:p w14:paraId="2E5D544C">
      <w:pPr>
        <w:spacing w:line="240" w:lineRule="auto"/>
        <w:ind w:firstLine="640"/>
        <w:jc w:val="both"/>
      </w:pPr>
      <w:r>
        <w:rPr>
          <w:rFonts w:ascii="仿宋_GB2312" w:hAnsi="仿宋_GB2312" w:eastAsia="仿宋_GB2312"/>
          <w:b w:val="0"/>
          <w:sz w:val="32"/>
        </w:rPr>
        <w:t>八、《国有资本经营预算财政拨款收入支出决算表》</w:t>
      </w:r>
    </w:p>
    <w:p w14:paraId="2A3494A4">
      <w:pPr>
        <w:spacing w:line="240" w:lineRule="auto"/>
        <w:ind w:firstLine="640"/>
        <w:jc w:val="both"/>
      </w:pPr>
      <w:r>
        <w:rPr>
          <w:rFonts w:ascii="仿宋_GB2312" w:hAnsi="仿宋_GB2312" w:eastAsia="仿宋_GB2312"/>
          <w:b w:val="0"/>
          <w:sz w:val="32"/>
        </w:rPr>
        <w:t>九、《财政拨款“三公”经费支出决算表》</w:t>
      </w:r>
    </w:p>
    <w:p w14:paraId="0ABD7B24">
      <w:pPr>
        <w:spacing w:line="240" w:lineRule="auto"/>
        <w:ind w:firstLine="640"/>
        <w:jc w:val="both"/>
      </w:pPr>
    </w:p>
    <w:p w14:paraId="7AACF8AA">
      <w:pPr>
        <w:spacing w:line="240" w:lineRule="auto"/>
        <w:ind w:firstLine="640"/>
        <w:jc w:val="both"/>
      </w:pPr>
    </w:p>
    <w:p w14:paraId="73AAAF60">
      <w:pPr>
        <w:spacing w:line="240" w:lineRule="auto"/>
        <w:ind w:firstLine="640"/>
        <w:jc w:val="both"/>
      </w:pPr>
    </w:p>
    <w:p w14:paraId="23C5C025">
      <w:pPr>
        <w:spacing w:line="240" w:lineRule="auto"/>
        <w:ind w:firstLine="640"/>
        <w:jc w:val="both"/>
      </w:pPr>
    </w:p>
    <w:p w14:paraId="2AA98A9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3578B7-D976-4B88-A5DC-A9A8D89966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4A8328A-E5E0-40F1-94A1-A5A4DDDB7147}"/>
  </w:font>
  <w:font w:name="仿宋_GB2312">
    <w:altName w:val="仿宋"/>
    <w:panose1 w:val="02010609030101010101"/>
    <w:charset w:val="86"/>
    <w:family w:val="modern"/>
    <w:pitch w:val="default"/>
    <w:sig w:usb0="00000000" w:usb1="00000000" w:usb2="00000000" w:usb3="00000000" w:csb0="00040000" w:csb1="00000000"/>
    <w:embedRegular r:id="rId3" w:fontKey="{5983DEA7-EF16-4BA7-A5EA-23926608861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0273F8A7-CA58-40A5-860F-D15B2C1B0C1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C247B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14006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3955</Words>
  <Characters>4602</Characters>
  <Lines>0</Lines>
  <Paragraphs>0</Paragraphs>
  <TotalTime>2</TotalTime>
  <ScaleCrop>false</ScaleCrop>
  <LinksUpToDate>false</LinksUpToDate>
  <CharactersWithSpaces>4610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2025-09-15T08:44:14Z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