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阿克陶县儿童福利院2024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F62039">
      <w:r>
        <w:br w:type="page"/>
      </w:r>
    </w:p>
    <w:p w14:paraId="0A88C0F4">
      <w:pPr>
        <w:spacing w:line="640" w:lineRule="exact"/>
        <w:jc w:val="center"/>
        <w:outlineLvl w:val="1"/>
      </w:pPr>
      <w:r>
        <w:rPr>
          <w:rFonts w:ascii="黑体" w:hAnsi="黑体" w:eastAsia="黑体"/>
          <w:sz w:val="32"/>
        </w:rPr>
        <w:t>第一部分 单位概况</w:t>
      </w:r>
    </w:p>
    <w:p w14:paraId="49EB1886">
      <w:pPr>
        <w:spacing w:line="640" w:lineRule="exact"/>
        <w:ind w:firstLine="640"/>
        <w:jc w:val="both"/>
        <w:outlineLvl w:val="2"/>
      </w:pPr>
      <w:r>
        <w:rPr>
          <w:rFonts w:ascii="黑体" w:hAnsi="黑体" w:eastAsia="黑体"/>
          <w:sz w:val="32"/>
        </w:rPr>
        <w:t>一、主要职能</w:t>
      </w:r>
    </w:p>
    <w:p w14:paraId="5FD1BB6F">
      <w:pPr>
        <w:spacing w:line="580" w:lineRule="exact"/>
        <w:ind w:firstLine="640"/>
        <w:jc w:val="both"/>
      </w:pPr>
      <w:r>
        <w:rPr>
          <w:rFonts w:ascii="仿宋_GB2312" w:hAnsi="仿宋_GB2312" w:eastAsia="仿宋_GB2312"/>
          <w:sz w:val="32"/>
        </w:rPr>
        <w:t>（一）贯彻落实国家对孤残儿童的救助政策。</w:t>
      </w:r>
    </w:p>
    <w:p w14:paraId="0E4F04F9">
      <w:pPr>
        <w:spacing w:line="580" w:lineRule="exact"/>
        <w:ind w:firstLine="640"/>
        <w:jc w:val="both"/>
      </w:pPr>
      <w:r>
        <w:rPr>
          <w:rFonts w:ascii="仿宋_GB2312" w:hAnsi="仿宋_GB2312" w:eastAsia="仿宋_GB2312"/>
          <w:sz w:val="32"/>
        </w:rPr>
        <w:t>（二）研究拟订全县孤儿救助实施方案。</w:t>
      </w:r>
    </w:p>
    <w:p w14:paraId="6CE59171">
      <w:pPr>
        <w:spacing w:line="580" w:lineRule="exact"/>
        <w:ind w:firstLine="640"/>
        <w:jc w:val="both"/>
      </w:pPr>
      <w:r>
        <w:rPr>
          <w:rFonts w:ascii="仿宋_GB2312" w:hAnsi="仿宋_GB2312" w:eastAsia="仿宋_GB2312"/>
          <w:sz w:val="32"/>
        </w:rPr>
        <w:t>（三）收养确实无法分散安置的孤残儿童和受</w:t>
      </w:r>
      <w:r>
        <w:rPr>
          <w:rFonts w:hint="eastAsia" w:ascii="仿宋_GB2312" w:hAnsi="仿宋_GB2312" w:eastAsia="仿宋_GB2312"/>
          <w:sz w:val="32"/>
          <w:lang w:eastAsia="zh-CN"/>
        </w:rPr>
        <w:t>AZB</w:t>
      </w:r>
      <w:r>
        <w:rPr>
          <w:rFonts w:ascii="仿宋_GB2312" w:hAnsi="仿宋_GB2312" w:eastAsia="仿宋_GB2312"/>
          <w:sz w:val="32"/>
        </w:rPr>
        <w:t>影响的致孤儿童。</w:t>
      </w:r>
    </w:p>
    <w:p w14:paraId="398DA72C">
      <w:pPr>
        <w:spacing w:line="580" w:lineRule="exact"/>
        <w:ind w:firstLine="640"/>
        <w:jc w:val="both"/>
      </w:pPr>
      <w:r>
        <w:rPr>
          <w:rFonts w:ascii="仿宋_GB2312" w:hAnsi="仿宋_GB2312" w:eastAsia="仿宋_GB2312"/>
          <w:sz w:val="32"/>
        </w:rPr>
        <w:t>（四）为孤残儿童提供养育、预防、医疗、康复、特殊教育、心理辅导、职业技能培训。</w:t>
      </w:r>
    </w:p>
    <w:p w14:paraId="193D18A4">
      <w:pPr>
        <w:spacing w:line="580" w:lineRule="exact"/>
        <w:ind w:firstLine="640"/>
        <w:jc w:val="both"/>
      </w:pPr>
      <w:r>
        <w:rPr>
          <w:rFonts w:ascii="仿宋_GB2312" w:hAnsi="仿宋_GB2312" w:eastAsia="仿宋_GB2312"/>
          <w:sz w:val="32"/>
        </w:rPr>
        <w:t>（五）承担全县孤儿建档工作，定期开展巡访和监督评估孤儿养育状况，对监护人进行指导和培训。</w:t>
      </w:r>
    </w:p>
    <w:p w14:paraId="5ED4F2B8">
      <w:pPr>
        <w:spacing w:line="640" w:lineRule="exact"/>
        <w:ind w:firstLine="640"/>
        <w:jc w:val="both"/>
        <w:outlineLvl w:val="2"/>
      </w:pPr>
      <w:r>
        <w:rPr>
          <w:rFonts w:ascii="黑体" w:hAnsi="黑体" w:eastAsia="黑体"/>
          <w:sz w:val="32"/>
        </w:rPr>
        <w:t>二、机构设置及人员情况</w:t>
      </w:r>
    </w:p>
    <w:p w14:paraId="24206745">
      <w:pPr>
        <w:spacing w:line="580" w:lineRule="exact"/>
        <w:ind w:firstLine="640"/>
        <w:jc w:val="both"/>
      </w:pPr>
      <w:r>
        <w:rPr>
          <w:rFonts w:ascii="仿宋_GB2312" w:hAnsi="仿宋_GB2312" w:eastAsia="仿宋_GB2312"/>
          <w:sz w:val="32"/>
        </w:rPr>
        <w:t>阿克陶县儿童福利院2024年度，实有人数20人，其中：在职人员10人，增加0人；离休人员0人，增加0人；退休人员10人,减少1人。</w:t>
      </w:r>
    </w:p>
    <w:p w14:paraId="5557227B">
      <w:pPr>
        <w:spacing w:line="580" w:lineRule="exact"/>
        <w:ind w:firstLine="640"/>
        <w:jc w:val="both"/>
      </w:pPr>
      <w:r>
        <w:rPr>
          <w:rFonts w:ascii="仿宋_GB2312" w:hAnsi="仿宋_GB2312" w:eastAsia="仿宋_GB2312"/>
          <w:sz w:val="32"/>
        </w:rPr>
        <w:t>阿克陶县儿童福利院无下属预算单位，下设3个科室，分别是：办公室、财务室、医务室。</w:t>
      </w:r>
    </w:p>
    <w:p w14:paraId="7811BED0">
      <w:r>
        <w:br w:type="page"/>
      </w:r>
    </w:p>
    <w:p w14:paraId="106FF96B">
      <w:pPr>
        <w:spacing w:line="240" w:lineRule="auto"/>
        <w:jc w:val="center"/>
        <w:outlineLvl w:val="1"/>
      </w:pPr>
      <w:r>
        <w:rPr>
          <w:rFonts w:ascii="黑体" w:hAnsi="黑体" w:eastAsia="黑体"/>
          <w:sz w:val="32"/>
        </w:rPr>
        <w:t>第二部分 部门决算情况说明</w:t>
      </w:r>
    </w:p>
    <w:p w14:paraId="6B04B87D">
      <w:pPr>
        <w:spacing w:line="640" w:lineRule="exact"/>
        <w:ind w:firstLine="640"/>
        <w:jc w:val="both"/>
        <w:outlineLvl w:val="2"/>
      </w:pPr>
      <w:r>
        <w:rPr>
          <w:rFonts w:ascii="黑体" w:hAnsi="黑体" w:eastAsia="黑体"/>
          <w:sz w:val="32"/>
        </w:rPr>
        <w:t>一、收入支出决算总体情况说明</w:t>
      </w:r>
    </w:p>
    <w:p w14:paraId="1D181E67">
      <w:pPr>
        <w:spacing w:line="580" w:lineRule="exact"/>
        <w:ind w:firstLine="640"/>
        <w:jc w:val="both"/>
      </w:pPr>
      <w:r>
        <w:rPr>
          <w:rFonts w:ascii="仿宋_GB2312" w:hAnsi="仿宋_GB2312" w:eastAsia="仿宋_GB2312"/>
          <w:b/>
          <w:sz w:val="32"/>
        </w:rPr>
        <w:t>2024年度收入总计337.12万元，</w:t>
      </w:r>
      <w:r>
        <w:rPr>
          <w:rFonts w:ascii="仿宋_GB2312" w:hAnsi="仿宋_GB2312" w:eastAsia="仿宋_GB2312"/>
          <w:b w:val="0"/>
          <w:sz w:val="32"/>
        </w:rPr>
        <w:t>其中：本年收入合计337.12万元，使用非财政拨款结余（含专用结余）0.00万元，年初结转和结余0.00万元。</w:t>
      </w:r>
    </w:p>
    <w:p w14:paraId="6D05E2ED">
      <w:pPr>
        <w:spacing w:line="580" w:lineRule="exact"/>
        <w:ind w:firstLine="640"/>
        <w:jc w:val="both"/>
      </w:pPr>
      <w:r>
        <w:rPr>
          <w:rFonts w:ascii="仿宋_GB2312" w:hAnsi="仿宋_GB2312" w:eastAsia="仿宋_GB2312"/>
          <w:b/>
          <w:sz w:val="32"/>
        </w:rPr>
        <w:t>2024年度支出总计337.12万元，</w:t>
      </w:r>
      <w:r>
        <w:rPr>
          <w:rFonts w:ascii="仿宋_GB2312" w:hAnsi="仿宋_GB2312" w:eastAsia="仿宋_GB2312"/>
          <w:b w:val="0"/>
          <w:sz w:val="32"/>
        </w:rPr>
        <w:t>其中：本年支出合计334.76万元，结余分配0.00万元，年末结转和结余2.36万元。</w:t>
      </w:r>
    </w:p>
    <w:p w14:paraId="58FEEEEF">
      <w:pPr>
        <w:spacing w:line="580" w:lineRule="exact"/>
        <w:ind w:firstLine="640"/>
        <w:jc w:val="both"/>
      </w:pPr>
      <w:r>
        <w:rPr>
          <w:rFonts w:ascii="仿宋_GB2312" w:hAnsi="仿宋_GB2312" w:eastAsia="仿宋_GB2312"/>
          <w:b w:val="0"/>
          <w:sz w:val="32"/>
        </w:rPr>
        <w:t>收入支出总体与上年相比，减少122.75万元，下降26.69%，主要原因是：本年减少中央彩票给公益金社会福利儿童福利院附属设施设备提升改造项目。</w:t>
      </w:r>
    </w:p>
    <w:p w14:paraId="021F904A">
      <w:pPr>
        <w:spacing w:line="640" w:lineRule="exact"/>
        <w:ind w:firstLine="640"/>
        <w:jc w:val="both"/>
        <w:outlineLvl w:val="2"/>
      </w:pPr>
      <w:r>
        <w:rPr>
          <w:rFonts w:ascii="黑体" w:hAnsi="黑体" w:eastAsia="黑体"/>
          <w:sz w:val="32"/>
        </w:rPr>
        <w:t>二、收入决算情况说明</w:t>
      </w:r>
    </w:p>
    <w:p w14:paraId="4B059FE2">
      <w:pPr>
        <w:spacing w:line="580" w:lineRule="exact"/>
        <w:ind w:firstLine="640"/>
        <w:jc w:val="both"/>
      </w:pPr>
      <w:r>
        <w:rPr>
          <w:rFonts w:ascii="仿宋_GB2312" w:hAnsi="仿宋_GB2312" w:eastAsia="仿宋_GB2312"/>
          <w:b/>
          <w:sz w:val="32"/>
        </w:rPr>
        <w:t>本年收入337.12万元，</w:t>
      </w:r>
      <w:r>
        <w:rPr>
          <w:rFonts w:ascii="仿宋_GB2312" w:hAnsi="仿宋_GB2312" w:eastAsia="仿宋_GB2312"/>
          <w:b w:val="0"/>
          <w:sz w:val="32"/>
        </w:rPr>
        <w:t>其中：财政拨款收入331.24万元，占98.26%；上级补助收入0.00万元，占0.00%；事业收入0.00万元，占0.00%；经营收入0.00万元，占0.00%；附属单位上缴收入0.00万元，占0.00%；其他收入5.88万元，占1.74%。</w:t>
      </w:r>
    </w:p>
    <w:p w14:paraId="1C048178">
      <w:pPr>
        <w:spacing w:line="640" w:lineRule="exact"/>
        <w:ind w:firstLine="640"/>
        <w:jc w:val="both"/>
        <w:outlineLvl w:val="2"/>
      </w:pPr>
      <w:r>
        <w:rPr>
          <w:rFonts w:ascii="黑体" w:hAnsi="黑体" w:eastAsia="黑体"/>
          <w:sz w:val="32"/>
        </w:rPr>
        <w:t>三、支出决算情况说明</w:t>
      </w:r>
    </w:p>
    <w:p w14:paraId="611E4A09">
      <w:pPr>
        <w:spacing w:line="580" w:lineRule="exact"/>
        <w:ind w:firstLine="640"/>
        <w:jc w:val="both"/>
      </w:pPr>
      <w:r>
        <w:rPr>
          <w:rFonts w:ascii="仿宋_GB2312" w:hAnsi="仿宋_GB2312" w:eastAsia="仿宋_GB2312"/>
          <w:b/>
          <w:sz w:val="32"/>
        </w:rPr>
        <w:t>本年支出334.76万元，</w:t>
      </w:r>
      <w:r>
        <w:rPr>
          <w:rFonts w:ascii="仿宋_GB2312" w:hAnsi="仿宋_GB2312" w:eastAsia="仿宋_GB2312"/>
          <w:b w:val="0"/>
          <w:sz w:val="32"/>
        </w:rPr>
        <w:t>其中：基本支出257.79万元，占77.01%；项目支出76.97万元，占22.99%；上缴上级支出0.00万元，占0.00%；经营支出0.00万元，占0.00%；对附属单位补助支出0.00万元，占0.00%。</w:t>
      </w:r>
    </w:p>
    <w:p w14:paraId="02A81407">
      <w:pPr>
        <w:spacing w:line="640" w:lineRule="exact"/>
        <w:ind w:firstLine="640"/>
        <w:jc w:val="both"/>
        <w:outlineLvl w:val="2"/>
      </w:pPr>
      <w:r>
        <w:rPr>
          <w:rFonts w:ascii="黑体" w:hAnsi="黑体" w:eastAsia="黑体"/>
          <w:sz w:val="32"/>
        </w:rPr>
        <w:t>四、财政拨款收入支出决算总体情况说明</w:t>
      </w:r>
    </w:p>
    <w:p w14:paraId="45E9435C">
      <w:pPr>
        <w:spacing w:line="580" w:lineRule="exact"/>
        <w:ind w:firstLine="640"/>
        <w:jc w:val="both"/>
      </w:pPr>
      <w:r>
        <w:rPr>
          <w:rFonts w:ascii="仿宋_GB2312" w:hAnsi="仿宋_GB2312" w:eastAsia="仿宋_GB2312"/>
          <w:b/>
          <w:sz w:val="32"/>
        </w:rPr>
        <w:t>2024年度财政拨款收入总计331.24万元，</w:t>
      </w:r>
      <w:r>
        <w:rPr>
          <w:rFonts w:ascii="仿宋_GB2312" w:hAnsi="仿宋_GB2312" w:eastAsia="仿宋_GB2312"/>
          <w:b w:val="0"/>
          <w:sz w:val="32"/>
        </w:rPr>
        <w:t>其中：年初财政拨款结转和结余0.00万元，本年财政拨款收入331.24万元。</w:t>
      </w:r>
      <w:r>
        <w:rPr>
          <w:rFonts w:ascii="仿宋_GB2312" w:hAnsi="仿宋_GB2312" w:eastAsia="仿宋_GB2312"/>
          <w:b/>
          <w:sz w:val="32"/>
        </w:rPr>
        <w:t>财政拨款支出总计331.24万元，</w:t>
      </w:r>
      <w:r>
        <w:rPr>
          <w:rFonts w:ascii="仿宋_GB2312" w:hAnsi="仿宋_GB2312" w:eastAsia="仿宋_GB2312"/>
          <w:b w:val="0"/>
          <w:sz w:val="32"/>
        </w:rPr>
        <w:t>其中：年末财政拨款结转和结余0.00万元，本年财政拨款支出331.24万元。</w:t>
      </w:r>
    </w:p>
    <w:p w14:paraId="48F8563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减少118.73万元，下降26.39%，主要原因是：本年减少中央彩票给公益金社会福利儿童福利院附属设施设备提升改造项目。</w:t>
      </w:r>
      <w:r>
        <w:rPr>
          <w:rFonts w:ascii="仿宋_GB2312" w:hAnsi="仿宋_GB2312" w:eastAsia="仿宋_GB2312"/>
          <w:b/>
          <w:sz w:val="32"/>
        </w:rPr>
        <w:t>与年初预算相比，</w:t>
      </w:r>
      <w:r>
        <w:rPr>
          <w:rFonts w:ascii="仿宋_GB2312" w:hAnsi="仿宋_GB2312" w:eastAsia="仿宋_GB2312"/>
          <w:b w:val="0"/>
          <w:sz w:val="32"/>
        </w:rPr>
        <w:t>年初预算数329.10万元，决算数331.24万元，预决算差异率0.65%，主要原因是：年中追加人员工资、社保、公积金基数调增部分资金，导致预决算存在差异。</w:t>
      </w:r>
    </w:p>
    <w:p w14:paraId="1B681726">
      <w:pPr>
        <w:spacing w:line="640" w:lineRule="exact"/>
        <w:ind w:firstLine="640"/>
        <w:jc w:val="both"/>
        <w:outlineLvl w:val="2"/>
      </w:pPr>
      <w:r>
        <w:rPr>
          <w:rFonts w:ascii="黑体" w:hAnsi="黑体" w:eastAsia="黑体"/>
          <w:sz w:val="32"/>
        </w:rPr>
        <w:t>五、一般公共预算财政拨款支出决算情况说明</w:t>
      </w:r>
    </w:p>
    <w:p w14:paraId="699A0CF7">
      <w:pPr>
        <w:spacing w:line="640" w:lineRule="exact"/>
        <w:ind w:firstLine="640"/>
        <w:jc w:val="both"/>
        <w:outlineLvl w:val="3"/>
      </w:pPr>
      <w:r>
        <w:rPr>
          <w:rFonts w:ascii="楷体_GB2312" w:hAnsi="楷体_GB2312" w:eastAsia="楷体_GB2312"/>
          <w:b/>
          <w:sz w:val="32"/>
        </w:rPr>
        <w:t>（一）一般公共预算财政拨款支出决算总体情况</w:t>
      </w:r>
    </w:p>
    <w:p w14:paraId="430ABC07">
      <w:pPr>
        <w:spacing w:line="580" w:lineRule="exact"/>
        <w:ind w:firstLine="640"/>
        <w:jc w:val="both"/>
      </w:pPr>
      <w:r>
        <w:rPr>
          <w:rFonts w:ascii="仿宋_GB2312" w:hAnsi="仿宋_GB2312" w:eastAsia="仿宋_GB2312"/>
          <w:b/>
          <w:sz w:val="32"/>
        </w:rPr>
        <w:t>2024年度一般公共预算财政拨款支出314.24万元，</w:t>
      </w:r>
      <w:r>
        <w:rPr>
          <w:rFonts w:ascii="仿宋_GB2312" w:hAnsi="仿宋_GB2312" w:eastAsia="仿宋_GB2312"/>
          <w:b w:val="0"/>
          <w:sz w:val="32"/>
        </w:rPr>
        <w:t>占本年支出合计的93.87%。</w:t>
      </w:r>
      <w:r>
        <w:rPr>
          <w:rFonts w:ascii="仿宋_GB2312" w:hAnsi="仿宋_GB2312" w:eastAsia="仿宋_GB2312"/>
          <w:b/>
          <w:sz w:val="32"/>
        </w:rPr>
        <w:t>与上年相比，</w:t>
      </w:r>
      <w:r>
        <w:rPr>
          <w:rFonts w:ascii="仿宋_GB2312" w:hAnsi="仿宋_GB2312" w:eastAsia="仿宋_GB2312"/>
          <w:b w:val="0"/>
          <w:sz w:val="32"/>
        </w:rPr>
        <w:t>减少7.14万元，下降2.22%，主要原因是：本年中央财政对困难群众救助补助-孤儿项目减少。</w:t>
      </w:r>
      <w:r>
        <w:rPr>
          <w:rFonts w:ascii="仿宋_GB2312" w:hAnsi="仿宋_GB2312" w:eastAsia="仿宋_GB2312"/>
          <w:b/>
          <w:sz w:val="32"/>
        </w:rPr>
        <w:t>与年初预算相比,</w:t>
      </w:r>
      <w:r>
        <w:rPr>
          <w:rFonts w:ascii="仿宋_GB2312" w:hAnsi="仿宋_GB2312" w:eastAsia="仿宋_GB2312"/>
          <w:b w:val="0"/>
          <w:sz w:val="32"/>
        </w:rPr>
        <w:t>年初预算数312.10万元，决算数314.24万元，预决算差异率0.69%，主要原因是：年中追加人员工资、社保、公积金基数调增部分资金，导致预决算存在差异。</w:t>
      </w:r>
    </w:p>
    <w:p w14:paraId="7875F29E">
      <w:pPr>
        <w:spacing w:line="640" w:lineRule="exact"/>
        <w:ind w:firstLine="640"/>
        <w:jc w:val="both"/>
        <w:outlineLvl w:val="3"/>
      </w:pPr>
      <w:r>
        <w:rPr>
          <w:rFonts w:ascii="楷体_GB2312" w:hAnsi="楷体_GB2312" w:eastAsia="楷体_GB2312"/>
          <w:b/>
          <w:sz w:val="32"/>
        </w:rPr>
        <w:t>（二）一般公共预算财政拨款支出决算结构情况</w:t>
      </w:r>
    </w:p>
    <w:p w14:paraId="0F17FF01">
      <w:pPr>
        <w:spacing w:line="580" w:lineRule="exact"/>
        <w:ind w:firstLine="640"/>
        <w:jc w:val="both"/>
      </w:pPr>
      <w:r>
        <w:rPr>
          <w:rFonts w:ascii="仿宋_GB2312" w:hAnsi="仿宋_GB2312" w:eastAsia="仿宋_GB2312"/>
          <w:b w:val="0"/>
          <w:sz w:val="32"/>
        </w:rPr>
        <w:t>1.社会保障和就业支出(类)289.07万元,占91.99%。</w:t>
      </w:r>
    </w:p>
    <w:p w14:paraId="158E46A6">
      <w:pPr>
        <w:spacing w:line="580" w:lineRule="exact"/>
        <w:ind w:firstLine="640"/>
        <w:jc w:val="both"/>
      </w:pPr>
      <w:r>
        <w:rPr>
          <w:rFonts w:ascii="仿宋_GB2312" w:hAnsi="仿宋_GB2312" w:eastAsia="仿宋_GB2312"/>
          <w:b w:val="0"/>
          <w:sz w:val="32"/>
        </w:rPr>
        <w:t>2.卫生健康支出(类)7.76万元,占2.47%。</w:t>
      </w:r>
    </w:p>
    <w:p w14:paraId="68BCC4A1">
      <w:pPr>
        <w:spacing w:line="580" w:lineRule="exact"/>
        <w:ind w:firstLine="640"/>
        <w:jc w:val="both"/>
      </w:pPr>
      <w:r>
        <w:rPr>
          <w:rFonts w:ascii="仿宋_GB2312" w:hAnsi="仿宋_GB2312" w:eastAsia="仿宋_GB2312"/>
          <w:b w:val="0"/>
          <w:sz w:val="32"/>
        </w:rPr>
        <w:t>3.住房保障支出(类)17.41万元,占5.54%。</w:t>
      </w:r>
    </w:p>
    <w:p w14:paraId="271E55F3">
      <w:pPr>
        <w:spacing w:line="640" w:lineRule="exact"/>
        <w:ind w:firstLine="640"/>
        <w:jc w:val="both"/>
        <w:outlineLvl w:val="3"/>
      </w:pPr>
      <w:r>
        <w:rPr>
          <w:rFonts w:ascii="楷体_GB2312" w:hAnsi="楷体_GB2312" w:eastAsia="楷体_GB2312"/>
          <w:b/>
          <w:sz w:val="32"/>
        </w:rPr>
        <w:t>（三）一般公共预算财政拨款支出决算具体情况</w:t>
      </w:r>
    </w:p>
    <w:p w14:paraId="0064299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1.社会保障和就业支出(类)行政事业单位养老支出(款)事业单位离退休(项):支出决算数为13.92万元，比上年决算增加2.09万元，增长17.67%,主要原因是：本年增加退休人员基础绩效奖，退休费支出增加。</w:t>
      </w:r>
    </w:p>
    <w:p w14:paraId="22517B6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22.56万元，比上年决算增加3.39万元，增长17.68%,主要原因是：本年在职人员工资基数调增，养老缴费基数上涨，相应支出增加。</w:t>
      </w:r>
    </w:p>
    <w:p w14:paraId="74927686">
      <w:pPr>
        <w:spacing w:line="580" w:lineRule="exact"/>
        <w:ind w:firstLine="640"/>
        <w:jc w:val="both"/>
      </w:pPr>
      <w:r>
        <w:rPr>
          <w:rFonts w:ascii="仿宋_GB2312" w:hAnsi="仿宋_GB2312" w:eastAsia="仿宋_GB2312"/>
          <w:b w:val="0"/>
          <w:sz w:val="32"/>
        </w:rPr>
        <w:t>3.社会保障和就业支出(类)社会福利(款)儿童福利(项):支出决算数为192.62万元，比上年决算减少22.68万元，下降10.53%,主要原因是：本年中央财政对困难群众救助补助-孤儿项目减少。</w:t>
      </w:r>
    </w:p>
    <w:p w14:paraId="4403A4DE">
      <w:pPr>
        <w:spacing w:line="580" w:lineRule="exact"/>
        <w:ind w:firstLine="640"/>
        <w:jc w:val="both"/>
      </w:pPr>
      <w:r>
        <w:rPr>
          <w:rFonts w:ascii="仿宋_GB2312" w:hAnsi="仿宋_GB2312" w:eastAsia="仿宋_GB2312"/>
          <w:b w:val="0"/>
          <w:sz w:val="32"/>
        </w:rPr>
        <w:t>4.社会保障和就业支出(类)特困人员救助供养(款)城市特困人员救助供养支出(项):支出决算数为9.43万元，比上年决算增加2.39万元，增长33.95%,主要原因是：本年增加中央财政困难群众救助补助项目。</w:t>
      </w:r>
    </w:p>
    <w:p w14:paraId="7C02F227">
      <w:pPr>
        <w:spacing w:line="580" w:lineRule="exact"/>
        <w:ind w:firstLine="640"/>
        <w:jc w:val="both"/>
      </w:pPr>
      <w:r>
        <w:rPr>
          <w:rFonts w:ascii="仿宋_GB2312" w:hAnsi="仿宋_GB2312" w:eastAsia="仿宋_GB2312"/>
          <w:b w:val="0"/>
          <w:sz w:val="32"/>
        </w:rPr>
        <w:t>5.社会保障和就业支出(类)特困人员救助供养(款)农村特困人员救助供养支出(项):支出决算数为47.13万元，比上年决算增加1.56万元，增长3.42%,主要原因是：本年增加中央财政困难群众救助补助项目。</w:t>
      </w:r>
    </w:p>
    <w:p w14:paraId="30E1F2C8">
      <w:pPr>
        <w:spacing w:line="580" w:lineRule="exact"/>
        <w:ind w:firstLine="640"/>
        <w:jc w:val="both"/>
      </w:pPr>
      <w:r>
        <w:rPr>
          <w:rFonts w:ascii="仿宋_GB2312" w:hAnsi="仿宋_GB2312" w:eastAsia="仿宋_GB2312"/>
          <w:b w:val="0"/>
          <w:sz w:val="32"/>
        </w:rPr>
        <w:t>6.社会保障和就业支出(类)其他生活救助(款)其他城市生活救助(项):支出决算数为0.40万元，比上年决算增加0.40万元，增长100.00%,主要原因是：本年增加2024年中央财政困难群众一次性困难补助项目城市特困经费支出。</w:t>
      </w:r>
    </w:p>
    <w:p w14:paraId="43E58F94">
      <w:pPr>
        <w:spacing w:line="580" w:lineRule="exact"/>
        <w:ind w:firstLine="640"/>
        <w:jc w:val="both"/>
      </w:pPr>
      <w:r>
        <w:rPr>
          <w:rFonts w:ascii="仿宋_GB2312" w:hAnsi="仿宋_GB2312" w:eastAsia="仿宋_GB2312"/>
          <w:b w:val="0"/>
          <w:sz w:val="32"/>
        </w:rPr>
        <w:t>7.社会保障和就业支出(类)其他生活救助(款)其他农村生活救助(项):支出决算数为3.00万元，比上年决算增加3.00万元，增长100.00%,主要原因是：本年增加中央财政困难群众一次性困难补助项目农村特困经费支出。</w:t>
      </w:r>
    </w:p>
    <w:p w14:paraId="1752F3C3">
      <w:pPr>
        <w:spacing w:line="580" w:lineRule="exact"/>
        <w:ind w:firstLine="640"/>
        <w:jc w:val="both"/>
      </w:pPr>
      <w:r>
        <w:rPr>
          <w:rFonts w:ascii="仿宋_GB2312" w:hAnsi="仿宋_GB2312" w:eastAsia="仿宋_GB2312"/>
          <w:b w:val="0"/>
          <w:sz w:val="32"/>
        </w:rPr>
        <w:t>8.卫生健康支出(类)行政事业单位医疗(款)事业单位医疗(项):支出决算数为7.76万元，比上年决算增加0.80万元，增长11.49%,主要原因是：本年在职人员工资基数调增，医疗缴费基数上涨，相应支出增加。</w:t>
      </w:r>
    </w:p>
    <w:p w14:paraId="2A5907A3">
      <w:pPr>
        <w:spacing w:line="580" w:lineRule="exact"/>
        <w:ind w:firstLine="640"/>
        <w:jc w:val="both"/>
      </w:pPr>
      <w:r>
        <w:rPr>
          <w:rFonts w:ascii="仿宋_GB2312" w:hAnsi="仿宋_GB2312" w:eastAsia="仿宋_GB2312"/>
          <w:b w:val="0"/>
          <w:sz w:val="32"/>
        </w:rPr>
        <w:t>9.住房保障支出(类)住房改革支出(款)住房公积金(项):支出决算数为17.41万元，比上年决算增加1.90万元，增长12.25%,主要原因是：本年在职人员工资基数调增，公积金缴费基数上涨，相应支出增加。</w:t>
      </w:r>
    </w:p>
    <w:p w14:paraId="5B64DC89">
      <w:pPr>
        <w:spacing w:line="640" w:lineRule="exact"/>
        <w:ind w:firstLine="640"/>
        <w:jc w:val="both"/>
        <w:outlineLvl w:val="2"/>
      </w:pPr>
      <w:r>
        <w:rPr>
          <w:rFonts w:ascii="黑体" w:hAnsi="黑体" w:eastAsia="黑体"/>
          <w:sz w:val="32"/>
        </w:rPr>
        <w:t>六、一般公共预算财政拨款基本支出决算情况说明</w:t>
      </w:r>
    </w:p>
    <w:p w14:paraId="516F1F2E">
      <w:pPr>
        <w:spacing w:line="580" w:lineRule="exact"/>
        <w:ind w:firstLine="640"/>
        <w:jc w:val="both"/>
      </w:pPr>
      <w:r>
        <w:rPr>
          <w:rFonts w:ascii="仿宋_GB2312" w:hAnsi="仿宋_GB2312" w:eastAsia="仿宋_GB2312"/>
          <w:b w:val="0"/>
          <w:sz w:val="32"/>
        </w:rPr>
        <w:t>2024年度一般公共预算财政拨款基本支出254.27万元，其中：</w:t>
      </w:r>
      <w:r>
        <w:rPr>
          <w:rFonts w:ascii="仿宋_GB2312" w:hAnsi="仿宋_GB2312" w:eastAsia="仿宋_GB2312"/>
          <w:b/>
          <w:sz w:val="32"/>
        </w:rPr>
        <w:t>人员经费227.10万元，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35EBF597">
      <w:pPr>
        <w:spacing w:line="580" w:lineRule="exact"/>
        <w:ind w:firstLine="640"/>
        <w:jc w:val="both"/>
      </w:pPr>
      <w:r>
        <w:rPr>
          <w:rFonts w:ascii="仿宋_GB2312" w:hAnsi="仿宋_GB2312" w:eastAsia="仿宋_GB2312"/>
          <w:b/>
          <w:sz w:val="32"/>
        </w:rPr>
        <w:t>公用经费27.17万元，</w:t>
      </w:r>
      <w:r>
        <w:rPr>
          <w:rFonts w:ascii="仿宋_GB2312" w:hAnsi="仿宋_GB2312" w:eastAsia="仿宋_GB2312"/>
          <w:b w:val="0"/>
          <w:sz w:val="32"/>
        </w:rPr>
        <w:t>包括：办公费、印刷费、手续费、水费、电费、邮电费、维修（护）费、培训费、劳务费、公务用车运行维护费、其他交通费用。</w:t>
      </w:r>
    </w:p>
    <w:p w14:paraId="1284E2F1">
      <w:pPr>
        <w:spacing w:line="640" w:lineRule="exact"/>
        <w:ind w:firstLine="640"/>
        <w:jc w:val="both"/>
        <w:outlineLvl w:val="2"/>
      </w:pPr>
      <w:r>
        <w:rPr>
          <w:rFonts w:ascii="黑体" w:hAnsi="黑体" w:eastAsia="黑体"/>
          <w:sz w:val="32"/>
        </w:rPr>
        <w:t>七、政府性基金预算财政拨款收入支出决算情况说明</w:t>
      </w:r>
    </w:p>
    <w:p w14:paraId="2B554304">
      <w:pPr>
        <w:spacing w:line="580" w:lineRule="exact"/>
        <w:ind w:firstLine="640"/>
        <w:jc w:val="both"/>
      </w:pPr>
      <w:r>
        <w:rPr>
          <w:rFonts w:ascii="仿宋_GB2312" w:hAnsi="仿宋_GB2312" w:eastAsia="仿宋_GB2312"/>
          <w:b/>
          <w:sz w:val="32"/>
        </w:rPr>
        <w:t>2024年度政府性基金预算财政拨款收入总计17.00万元，</w:t>
      </w:r>
      <w:r>
        <w:rPr>
          <w:rFonts w:ascii="仿宋_GB2312" w:hAnsi="仿宋_GB2312" w:eastAsia="仿宋_GB2312"/>
          <w:b w:val="0"/>
          <w:sz w:val="32"/>
        </w:rPr>
        <w:t>其中：年初结转和结余0.00万元，本年收入17.00万元。</w:t>
      </w:r>
      <w:r>
        <w:rPr>
          <w:rFonts w:ascii="仿宋_GB2312" w:hAnsi="仿宋_GB2312" w:eastAsia="仿宋_GB2312"/>
          <w:b/>
          <w:sz w:val="32"/>
        </w:rPr>
        <w:t>政府性基金预算财政拨款支出总计17.00万元，</w:t>
      </w:r>
      <w:r>
        <w:rPr>
          <w:rFonts w:ascii="仿宋_GB2312" w:hAnsi="仿宋_GB2312" w:eastAsia="仿宋_GB2312"/>
          <w:b w:val="0"/>
          <w:sz w:val="32"/>
        </w:rPr>
        <w:t>其中：年末结转和结余0.00万元，本年支出17.00万元。</w:t>
      </w:r>
    </w:p>
    <w:p w14:paraId="44A3DF3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减少111.60万元，下降86.78%，主要原因是：本年减少中央彩票给公益金社会福利儿童福利院附属设施设备提升改造项目。</w:t>
      </w:r>
      <w:r>
        <w:rPr>
          <w:rFonts w:ascii="仿宋_GB2312" w:hAnsi="仿宋_GB2312" w:eastAsia="仿宋_GB2312"/>
          <w:b/>
          <w:sz w:val="32"/>
        </w:rPr>
        <w:t>与年初预算相比，</w:t>
      </w:r>
      <w:r>
        <w:rPr>
          <w:rFonts w:ascii="仿宋_GB2312" w:hAnsi="仿宋_GB2312" w:eastAsia="仿宋_GB2312"/>
          <w:b w:val="0"/>
          <w:sz w:val="32"/>
        </w:rPr>
        <w:t>年初预算数17.00万元，决算数17.00万元，预决算差异率0.00%，主要原因是：严格按照预算执行，预决算无差异。</w:t>
      </w:r>
    </w:p>
    <w:p w14:paraId="05798504">
      <w:pPr>
        <w:spacing w:line="580" w:lineRule="exact"/>
        <w:ind w:firstLine="640"/>
        <w:jc w:val="both"/>
      </w:pPr>
      <w:r>
        <w:rPr>
          <w:rFonts w:ascii="仿宋_GB2312" w:hAnsi="仿宋_GB2312" w:eastAsia="仿宋_GB2312"/>
          <w:b w:val="0"/>
          <w:sz w:val="32"/>
        </w:rPr>
        <w:t>政府性基金预算财政拨款支出17.00万元。</w:t>
      </w:r>
    </w:p>
    <w:p w14:paraId="63F2DF15">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17.00万元，比上年决算减少111.60万元，下降86.78%,主要原因是：本年减少中央彩票给公益金社会福利儿童福利院附属设施设备提升改造项目。</w:t>
      </w:r>
    </w:p>
    <w:p w14:paraId="69BD9C78">
      <w:pPr>
        <w:spacing w:line="640" w:lineRule="exact"/>
        <w:ind w:firstLine="640"/>
        <w:jc w:val="both"/>
        <w:outlineLvl w:val="2"/>
      </w:pPr>
      <w:r>
        <w:rPr>
          <w:rFonts w:ascii="黑体" w:hAnsi="黑体" w:eastAsia="黑体"/>
          <w:sz w:val="32"/>
        </w:rPr>
        <w:t>八、国有资本经营预算财政拨款收入支出决算情况说明</w:t>
      </w:r>
    </w:p>
    <w:p w14:paraId="3CCE0E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BA4768">
      <w:pPr>
        <w:spacing w:line="640" w:lineRule="exact"/>
        <w:ind w:firstLine="640"/>
        <w:jc w:val="both"/>
        <w:outlineLvl w:val="2"/>
      </w:pPr>
      <w:r>
        <w:rPr>
          <w:rFonts w:ascii="黑体" w:hAnsi="黑体" w:eastAsia="黑体"/>
          <w:sz w:val="32"/>
        </w:rPr>
        <w:t>九、财政拨款“三公”经费支出决算情况说明</w:t>
      </w:r>
    </w:p>
    <w:p w14:paraId="0FDBC56A">
      <w:pPr>
        <w:spacing w:line="580" w:lineRule="exact"/>
        <w:ind w:firstLine="640"/>
        <w:jc w:val="both"/>
      </w:pPr>
      <w:r>
        <w:rPr>
          <w:rFonts w:ascii="仿宋_GB2312" w:hAnsi="仿宋_GB2312" w:eastAsia="仿宋_GB2312"/>
          <w:b/>
          <w:sz w:val="32"/>
        </w:rPr>
        <w:t>2024年度财政拨款“三公”经费支出1.27万元，</w:t>
      </w:r>
      <w:r>
        <w:rPr>
          <w:rFonts w:ascii="仿宋_GB2312" w:hAnsi="仿宋_GB2312" w:eastAsia="仿宋_GB2312"/>
          <w:b w:val="0"/>
          <w:sz w:val="32"/>
        </w:rPr>
        <w:t>比上年增加1.27万元，增长100.00%，主要原因是：</w:t>
      </w:r>
      <w:r>
        <w:rPr>
          <w:rFonts w:hint="eastAsia" w:ascii="仿宋_GB2312" w:hAnsi="仿宋_GB2312" w:eastAsia="仿宋_GB2312"/>
          <w:b w:val="0"/>
          <w:sz w:val="32"/>
          <w:lang w:val="en-US" w:eastAsia="zh-CN"/>
        </w:rPr>
        <w:t>本年将车辆纳入公务用车管理，增加车辆运行经费</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1.27万元，占100.00%，比上年增加1.27万元，增长100.00%，主要原因是：</w:t>
      </w:r>
      <w:r>
        <w:rPr>
          <w:rFonts w:hint="eastAsia" w:ascii="仿宋_GB2312" w:hAnsi="仿宋_GB2312" w:eastAsia="仿宋_GB2312"/>
          <w:b w:val="0"/>
          <w:sz w:val="32"/>
          <w:lang w:val="en-US" w:eastAsia="zh-CN"/>
        </w:rPr>
        <w:t>本年将车辆纳入公务用车管理，增加车辆运行经费</w:t>
      </w:r>
      <w:r>
        <w:rPr>
          <w:rFonts w:ascii="仿宋_GB2312" w:hAnsi="仿宋_GB2312" w:eastAsia="仿宋_GB2312"/>
          <w:b w:val="0"/>
          <w:sz w:val="32"/>
        </w:rPr>
        <w:t>。公务接待费支出0.00万元，占0.00%，比上年增加0.00万元，增长0.00%，主要原因是：2023年与2024年均未安排公务接待费支出。</w:t>
      </w:r>
    </w:p>
    <w:p w14:paraId="170729A5">
      <w:pPr>
        <w:spacing w:line="580" w:lineRule="exact"/>
        <w:ind w:firstLine="640"/>
        <w:jc w:val="both"/>
      </w:pPr>
      <w:r>
        <w:rPr>
          <w:rFonts w:ascii="仿宋_GB2312" w:hAnsi="仿宋_GB2312" w:eastAsia="仿宋_GB2312"/>
          <w:b/>
          <w:sz w:val="32"/>
        </w:rPr>
        <w:t>具体情况如下：</w:t>
      </w:r>
    </w:p>
    <w:p w14:paraId="4D28EB7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050981">
      <w:pPr>
        <w:spacing w:line="580" w:lineRule="exact"/>
        <w:ind w:firstLine="640"/>
        <w:jc w:val="both"/>
      </w:pPr>
      <w:r>
        <w:rPr>
          <w:rFonts w:ascii="仿宋_GB2312" w:hAnsi="仿宋_GB2312" w:eastAsia="仿宋_GB2312"/>
          <w:b w:val="0"/>
          <w:sz w:val="32"/>
        </w:rPr>
        <w:t>公务用车购置及运行维护费1.27万元，其中：公务用车购置费0.00万元，公务用车运行维护费1.27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5524C7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5DBC12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1.27万元，决算数1.27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1.27万元，决算数1.27万元，预决算差异率0.00%，主要原因是：严格按照预算执行，预决算无差异。公务接待费全年预算数0.00万元，决算数0.00万元，预决算差异率0.00%，主要原因是：本单位无公务接待费。</w:t>
      </w:r>
    </w:p>
    <w:p w14:paraId="0E438142">
      <w:pPr>
        <w:spacing w:line="640" w:lineRule="exact"/>
        <w:ind w:firstLine="640"/>
        <w:jc w:val="both"/>
        <w:outlineLvl w:val="2"/>
      </w:pPr>
      <w:r>
        <w:rPr>
          <w:rFonts w:ascii="黑体" w:hAnsi="黑体" w:eastAsia="黑体"/>
          <w:sz w:val="32"/>
        </w:rPr>
        <w:t>十、其他重要事项的情况说明</w:t>
      </w:r>
    </w:p>
    <w:p w14:paraId="7AB724E8">
      <w:pPr>
        <w:spacing w:line="640" w:lineRule="exact"/>
        <w:ind w:firstLine="640"/>
        <w:jc w:val="both"/>
        <w:outlineLvl w:val="3"/>
      </w:pPr>
      <w:r>
        <w:rPr>
          <w:rFonts w:ascii="楷体_GB2312" w:hAnsi="楷体_GB2312" w:eastAsia="楷体_GB2312"/>
          <w:b/>
          <w:sz w:val="32"/>
        </w:rPr>
        <w:t>（一）机关运行经费及公用经费支出情况</w:t>
      </w:r>
    </w:p>
    <w:p w14:paraId="215834D2">
      <w:pPr>
        <w:spacing w:line="580" w:lineRule="exact"/>
        <w:ind w:firstLine="640"/>
        <w:jc w:val="both"/>
      </w:pPr>
      <w:r>
        <w:rPr>
          <w:rFonts w:ascii="仿宋_GB2312" w:hAnsi="仿宋_GB2312" w:eastAsia="仿宋_GB2312"/>
          <w:b w:val="0"/>
          <w:sz w:val="32"/>
        </w:rPr>
        <w:t>2024年度阿克陶县儿童福利院（事业单位）公用经费支出27.17万元，比上年增加11.86万元，增长77.47%，主要原因是：本年业务量增加，公用经费增加。</w:t>
      </w:r>
    </w:p>
    <w:p w14:paraId="70FEC49C">
      <w:pPr>
        <w:spacing w:line="640" w:lineRule="exact"/>
        <w:ind w:firstLine="640"/>
        <w:jc w:val="both"/>
        <w:outlineLvl w:val="3"/>
      </w:pPr>
      <w:r>
        <w:rPr>
          <w:rFonts w:ascii="楷体_GB2312" w:hAnsi="楷体_GB2312" w:eastAsia="楷体_GB2312"/>
          <w:b/>
          <w:sz w:val="32"/>
        </w:rPr>
        <w:t>（二）政府采购情况</w:t>
      </w:r>
    </w:p>
    <w:p w14:paraId="61BAAF77">
      <w:pPr>
        <w:spacing w:line="580" w:lineRule="exact"/>
        <w:ind w:firstLine="640"/>
        <w:jc w:val="both"/>
      </w:pPr>
      <w:r>
        <w:rPr>
          <w:rFonts w:ascii="仿宋_GB2312" w:hAnsi="仿宋_GB2312" w:eastAsia="仿宋_GB2312"/>
          <w:b w:val="0"/>
          <w:sz w:val="32"/>
        </w:rPr>
        <w:t>2024年度政府采购支出总额3.10万元，其中：政府采购货物支出1.44万元、政府采购工程支出0.00万元、政府采购服务支出1.66万元。</w:t>
      </w:r>
    </w:p>
    <w:p w14:paraId="073F9C53">
      <w:pPr>
        <w:spacing w:line="580" w:lineRule="exact"/>
        <w:ind w:firstLine="640"/>
        <w:jc w:val="both"/>
      </w:pPr>
      <w:r>
        <w:rPr>
          <w:rFonts w:ascii="仿宋_GB2312" w:hAnsi="仿宋_GB2312" w:eastAsia="仿宋_GB2312"/>
          <w:b w:val="0"/>
          <w:sz w:val="32"/>
        </w:rPr>
        <w:t>授予中小企业合同金额2.98万元，占政府采购支出总额的96.13%，其中：授予小微企业合同金额2.98万元，占政府采购支出总额的96.13%。</w:t>
      </w:r>
    </w:p>
    <w:p w14:paraId="0AB0B54C">
      <w:pPr>
        <w:spacing w:line="640" w:lineRule="exact"/>
        <w:ind w:firstLine="640"/>
        <w:jc w:val="both"/>
        <w:outlineLvl w:val="3"/>
      </w:pPr>
      <w:r>
        <w:rPr>
          <w:rFonts w:ascii="楷体_GB2312" w:hAnsi="楷体_GB2312" w:eastAsia="楷体_GB2312"/>
          <w:b/>
          <w:sz w:val="32"/>
        </w:rPr>
        <w:t>（三）国有资产占用情况说明</w:t>
      </w:r>
    </w:p>
    <w:p w14:paraId="6CADA68F">
      <w:pPr>
        <w:spacing w:line="580" w:lineRule="exact"/>
        <w:ind w:firstLine="640"/>
        <w:jc w:val="both"/>
      </w:pPr>
      <w:r>
        <w:rPr>
          <w:rFonts w:ascii="仿宋_GB2312" w:hAnsi="仿宋_GB2312" w:eastAsia="仿宋_GB2312"/>
          <w:b w:val="0"/>
          <w:sz w:val="32"/>
        </w:rPr>
        <w:t>截至2024年12月31日，房屋0.00平方米，价值0.00万元。车辆1辆，价值20.00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一般公务用车</w:t>
      </w:r>
      <w:r>
        <w:rPr>
          <w:rFonts w:ascii="仿宋_GB2312" w:hAnsi="仿宋_GB2312" w:eastAsia="仿宋_GB2312"/>
          <w:b w:val="0"/>
          <w:sz w:val="32"/>
        </w:rPr>
        <w:t>。单价100万元（含）以上设备（不含车辆）0台（套）。</w:t>
      </w:r>
    </w:p>
    <w:p w14:paraId="60EC3FA0">
      <w:pPr>
        <w:spacing w:line="640" w:lineRule="exact"/>
        <w:ind w:firstLine="640"/>
        <w:jc w:val="both"/>
        <w:outlineLvl w:val="2"/>
      </w:pPr>
      <w:r>
        <w:rPr>
          <w:rFonts w:ascii="黑体" w:hAnsi="黑体" w:eastAsia="黑体"/>
          <w:sz w:val="32"/>
        </w:rPr>
        <w:t>十一、预算绩效的情况说明</w:t>
      </w:r>
    </w:p>
    <w:p w14:paraId="2843FF6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337.12万元，实际执行总额334.76万元；预算绩效评价项目5个，全年预算数96.64万元，全年执行数93.98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1.部分业务人员绩效管理意识有待增强，未能全面深入认识理解绩效管理工作的意义。绩效管理经验不足，预算绩效管理工作有待进一步落实。2.绩效指标的明确性、可衡量性、相关性还需进一步提升。预算精细化管理还需完善，预算编制管理水平仍有进一步提升的空间。下一步改进措施：1.继续加大绩效工作宣传力度，强化绩效理念。2.继续完善绩效指标，提高项目绩效目标质量。提升预算精细化管理水平。3.继续完善预算绩效管理相关工作制度，建立全过程预算绩效管理链条，有效贯彻落实全面实施绩效管理的精神。具体附整体支出绩效自评表，项目支出绩效自评表和评价报告。</w:t>
      </w:r>
    </w:p>
    <w:p w14:paraId="7FA78BB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259"/>
        <w:gridCol w:w="951"/>
        <w:gridCol w:w="1401"/>
        <w:gridCol w:w="809"/>
        <w:gridCol w:w="1105"/>
        <w:gridCol w:w="1105"/>
      </w:tblGrid>
      <w:tr w14:paraId="08819828">
        <w:tblPrEx>
          <w:tblCellMar>
            <w:top w:w="0" w:type="dxa"/>
            <w:left w:w="108" w:type="dxa"/>
            <w:bottom w:w="0" w:type="dxa"/>
            <w:right w:w="108" w:type="dxa"/>
          </w:tblCellMar>
        </w:tblPrEx>
        <w:tc>
          <w:tcPr>
            <w:tcW w:w="8840" w:type="dxa"/>
            <w:gridSpan w:val="8"/>
            <w:vAlign w:val="center"/>
          </w:tcPr>
          <w:p w14:paraId="119197ED">
            <w:pPr>
              <w:jc w:val="center"/>
            </w:pPr>
            <w:r>
              <w:rPr>
                <w:rFonts w:ascii="宋体" w:hAnsi="宋体" w:eastAsia="宋体"/>
                <w:sz w:val="24"/>
              </w:rPr>
              <w:t>单位整体支出绩效自评表</w:t>
            </w:r>
          </w:p>
        </w:tc>
      </w:tr>
      <w:tr w14:paraId="4C97A389">
        <w:tblPrEx>
          <w:tblCellMar>
            <w:top w:w="0" w:type="dxa"/>
            <w:left w:w="108" w:type="dxa"/>
            <w:bottom w:w="0" w:type="dxa"/>
            <w:right w:w="108" w:type="dxa"/>
          </w:tblCellMar>
        </w:tblPrEx>
        <w:tc>
          <w:tcPr>
            <w:tcW w:w="8840" w:type="dxa"/>
            <w:gridSpan w:val="8"/>
            <w:vAlign w:val="center"/>
          </w:tcPr>
          <w:p w14:paraId="372F7EA4">
            <w:pPr>
              <w:jc w:val="center"/>
            </w:pPr>
            <w:r>
              <w:rPr>
                <w:rFonts w:ascii="宋体" w:hAnsi="宋体" w:eastAsia="宋体"/>
                <w:sz w:val="24"/>
              </w:rPr>
              <w:t>（2024年度）</w:t>
            </w:r>
          </w:p>
        </w:tc>
      </w:tr>
      <w:tr w14:paraId="28A2744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2635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3BE9E">
            <w:pPr>
              <w:jc w:val="center"/>
            </w:pPr>
            <w:r>
              <w:rPr>
                <w:rFonts w:ascii="宋体" w:hAnsi="宋体" w:eastAsia="宋体"/>
                <w:sz w:val="16"/>
              </w:rPr>
              <w:t>阿克陶县儿童福利院</w:t>
            </w:r>
          </w:p>
        </w:tc>
      </w:tr>
      <w:tr w14:paraId="43B641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EB21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172D5">
            <w:pPr>
              <w:jc w:val="center"/>
            </w:pPr>
            <w:r>
              <w:rPr>
                <w:rFonts w:ascii="宋体" w:hAnsi="宋体" w:eastAsia="宋体"/>
                <w:sz w:val="16"/>
              </w:rPr>
              <w:t>资金来源</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5C66EDDA">
            <w:pPr>
              <w:jc w:val="center"/>
            </w:pPr>
            <w:r>
              <w:rPr>
                <w:rFonts w:ascii="宋体" w:hAnsi="宋体" w:eastAsia="宋体"/>
                <w:sz w:val="16"/>
              </w:rPr>
              <w:t>年初预算数</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244849E3">
            <w:pPr>
              <w:jc w:val="center"/>
            </w:pPr>
            <w:r>
              <w:rPr>
                <w:rFonts w:ascii="宋体" w:hAnsi="宋体" w:eastAsia="宋体"/>
                <w:sz w:val="16"/>
              </w:rPr>
              <w:t>预算数（调整后）</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3FBB8D4F">
            <w:pPr>
              <w:jc w:val="center"/>
            </w:pPr>
            <w:r>
              <w:rPr>
                <w:rFonts w:ascii="宋体" w:hAnsi="宋体" w:eastAsia="宋体"/>
                <w:sz w:val="16"/>
              </w:rPr>
              <w:t>执行数</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4335A11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0942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115CC">
            <w:pPr>
              <w:jc w:val="center"/>
            </w:pPr>
            <w:r>
              <w:rPr>
                <w:rFonts w:ascii="宋体" w:hAnsi="宋体" w:eastAsia="宋体"/>
                <w:sz w:val="16"/>
              </w:rPr>
              <w:t>得分</w:t>
            </w:r>
          </w:p>
        </w:tc>
      </w:tr>
      <w:tr w14:paraId="7C80A1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1E80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C1955">
            <w:pPr>
              <w:jc w:val="center"/>
            </w:pPr>
            <w:r>
              <w:rPr>
                <w:rFonts w:ascii="宋体" w:hAnsi="宋体" w:eastAsia="宋体"/>
                <w:sz w:val="16"/>
              </w:rPr>
              <w:t>年度总资金：</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78554BFF">
            <w:pPr>
              <w:jc w:val="center"/>
            </w:pPr>
            <w:r>
              <w:rPr>
                <w:rFonts w:ascii="宋体" w:hAnsi="宋体" w:eastAsia="宋体"/>
                <w:sz w:val="16"/>
              </w:rPr>
              <w:t>326.06</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1F4CF035">
            <w:pPr>
              <w:jc w:val="center"/>
            </w:pPr>
            <w:r>
              <w:rPr>
                <w:rFonts w:ascii="宋体" w:hAnsi="宋体" w:eastAsia="宋体"/>
                <w:sz w:val="16"/>
              </w:rPr>
              <w:t>337.12</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40765248">
            <w:pPr>
              <w:jc w:val="center"/>
            </w:pPr>
            <w:r>
              <w:rPr>
                <w:rFonts w:ascii="宋体" w:hAnsi="宋体" w:eastAsia="宋体"/>
                <w:sz w:val="16"/>
              </w:rPr>
              <w:t>334.76</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5B4547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39396">
            <w:pPr>
              <w:jc w:val="center"/>
            </w:pPr>
            <w:r>
              <w:rPr>
                <w:rFonts w:ascii="宋体" w:hAnsi="宋体" w:eastAsia="宋体"/>
                <w:sz w:val="16"/>
              </w:rPr>
              <w:t>99.30%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EFF27">
            <w:pPr>
              <w:jc w:val="center"/>
            </w:pPr>
            <w:r>
              <w:rPr>
                <w:rFonts w:ascii="宋体" w:hAnsi="宋体" w:eastAsia="宋体"/>
                <w:sz w:val="16"/>
              </w:rPr>
              <w:t>9.93</w:t>
            </w:r>
          </w:p>
        </w:tc>
      </w:tr>
      <w:tr w14:paraId="4E62D3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AD5B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9029D">
            <w:pPr>
              <w:jc w:val="center"/>
            </w:pPr>
            <w:r>
              <w:rPr>
                <w:rFonts w:ascii="宋体" w:hAnsi="宋体" w:eastAsia="宋体"/>
                <w:sz w:val="16"/>
              </w:rPr>
              <w:t>上级资金：</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1B0D7719">
            <w:pPr>
              <w:jc w:val="center"/>
            </w:pPr>
            <w:r>
              <w:rPr>
                <w:rFonts w:ascii="宋体" w:hAnsi="宋体" w:eastAsia="宋体"/>
                <w:sz w:val="16"/>
              </w:rPr>
              <w:t>71.57</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3EB1D20A">
            <w:pPr>
              <w:jc w:val="center"/>
            </w:pPr>
            <w:r>
              <w:rPr>
                <w:rFonts w:ascii="宋体" w:hAnsi="宋体" w:eastAsia="宋体"/>
                <w:sz w:val="16"/>
              </w:rPr>
              <w:t>71.57</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56276BB3">
            <w:pPr>
              <w:jc w:val="center"/>
            </w:pPr>
            <w:r>
              <w:rPr>
                <w:rFonts w:ascii="宋体" w:hAnsi="宋体" w:eastAsia="宋体"/>
                <w:sz w:val="16"/>
              </w:rPr>
              <w:t>70.53</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4B0087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C0A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DE4FB">
            <w:pPr>
              <w:jc w:val="center"/>
            </w:pPr>
            <w:r>
              <w:rPr>
                <w:rFonts w:ascii="宋体" w:hAnsi="宋体" w:eastAsia="宋体"/>
                <w:sz w:val="16"/>
              </w:rPr>
              <w:t>—</w:t>
            </w:r>
          </w:p>
        </w:tc>
      </w:tr>
      <w:tr w14:paraId="62FBD1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1EFA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85B52">
            <w:pPr>
              <w:jc w:val="center"/>
            </w:pPr>
            <w:r>
              <w:rPr>
                <w:rFonts w:ascii="宋体" w:hAnsi="宋体" w:eastAsia="宋体"/>
                <w:sz w:val="16"/>
              </w:rPr>
              <w:t>本级资金：</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55222EA5">
            <w:pPr>
              <w:jc w:val="center"/>
            </w:pPr>
            <w:r>
              <w:rPr>
                <w:rFonts w:ascii="宋体" w:hAnsi="宋体" w:eastAsia="宋体"/>
                <w:sz w:val="16"/>
              </w:rPr>
              <w:t>254.49</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39302CAE">
            <w:pPr>
              <w:jc w:val="center"/>
            </w:pPr>
            <w:r>
              <w:rPr>
                <w:rFonts w:ascii="宋体" w:hAnsi="宋体" w:eastAsia="宋体"/>
                <w:sz w:val="16"/>
              </w:rPr>
              <w:t>265.55</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12D992D7">
            <w:pPr>
              <w:jc w:val="center"/>
            </w:pPr>
            <w:r>
              <w:rPr>
                <w:rFonts w:ascii="宋体" w:hAnsi="宋体" w:eastAsia="宋体"/>
                <w:sz w:val="16"/>
              </w:rPr>
              <w:t>264.23</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12B253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84B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38B16">
            <w:pPr>
              <w:jc w:val="center"/>
            </w:pPr>
            <w:r>
              <w:rPr>
                <w:rFonts w:ascii="宋体" w:hAnsi="宋体" w:eastAsia="宋体"/>
                <w:sz w:val="16"/>
              </w:rPr>
              <w:t>—</w:t>
            </w:r>
          </w:p>
        </w:tc>
      </w:tr>
      <w:tr w14:paraId="01E168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A90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07ABA">
            <w:pPr>
              <w:jc w:val="center"/>
            </w:pPr>
            <w:r>
              <w:rPr>
                <w:rFonts w:ascii="宋体" w:hAnsi="宋体" w:eastAsia="宋体"/>
                <w:sz w:val="16"/>
              </w:rPr>
              <w:t>其他资金：</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73BF1799">
            <w:pPr>
              <w:jc w:val="center"/>
            </w:pPr>
            <w:r>
              <w:rPr>
                <w:rFonts w:ascii="宋体" w:hAnsi="宋体" w:eastAsia="宋体"/>
                <w:sz w:val="16"/>
              </w:rPr>
              <w:t>0.00</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5E3E2805">
            <w:pPr>
              <w:jc w:val="center"/>
            </w:pPr>
            <w:r>
              <w:rPr>
                <w:rFonts w:ascii="宋体" w:hAnsi="宋体" w:eastAsia="宋体"/>
                <w:sz w:val="16"/>
              </w:rPr>
              <w:t>0.00</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49096619">
            <w:pPr>
              <w:jc w:val="center"/>
            </w:pPr>
            <w:r>
              <w:rPr>
                <w:rFonts w:ascii="宋体" w:hAnsi="宋体" w:eastAsia="宋体"/>
                <w:sz w:val="16"/>
              </w:rPr>
              <w:t>0.00</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5EA3D4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088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05422">
            <w:pPr>
              <w:jc w:val="center"/>
            </w:pPr>
            <w:r>
              <w:rPr>
                <w:rFonts w:ascii="宋体" w:hAnsi="宋体" w:eastAsia="宋体"/>
                <w:sz w:val="16"/>
              </w:rPr>
              <w:t>—</w:t>
            </w:r>
          </w:p>
        </w:tc>
      </w:tr>
      <w:tr w14:paraId="749D664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369E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875CC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AC3D9C">
            <w:pPr>
              <w:jc w:val="center"/>
            </w:pPr>
            <w:r>
              <w:rPr>
                <w:rFonts w:ascii="宋体" w:hAnsi="宋体" w:eastAsia="宋体"/>
                <w:sz w:val="16"/>
              </w:rPr>
              <w:t>实际完成情况</w:t>
            </w:r>
          </w:p>
        </w:tc>
      </w:tr>
      <w:tr w14:paraId="418FCE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2D1CE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02CF85">
            <w:pPr>
              <w:jc w:val="both"/>
            </w:pPr>
            <w:r>
              <w:rPr>
                <w:rFonts w:ascii="宋体" w:hAnsi="宋体" w:eastAsia="宋体"/>
                <w:sz w:val="16"/>
              </w:rPr>
              <w:t>确保公职人员的工资，津贴，补贴，医保，公职金等以及退休人员工资等保障性经费能够依规，按时，足额发放或者缴纳，提升部门人员的工作积极性和服务质量，加强单位的社会主义民主法治建设和精神文明建设；加强民族团结维护社会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CF6CEF">
            <w:pPr>
              <w:jc w:val="both"/>
            </w:pPr>
            <w:r>
              <w:rPr>
                <w:rFonts w:ascii="宋体" w:hAnsi="宋体" w:eastAsia="宋体"/>
                <w:sz w:val="16"/>
              </w:rPr>
              <w:t>达到了确保公职人员的工资，津贴，补贴，医保，</w:t>
            </w:r>
            <w:r>
              <w:rPr>
                <w:rFonts w:hint="eastAsia" w:ascii="宋体" w:hAnsi="宋体"/>
                <w:sz w:val="16"/>
                <w:lang w:eastAsia="zh-CN"/>
              </w:rPr>
              <w:t>公积</w:t>
            </w:r>
            <w:r>
              <w:rPr>
                <w:rFonts w:ascii="宋体" w:hAnsi="宋体" w:eastAsia="宋体"/>
                <w:sz w:val="16"/>
              </w:rPr>
              <w:t>金等以及退休人员工资等保障性经费能够依规，按时，足额发放或者缴纳，提升部门人员的工作积极性和服务质量，加强单位的社会主义民主法治建设和精神文明建设；加强民族团结维护社会稳定的效果。</w:t>
            </w:r>
          </w:p>
        </w:tc>
      </w:tr>
      <w:tr w14:paraId="0C683E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7092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D0813">
            <w:pPr>
              <w:jc w:val="center"/>
            </w:pPr>
            <w:r>
              <w:rPr>
                <w:rFonts w:ascii="宋体" w:hAnsi="宋体" w:eastAsia="宋体"/>
                <w:sz w:val="16"/>
              </w:rPr>
              <w:t>二级指标</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1637EAF4">
            <w:pPr>
              <w:jc w:val="center"/>
            </w:pPr>
            <w:r>
              <w:rPr>
                <w:rFonts w:ascii="宋体" w:hAnsi="宋体" w:eastAsia="宋体"/>
                <w:sz w:val="16"/>
              </w:rPr>
              <w:t>三级指标</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18203DCA">
            <w:pPr>
              <w:jc w:val="center"/>
            </w:pPr>
            <w:r>
              <w:rPr>
                <w:rFonts w:ascii="宋体" w:hAnsi="宋体" w:eastAsia="宋体"/>
                <w:sz w:val="16"/>
              </w:rPr>
              <w:t>指标值</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5E3E3408">
            <w:pPr>
              <w:jc w:val="center"/>
            </w:pPr>
            <w:r>
              <w:rPr>
                <w:rFonts w:ascii="宋体" w:hAnsi="宋体" w:eastAsia="宋体"/>
                <w:sz w:val="16"/>
              </w:rPr>
              <w:t>指标值设定依据</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3B64D7A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CD12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0D42C">
            <w:pPr>
              <w:jc w:val="center"/>
            </w:pPr>
            <w:r>
              <w:rPr>
                <w:rFonts w:ascii="宋体" w:hAnsi="宋体" w:eastAsia="宋体"/>
                <w:sz w:val="16"/>
              </w:rPr>
              <w:t>得分</w:t>
            </w:r>
          </w:p>
        </w:tc>
      </w:tr>
      <w:tr w14:paraId="4753E2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D9ED9">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9D9D0">
            <w:pPr>
              <w:jc w:val="center"/>
            </w:pPr>
            <w:r>
              <w:rPr>
                <w:rFonts w:ascii="宋体" w:hAnsi="宋体" w:eastAsia="宋体"/>
                <w:sz w:val="16"/>
              </w:rPr>
              <w:t>数量指标</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27644486">
            <w:pPr>
              <w:jc w:val="center"/>
            </w:pPr>
            <w:r>
              <w:rPr>
                <w:rFonts w:ascii="宋体" w:hAnsi="宋体" w:eastAsia="宋体"/>
                <w:sz w:val="16"/>
              </w:rPr>
              <w:t>在职人员工资福利支出预算保障人数（人）</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53014639">
            <w:pPr>
              <w:jc w:val="center"/>
            </w:pPr>
            <w:r>
              <w:rPr>
                <w:rFonts w:ascii="宋体" w:hAnsi="宋体" w:eastAsia="宋体"/>
                <w:sz w:val="16"/>
              </w:rPr>
              <w:t>&gt;=10人</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52804556">
            <w:pPr>
              <w:jc w:val="center"/>
            </w:pPr>
            <w:r>
              <w:rPr>
                <w:rFonts w:ascii="宋体" w:hAnsi="宋体" w:eastAsia="宋体"/>
                <w:sz w:val="16"/>
              </w:rPr>
              <w:t>上年末工资册汇总表/人员编制增减变动变更表</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4B2EC28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DEF6C">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18E06">
            <w:pPr>
              <w:jc w:val="center"/>
            </w:pPr>
            <w:r>
              <w:rPr>
                <w:rFonts w:ascii="宋体" w:hAnsi="宋体" w:eastAsia="宋体"/>
                <w:sz w:val="16"/>
              </w:rPr>
              <w:t>10</w:t>
            </w:r>
          </w:p>
        </w:tc>
      </w:tr>
      <w:tr w14:paraId="0AF31B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442D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C9C82A"/>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700A1854">
            <w:pPr>
              <w:jc w:val="center"/>
            </w:pPr>
            <w:r>
              <w:rPr>
                <w:rFonts w:ascii="宋体" w:hAnsi="宋体" w:eastAsia="宋体"/>
                <w:sz w:val="16"/>
              </w:rPr>
              <w:t>年度部门整体支出控制数（万元）</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49BD3897">
            <w:pPr>
              <w:jc w:val="center"/>
            </w:pPr>
            <w:r>
              <w:rPr>
                <w:rFonts w:ascii="宋体" w:hAnsi="宋体" w:eastAsia="宋体"/>
                <w:sz w:val="16"/>
              </w:rPr>
              <w:t>&lt;=326.06万元</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51E46EB8">
            <w:pPr>
              <w:jc w:val="center"/>
            </w:pPr>
            <w:r>
              <w:rPr>
                <w:rFonts w:ascii="宋体" w:hAnsi="宋体" w:eastAsia="宋体"/>
                <w:sz w:val="16"/>
              </w:rPr>
              <w:t>县人大会议批复预算</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09D8F67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65160">
            <w:pPr>
              <w:jc w:val="center"/>
            </w:pPr>
            <w:r>
              <w:rPr>
                <w:rFonts w:ascii="宋体" w:hAnsi="宋体" w:eastAsia="宋体"/>
                <w:sz w:val="16"/>
              </w:rPr>
              <w:t>334.76万元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2027B">
            <w:pPr>
              <w:jc w:val="center"/>
            </w:pPr>
            <w:r>
              <w:rPr>
                <w:rFonts w:ascii="宋体" w:hAnsi="宋体" w:eastAsia="宋体"/>
                <w:sz w:val="16"/>
              </w:rPr>
              <w:t>9.74</w:t>
            </w:r>
          </w:p>
        </w:tc>
      </w:tr>
      <w:tr w14:paraId="2ADA94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B6FAA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8D55F8"/>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03CE97FD">
            <w:pPr>
              <w:jc w:val="center"/>
            </w:pPr>
            <w:r>
              <w:rPr>
                <w:rFonts w:ascii="宋体" w:hAnsi="宋体" w:eastAsia="宋体"/>
                <w:sz w:val="16"/>
              </w:rPr>
              <w:t>资金使用合规率（%）</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79191322">
            <w:pPr>
              <w:jc w:val="center"/>
            </w:pPr>
            <w:r>
              <w:rPr>
                <w:rFonts w:ascii="宋体" w:hAnsi="宋体" w:eastAsia="宋体"/>
                <w:sz w:val="16"/>
              </w:rPr>
              <w:t>=100%</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3F1CF54C">
            <w:pPr>
              <w:jc w:val="center"/>
            </w:pPr>
            <w:r>
              <w:rPr>
                <w:rFonts w:ascii="宋体" w:hAnsi="宋体" w:eastAsia="宋体"/>
                <w:sz w:val="16"/>
              </w:rPr>
              <w:t>地方财政部门文件要求</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74868BF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B7C7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9B64F">
            <w:pPr>
              <w:jc w:val="center"/>
            </w:pPr>
            <w:r>
              <w:rPr>
                <w:rFonts w:ascii="宋体" w:hAnsi="宋体" w:eastAsia="宋体"/>
                <w:sz w:val="16"/>
              </w:rPr>
              <w:t>10</w:t>
            </w:r>
          </w:p>
        </w:tc>
      </w:tr>
      <w:tr w14:paraId="26DE6A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C382D">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2F96E">
            <w:pPr>
              <w:jc w:val="center"/>
            </w:pPr>
            <w:r>
              <w:rPr>
                <w:rFonts w:ascii="宋体" w:hAnsi="宋体" w:eastAsia="宋体"/>
                <w:sz w:val="16"/>
              </w:rPr>
              <w:t>成本指标</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17AFC197">
            <w:pPr>
              <w:jc w:val="center"/>
            </w:pPr>
            <w:r>
              <w:rPr>
                <w:rFonts w:ascii="宋体" w:hAnsi="宋体" w:eastAsia="宋体"/>
                <w:sz w:val="16"/>
              </w:rPr>
              <w:t>提升儿童</w:t>
            </w:r>
            <w:r>
              <w:rPr>
                <w:rFonts w:hint="eastAsia" w:ascii="宋体" w:hAnsi="宋体"/>
                <w:sz w:val="16"/>
                <w:lang w:eastAsia="zh-CN"/>
              </w:rPr>
              <w:t>抚养</w:t>
            </w:r>
            <w:r>
              <w:rPr>
                <w:rFonts w:ascii="宋体" w:hAnsi="宋体" w:eastAsia="宋体"/>
                <w:sz w:val="16"/>
              </w:rPr>
              <w:t>水平率（%）</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35CE982C">
            <w:pPr>
              <w:jc w:val="center"/>
            </w:pPr>
            <w:r>
              <w:rPr>
                <w:rFonts w:ascii="宋体" w:hAnsi="宋体" w:eastAsia="宋体"/>
                <w:sz w:val="16"/>
              </w:rPr>
              <w:t>&gt;=90%</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3B719FBB">
            <w:pPr>
              <w:jc w:val="center"/>
            </w:pPr>
            <w:r>
              <w:rPr>
                <w:rFonts w:ascii="宋体" w:hAnsi="宋体" w:eastAsia="宋体"/>
                <w:sz w:val="16"/>
              </w:rPr>
              <w:t>政策制度</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6CF395F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CAC07">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69665">
            <w:pPr>
              <w:jc w:val="center"/>
            </w:pPr>
            <w:r>
              <w:rPr>
                <w:rFonts w:ascii="宋体" w:hAnsi="宋体" w:eastAsia="宋体"/>
                <w:sz w:val="16"/>
              </w:rPr>
              <w:t>10</w:t>
            </w:r>
          </w:p>
        </w:tc>
      </w:tr>
      <w:tr w14:paraId="07E3DF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F213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F0828">
            <w:pPr>
              <w:jc w:val="center"/>
            </w:pPr>
            <w:r>
              <w:rPr>
                <w:rFonts w:ascii="宋体" w:hAnsi="宋体" w:eastAsia="宋体"/>
                <w:sz w:val="16"/>
              </w:rPr>
              <w:t>质量目标</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16DB924F">
            <w:pPr>
              <w:jc w:val="center"/>
            </w:pPr>
            <w:r>
              <w:rPr>
                <w:rFonts w:ascii="宋体" w:hAnsi="宋体" w:eastAsia="宋体"/>
                <w:sz w:val="16"/>
              </w:rPr>
              <w:t>保障儿童就学就医（人）</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2A565B4D">
            <w:pPr>
              <w:jc w:val="center"/>
            </w:pPr>
            <w:r>
              <w:rPr>
                <w:rFonts w:ascii="宋体" w:hAnsi="宋体" w:eastAsia="宋体"/>
                <w:sz w:val="16"/>
              </w:rPr>
              <w:t>&gt;=37人</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6E94CC2C">
            <w:pPr>
              <w:jc w:val="center"/>
            </w:pPr>
            <w:r>
              <w:rPr>
                <w:rFonts w:ascii="宋体" w:hAnsi="宋体" w:eastAsia="宋体"/>
                <w:sz w:val="16"/>
              </w:rPr>
              <w:t>政策制度</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7DA18D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15A07">
            <w:pPr>
              <w:jc w:val="center"/>
            </w:pPr>
            <w:r>
              <w:rPr>
                <w:rFonts w:ascii="宋体" w:hAnsi="宋体" w:eastAsia="宋体"/>
                <w:sz w:val="16"/>
              </w:rPr>
              <w:t>37人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48B9F">
            <w:pPr>
              <w:jc w:val="center"/>
            </w:pPr>
            <w:r>
              <w:rPr>
                <w:rFonts w:ascii="宋体" w:hAnsi="宋体" w:eastAsia="宋体"/>
                <w:sz w:val="16"/>
              </w:rPr>
              <w:t>10</w:t>
            </w:r>
          </w:p>
        </w:tc>
      </w:tr>
      <w:tr w14:paraId="246BA2A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52C77">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77824">
            <w:pPr>
              <w:jc w:val="center"/>
            </w:pPr>
            <w:r>
              <w:rPr>
                <w:rFonts w:ascii="宋体" w:hAnsi="宋体" w:eastAsia="宋体"/>
                <w:sz w:val="16"/>
              </w:rPr>
              <w:t>质量指标</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455BF079">
            <w:pPr>
              <w:jc w:val="center"/>
            </w:pPr>
            <w:r>
              <w:rPr>
                <w:rFonts w:ascii="宋体" w:hAnsi="宋体" w:eastAsia="宋体"/>
                <w:sz w:val="16"/>
              </w:rPr>
              <w:t>改善儿童生活居住条件</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6A52095A">
            <w:pPr>
              <w:jc w:val="center"/>
            </w:pPr>
            <w:r>
              <w:rPr>
                <w:rFonts w:ascii="宋体" w:hAnsi="宋体" w:eastAsia="宋体"/>
                <w:sz w:val="16"/>
              </w:rPr>
              <w:t>改善</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59F97B49">
            <w:pPr>
              <w:jc w:val="center"/>
            </w:pPr>
            <w:r>
              <w:rPr>
                <w:rFonts w:ascii="宋体" w:hAnsi="宋体" w:eastAsia="宋体"/>
                <w:sz w:val="16"/>
              </w:rPr>
              <w:t>政策制度</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5BD7361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658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BC684">
            <w:pPr>
              <w:jc w:val="center"/>
            </w:pPr>
            <w:r>
              <w:rPr>
                <w:rFonts w:ascii="宋体" w:hAnsi="宋体" w:eastAsia="宋体"/>
                <w:sz w:val="16"/>
              </w:rPr>
              <w:t>10</w:t>
            </w:r>
          </w:p>
        </w:tc>
      </w:tr>
      <w:tr w14:paraId="2F676C5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6353F">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971D7">
            <w:pPr>
              <w:jc w:val="center"/>
            </w:pPr>
            <w:r>
              <w:rPr>
                <w:rFonts w:ascii="宋体" w:hAnsi="宋体" w:eastAsia="宋体"/>
                <w:sz w:val="16"/>
              </w:rPr>
              <w:t>效益指标</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5F68EA70">
            <w:pPr>
              <w:jc w:val="center"/>
            </w:pPr>
            <w:r>
              <w:rPr>
                <w:rFonts w:ascii="宋体" w:hAnsi="宋体" w:eastAsia="宋体"/>
                <w:sz w:val="16"/>
              </w:rPr>
              <w:t>提升单位公共形象</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7440EAAF">
            <w:pPr>
              <w:jc w:val="center"/>
            </w:pPr>
            <w:r>
              <w:rPr>
                <w:rFonts w:ascii="宋体" w:hAnsi="宋体" w:eastAsia="宋体"/>
                <w:sz w:val="16"/>
              </w:rPr>
              <w:t>提升</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45F8BAA6">
            <w:pPr>
              <w:jc w:val="center"/>
            </w:pPr>
            <w:r>
              <w:rPr>
                <w:rFonts w:ascii="宋体" w:hAnsi="宋体" w:eastAsia="宋体"/>
                <w:sz w:val="16"/>
              </w:rPr>
              <w:t>中央要求</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342905C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D527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F57E1">
            <w:pPr>
              <w:jc w:val="center"/>
            </w:pPr>
            <w:r>
              <w:rPr>
                <w:rFonts w:ascii="宋体" w:hAnsi="宋体" w:eastAsia="宋体"/>
                <w:sz w:val="16"/>
              </w:rPr>
              <w:t>10</w:t>
            </w:r>
          </w:p>
        </w:tc>
      </w:tr>
      <w:tr w14:paraId="5C4AE2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21CC3">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03B76">
            <w:pPr>
              <w:jc w:val="center"/>
            </w:pPr>
            <w:r>
              <w:rPr>
                <w:rFonts w:ascii="宋体" w:hAnsi="宋体" w:eastAsia="宋体"/>
                <w:sz w:val="16"/>
              </w:rPr>
              <w:t>满意度指标</w:t>
            </w:r>
          </w:p>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7CB16FBE">
            <w:pPr>
              <w:jc w:val="center"/>
            </w:pPr>
            <w:r>
              <w:rPr>
                <w:rFonts w:ascii="宋体" w:hAnsi="宋体" w:eastAsia="宋体"/>
                <w:sz w:val="16"/>
              </w:rPr>
              <w:t>社会公众对本部门履职效果的满意度</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0519D5C9">
            <w:pPr>
              <w:jc w:val="center"/>
            </w:pPr>
            <w:r>
              <w:rPr>
                <w:rFonts w:ascii="宋体" w:hAnsi="宋体" w:eastAsia="宋体"/>
                <w:sz w:val="16"/>
              </w:rPr>
              <w:t>&gt;=95%</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7DE4304F">
            <w:pPr>
              <w:jc w:val="center"/>
            </w:pPr>
            <w:r>
              <w:rPr>
                <w:rFonts w:ascii="宋体" w:hAnsi="宋体" w:eastAsia="宋体"/>
                <w:sz w:val="16"/>
              </w:rPr>
              <w:t>“十四五”规划</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7FAE09D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319D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13193">
            <w:pPr>
              <w:jc w:val="center"/>
            </w:pPr>
            <w:r>
              <w:rPr>
                <w:rFonts w:ascii="宋体" w:hAnsi="宋体" w:eastAsia="宋体"/>
                <w:sz w:val="16"/>
              </w:rPr>
              <w:t>10</w:t>
            </w:r>
          </w:p>
        </w:tc>
      </w:tr>
      <w:tr w14:paraId="4A3414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23CBC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457975"/>
        </w:tc>
        <w:tc>
          <w:tcPr>
            <w:tcW w:w="1259" w:type="dxa"/>
            <w:tcBorders>
              <w:top w:val="single" w:color="auto" w:sz="10" w:space="0"/>
              <w:left w:val="single" w:color="auto" w:sz="10" w:space="0"/>
              <w:bottom w:val="single" w:color="auto" w:sz="10" w:space="0"/>
              <w:right w:val="single" w:color="auto" w:sz="10" w:space="0"/>
              <w:insideV w:val="single" w:sz="10" w:space="0"/>
            </w:tcBorders>
            <w:vAlign w:val="center"/>
          </w:tcPr>
          <w:p w14:paraId="54B6375D">
            <w:pPr>
              <w:jc w:val="center"/>
            </w:pPr>
            <w:r>
              <w:rPr>
                <w:rFonts w:ascii="宋体" w:hAnsi="宋体" w:eastAsia="宋体"/>
                <w:sz w:val="16"/>
              </w:rPr>
              <w:t>在职人员的满意度（%）</w:t>
            </w:r>
          </w:p>
        </w:tc>
        <w:tc>
          <w:tcPr>
            <w:tcW w:w="951" w:type="dxa"/>
            <w:tcBorders>
              <w:top w:val="single" w:color="auto" w:sz="10" w:space="0"/>
              <w:left w:val="single" w:color="auto" w:sz="10" w:space="0"/>
              <w:bottom w:val="single" w:color="auto" w:sz="10" w:space="0"/>
              <w:right w:val="single" w:color="auto" w:sz="10" w:space="0"/>
              <w:insideV w:val="single" w:sz="10" w:space="0"/>
            </w:tcBorders>
            <w:vAlign w:val="center"/>
          </w:tcPr>
          <w:p w14:paraId="348D99CD">
            <w:pPr>
              <w:jc w:val="center"/>
            </w:pPr>
            <w:r>
              <w:rPr>
                <w:rFonts w:ascii="宋体" w:hAnsi="宋体" w:eastAsia="宋体"/>
                <w:sz w:val="16"/>
              </w:rPr>
              <w:t>&gt;=95%</w:t>
            </w:r>
          </w:p>
        </w:tc>
        <w:tc>
          <w:tcPr>
            <w:tcW w:w="1401" w:type="dxa"/>
            <w:tcBorders>
              <w:top w:val="single" w:color="auto" w:sz="10" w:space="0"/>
              <w:left w:val="single" w:color="auto" w:sz="10" w:space="0"/>
              <w:bottom w:val="single" w:color="auto" w:sz="10" w:space="0"/>
              <w:right w:val="single" w:color="auto" w:sz="10" w:space="0"/>
              <w:insideV w:val="single" w:sz="10" w:space="0"/>
            </w:tcBorders>
            <w:vAlign w:val="center"/>
          </w:tcPr>
          <w:p w14:paraId="10FCF803">
            <w:pPr>
              <w:jc w:val="center"/>
            </w:pPr>
            <w:r>
              <w:rPr>
                <w:rFonts w:ascii="宋体" w:hAnsi="宋体" w:eastAsia="宋体"/>
                <w:sz w:val="16"/>
              </w:rPr>
              <w:t>“十四五”规划</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0ED25D2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422D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22A1D">
            <w:pPr>
              <w:jc w:val="center"/>
            </w:pPr>
            <w:r>
              <w:rPr>
                <w:rFonts w:ascii="宋体" w:hAnsi="宋体" w:eastAsia="宋体"/>
                <w:sz w:val="16"/>
              </w:rPr>
              <w:t>10</w:t>
            </w:r>
          </w:p>
        </w:tc>
      </w:tr>
    </w:tbl>
    <w:p w14:paraId="53CC32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BCA91B5">
        <w:tblPrEx>
          <w:tblCellMar>
            <w:top w:w="0" w:type="dxa"/>
            <w:left w:w="108" w:type="dxa"/>
            <w:bottom w:w="0" w:type="dxa"/>
            <w:right w:w="108" w:type="dxa"/>
          </w:tblCellMar>
        </w:tblPrEx>
        <w:tc>
          <w:tcPr>
            <w:tcW w:w="8848" w:type="dxa"/>
            <w:gridSpan w:val="14"/>
            <w:vAlign w:val="center"/>
          </w:tcPr>
          <w:p w14:paraId="44B89A23">
            <w:pPr>
              <w:jc w:val="center"/>
            </w:pPr>
            <w:r>
              <w:rPr>
                <w:rFonts w:ascii="宋体" w:hAnsi="宋体" w:eastAsia="宋体"/>
                <w:sz w:val="24"/>
              </w:rPr>
              <w:t>项目支出绩效自评表</w:t>
            </w:r>
          </w:p>
        </w:tc>
      </w:tr>
      <w:tr w14:paraId="775286EE">
        <w:tblPrEx>
          <w:tblCellMar>
            <w:top w:w="0" w:type="dxa"/>
            <w:left w:w="108" w:type="dxa"/>
            <w:bottom w:w="0" w:type="dxa"/>
            <w:right w:w="108" w:type="dxa"/>
          </w:tblCellMar>
        </w:tblPrEx>
        <w:tc>
          <w:tcPr>
            <w:tcW w:w="8848" w:type="dxa"/>
            <w:gridSpan w:val="14"/>
            <w:vAlign w:val="center"/>
          </w:tcPr>
          <w:p w14:paraId="420A0E02">
            <w:pPr>
              <w:jc w:val="center"/>
            </w:pPr>
            <w:r>
              <w:rPr>
                <w:rFonts w:ascii="宋体" w:hAnsi="宋体" w:eastAsia="宋体"/>
                <w:sz w:val="24"/>
              </w:rPr>
              <w:t>(2024年度)</w:t>
            </w:r>
          </w:p>
        </w:tc>
      </w:tr>
      <w:tr w14:paraId="0C7010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F8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83B7E7">
            <w:pPr>
              <w:jc w:val="center"/>
            </w:pPr>
            <w:r>
              <w:rPr>
                <w:rFonts w:ascii="宋体" w:hAnsi="宋体" w:eastAsia="宋体"/>
                <w:sz w:val="16"/>
              </w:rPr>
              <w:t>2024年中央专项彩票公益金支持地方社会公益事业发展[社会福利]</w:t>
            </w:r>
          </w:p>
        </w:tc>
      </w:tr>
      <w:tr w14:paraId="4BB36B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1D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AF341">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32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A0FDB5">
            <w:pPr>
              <w:jc w:val="center"/>
            </w:pPr>
            <w:r>
              <w:rPr>
                <w:rFonts w:ascii="宋体" w:hAnsi="宋体" w:eastAsia="宋体"/>
                <w:sz w:val="16"/>
              </w:rPr>
              <w:t>阿克陶县儿童福利院</w:t>
            </w:r>
          </w:p>
        </w:tc>
      </w:tr>
      <w:tr w14:paraId="05D342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FD6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C13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8B3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C25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996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709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29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5942">
            <w:pPr>
              <w:jc w:val="center"/>
            </w:pPr>
            <w:r>
              <w:rPr>
                <w:rFonts w:ascii="宋体" w:hAnsi="宋体" w:eastAsia="宋体"/>
                <w:sz w:val="16"/>
              </w:rPr>
              <w:t>得分</w:t>
            </w:r>
          </w:p>
        </w:tc>
      </w:tr>
      <w:tr w14:paraId="74406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C23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22A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F8A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863A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D4A9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78B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08F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56BD">
            <w:pPr>
              <w:jc w:val="center"/>
            </w:pPr>
            <w:r>
              <w:rPr>
                <w:rFonts w:ascii="宋体" w:hAnsi="宋体" w:eastAsia="宋体"/>
                <w:sz w:val="16"/>
              </w:rPr>
              <w:t>10.00分</w:t>
            </w:r>
          </w:p>
        </w:tc>
      </w:tr>
      <w:tr w14:paraId="7EADC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AA1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CDE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EF5A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A3C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F1E6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01A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921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D95B">
            <w:pPr>
              <w:jc w:val="center"/>
            </w:pPr>
            <w:r>
              <w:rPr>
                <w:rFonts w:ascii="宋体" w:hAnsi="宋体" w:eastAsia="宋体"/>
                <w:sz w:val="16"/>
              </w:rPr>
              <w:t>—</w:t>
            </w:r>
          </w:p>
        </w:tc>
      </w:tr>
      <w:tr w14:paraId="70D26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F26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A10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8B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E6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B4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2F7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ECE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EA3A">
            <w:pPr>
              <w:jc w:val="center"/>
            </w:pPr>
            <w:r>
              <w:rPr>
                <w:rFonts w:ascii="宋体" w:hAnsi="宋体" w:eastAsia="宋体"/>
                <w:sz w:val="16"/>
              </w:rPr>
              <w:t>—</w:t>
            </w:r>
          </w:p>
        </w:tc>
      </w:tr>
      <w:tr w14:paraId="7F973F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4CD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853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21D22C">
            <w:pPr>
              <w:jc w:val="center"/>
            </w:pPr>
            <w:r>
              <w:rPr>
                <w:rFonts w:ascii="宋体" w:hAnsi="宋体" w:eastAsia="宋体"/>
                <w:sz w:val="16"/>
              </w:rPr>
              <w:t>实际完成情况</w:t>
            </w:r>
          </w:p>
        </w:tc>
      </w:tr>
      <w:tr w14:paraId="3D997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F07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07662">
            <w:pPr>
              <w:jc w:val="both"/>
            </w:pPr>
            <w:r>
              <w:rPr>
                <w:rFonts w:ascii="宋体" w:hAnsi="宋体" w:eastAsia="宋体"/>
                <w:sz w:val="16"/>
              </w:rPr>
              <w:t>安规，及时，足额发放助学金，有效保障孤儿助学权利，为大龄儿童提供接受高等教育机会，让受助学生感受到国家大家庭的关怀。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6E7834">
            <w:pPr>
              <w:jc w:val="both"/>
            </w:pPr>
            <w:r>
              <w:rPr>
                <w:rFonts w:ascii="宋体" w:hAnsi="宋体" w:eastAsia="宋体"/>
                <w:sz w:val="16"/>
              </w:rPr>
              <w:t>安规，及时，足额发放助学金，有效保障孤儿助学权利，为大龄儿童提供接受高等教育机会，让受助学生感受到国家大家庭的关怀。</w:t>
            </w:r>
          </w:p>
        </w:tc>
      </w:tr>
      <w:tr w14:paraId="6BE664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21A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87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D9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AE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05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F5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F2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35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86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86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0E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89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BEA8D">
            <w:pPr>
              <w:jc w:val="center"/>
            </w:pPr>
            <w:r>
              <w:rPr>
                <w:rFonts w:ascii="宋体" w:hAnsi="宋体" w:eastAsia="宋体"/>
                <w:sz w:val="16"/>
              </w:rPr>
              <w:t>偏差原因分析及改进措施</w:t>
            </w:r>
          </w:p>
        </w:tc>
      </w:tr>
      <w:tr w14:paraId="087D21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41E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6AC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A8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E471">
            <w:pPr>
              <w:jc w:val="center"/>
            </w:pPr>
            <w:r>
              <w:rPr>
                <w:rFonts w:ascii="宋体" w:hAnsi="宋体" w:eastAsia="宋体"/>
                <w:sz w:val="16"/>
              </w:rPr>
              <w:t>孤儿大学生人数（人）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DD99">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7E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90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DAA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7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29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46D1">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B95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74E1B">
            <w:pPr>
              <w:jc w:val="center"/>
            </w:pPr>
          </w:p>
        </w:tc>
      </w:tr>
      <w:tr w14:paraId="7C533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73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D88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5B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847C">
            <w:pPr>
              <w:jc w:val="center"/>
            </w:pPr>
            <w:r>
              <w:rPr>
                <w:rFonts w:ascii="宋体" w:hAnsi="宋体" w:eastAsia="宋体"/>
                <w:sz w:val="16"/>
              </w:rPr>
              <w:t>孤儿大学生补助发放率（%）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2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5C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8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E09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5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45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2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38F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55571">
            <w:pPr>
              <w:jc w:val="center"/>
            </w:pPr>
          </w:p>
        </w:tc>
      </w:tr>
      <w:tr w14:paraId="7473A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284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B1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45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0662">
            <w:pPr>
              <w:jc w:val="center"/>
            </w:pPr>
            <w:r>
              <w:rPr>
                <w:rFonts w:ascii="宋体" w:hAnsi="宋体" w:eastAsia="宋体"/>
                <w:sz w:val="16"/>
              </w:rPr>
              <w:t>完成补助发放时限（月）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DA3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EC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6A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0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6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3C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607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68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2F1AE">
            <w:pPr>
              <w:jc w:val="center"/>
            </w:pPr>
          </w:p>
        </w:tc>
      </w:tr>
      <w:tr w14:paraId="4B5C3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88B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0D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3F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761B">
            <w:pPr>
              <w:jc w:val="center"/>
            </w:pPr>
            <w:r>
              <w:rPr>
                <w:rFonts w:ascii="宋体" w:hAnsi="宋体" w:eastAsia="宋体"/>
                <w:sz w:val="16"/>
              </w:rPr>
              <w:t>孤儿大学生补助资金（万元）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43A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95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AC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0A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7E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6B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FF38">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0AC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85C9">
            <w:pPr>
              <w:jc w:val="center"/>
            </w:pPr>
          </w:p>
        </w:tc>
      </w:tr>
      <w:tr w14:paraId="47020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463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7F2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187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357C">
            <w:pPr>
              <w:jc w:val="center"/>
            </w:pPr>
            <w:r>
              <w:rPr>
                <w:rFonts w:ascii="宋体" w:hAnsi="宋体" w:eastAsia="宋体"/>
                <w:sz w:val="16"/>
              </w:rPr>
              <w:t>有效保障困难儿童就读需求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185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48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56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E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0A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FB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0C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AF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445B0">
            <w:pPr>
              <w:jc w:val="center"/>
            </w:pPr>
          </w:p>
        </w:tc>
      </w:tr>
      <w:tr w14:paraId="50DF9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F3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8F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CD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35AB">
            <w:pPr>
              <w:jc w:val="center"/>
            </w:pPr>
            <w:r>
              <w:rPr>
                <w:rFonts w:ascii="宋体" w:hAnsi="宋体" w:eastAsia="宋体"/>
                <w:sz w:val="16"/>
              </w:rPr>
              <w:t>有效提升孤儿就学条件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FF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B9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02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A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FE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661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8E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84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C7BE9">
            <w:pPr>
              <w:jc w:val="center"/>
            </w:pPr>
          </w:p>
        </w:tc>
      </w:tr>
      <w:tr w14:paraId="525C2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85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93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6B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E49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44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1C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29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29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87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72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92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94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022BA">
            <w:pPr>
              <w:jc w:val="center"/>
            </w:pPr>
          </w:p>
        </w:tc>
      </w:tr>
      <w:tr w14:paraId="22E22F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29CC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D5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722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747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81CC88"/>
        </w:tc>
      </w:tr>
    </w:tbl>
    <w:p w14:paraId="531EF32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75C18822">
        <w:tblPrEx>
          <w:tblCellMar>
            <w:top w:w="0" w:type="dxa"/>
            <w:left w:w="108" w:type="dxa"/>
            <w:bottom w:w="0" w:type="dxa"/>
            <w:right w:w="108" w:type="dxa"/>
          </w:tblCellMar>
        </w:tblPrEx>
        <w:tc>
          <w:tcPr>
            <w:tcW w:w="8848" w:type="dxa"/>
            <w:gridSpan w:val="14"/>
            <w:vAlign w:val="center"/>
          </w:tcPr>
          <w:p w14:paraId="7A849B6B">
            <w:pPr>
              <w:jc w:val="center"/>
            </w:pPr>
            <w:r>
              <w:rPr>
                <w:rFonts w:ascii="宋体" w:hAnsi="宋体" w:eastAsia="宋体"/>
                <w:sz w:val="24"/>
              </w:rPr>
              <w:t>项目支出绩效自评表</w:t>
            </w:r>
          </w:p>
        </w:tc>
      </w:tr>
      <w:tr w14:paraId="16E8CD63">
        <w:tblPrEx>
          <w:tblCellMar>
            <w:top w:w="0" w:type="dxa"/>
            <w:left w:w="108" w:type="dxa"/>
            <w:bottom w:w="0" w:type="dxa"/>
            <w:right w:w="108" w:type="dxa"/>
          </w:tblCellMar>
        </w:tblPrEx>
        <w:tc>
          <w:tcPr>
            <w:tcW w:w="8848" w:type="dxa"/>
            <w:gridSpan w:val="14"/>
            <w:vAlign w:val="center"/>
          </w:tcPr>
          <w:p w14:paraId="09FCE79F">
            <w:pPr>
              <w:jc w:val="center"/>
            </w:pPr>
            <w:r>
              <w:rPr>
                <w:rFonts w:ascii="宋体" w:hAnsi="宋体" w:eastAsia="宋体"/>
                <w:sz w:val="24"/>
              </w:rPr>
              <w:t>(2024年度)</w:t>
            </w:r>
          </w:p>
        </w:tc>
      </w:tr>
      <w:tr w14:paraId="659432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05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F2DB41">
            <w:pPr>
              <w:jc w:val="center"/>
            </w:pPr>
            <w:r>
              <w:rPr>
                <w:rFonts w:ascii="宋体" w:hAnsi="宋体" w:eastAsia="宋体"/>
                <w:sz w:val="16"/>
              </w:rPr>
              <w:t>2024年中央财政困难群众救助补助项目(孤儿）</w:t>
            </w:r>
          </w:p>
        </w:tc>
      </w:tr>
      <w:tr w14:paraId="746865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7C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32BB6B">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5D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DB6150">
            <w:pPr>
              <w:jc w:val="center"/>
            </w:pPr>
            <w:r>
              <w:rPr>
                <w:rFonts w:ascii="宋体" w:hAnsi="宋体" w:eastAsia="宋体"/>
                <w:sz w:val="16"/>
              </w:rPr>
              <w:t>阿克陶县儿童福利院</w:t>
            </w:r>
          </w:p>
        </w:tc>
      </w:tr>
      <w:tr w14:paraId="063D54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8CE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3B7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B8B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6CC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56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BC4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655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5EB2">
            <w:pPr>
              <w:jc w:val="center"/>
            </w:pPr>
            <w:r>
              <w:rPr>
                <w:rFonts w:ascii="宋体" w:hAnsi="宋体" w:eastAsia="宋体"/>
                <w:sz w:val="16"/>
              </w:rPr>
              <w:t>得分</w:t>
            </w:r>
          </w:p>
        </w:tc>
      </w:tr>
      <w:tr w14:paraId="53F90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81E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EA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25092">
            <w:pPr>
              <w:jc w:val="center"/>
            </w:pPr>
            <w:r>
              <w:rPr>
                <w:rFonts w:ascii="宋体" w:hAnsi="宋体" w:eastAsia="宋体"/>
                <w:sz w:val="16"/>
              </w:rPr>
              <w:t>23.40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89538">
            <w:pPr>
              <w:jc w:val="center"/>
            </w:pPr>
            <w:r>
              <w:rPr>
                <w:rFonts w:ascii="宋体" w:hAnsi="宋体" w:eastAsia="宋体"/>
                <w:sz w:val="16"/>
              </w:rPr>
              <w:t>23.40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2BD19">
            <w:pPr>
              <w:jc w:val="center"/>
            </w:pPr>
            <w:r>
              <w:rPr>
                <w:rFonts w:ascii="宋体" w:hAnsi="宋体" w:eastAsia="宋体"/>
                <w:sz w:val="16"/>
              </w:rPr>
              <w:t>23.06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760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FA250">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DB28">
            <w:pPr>
              <w:jc w:val="center"/>
            </w:pPr>
            <w:r>
              <w:rPr>
                <w:rFonts w:ascii="宋体" w:hAnsi="宋体" w:eastAsia="宋体"/>
                <w:sz w:val="16"/>
              </w:rPr>
              <w:t>9.62分</w:t>
            </w:r>
          </w:p>
        </w:tc>
      </w:tr>
      <w:tr w14:paraId="2DAD6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ACD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C56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D60D7">
            <w:pPr>
              <w:jc w:val="center"/>
            </w:pPr>
            <w:r>
              <w:rPr>
                <w:rFonts w:ascii="宋体" w:hAnsi="宋体" w:eastAsia="宋体"/>
                <w:sz w:val="16"/>
              </w:rPr>
              <w:t>23.40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1951B">
            <w:pPr>
              <w:jc w:val="center"/>
            </w:pPr>
            <w:r>
              <w:rPr>
                <w:rFonts w:ascii="宋体" w:hAnsi="宋体" w:eastAsia="宋体"/>
                <w:sz w:val="16"/>
              </w:rPr>
              <w:t>23.40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72F37">
            <w:pPr>
              <w:jc w:val="center"/>
            </w:pPr>
            <w:r>
              <w:rPr>
                <w:rFonts w:ascii="宋体" w:hAnsi="宋体" w:eastAsia="宋体"/>
                <w:sz w:val="16"/>
              </w:rPr>
              <w:t>23.06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D5A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887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AB04">
            <w:pPr>
              <w:jc w:val="center"/>
            </w:pPr>
            <w:r>
              <w:rPr>
                <w:rFonts w:ascii="宋体" w:hAnsi="宋体" w:eastAsia="宋体"/>
                <w:sz w:val="16"/>
              </w:rPr>
              <w:t>—</w:t>
            </w:r>
          </w:p>
        </w:tc>
      </w:tr>
      <w:tr w14:paraId="499A2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4B5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75F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12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54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1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6F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352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0758">
            <w:pPr>
              <w:jc w:val="center"/>
            </w:pPr>
            <w:r>
              <w:rPr>
                <w:rFonts w:ascii="宋体" w:hAnsi="宋体" w:eastAsia="宋体"/>
                <w:sz w:val="16"/>
              </w:rPr>
              <w:t>—</w:t>
            </w:r>
          </w:p>
        </w:tc>
      </w:tr>
      <w:tr w14:paraId="221426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D7D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3B7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817AD">
            <w:pPr>
              <w:jc w:val="center"/>
            </w:pPr>
            <w:r>
              <w:rPr>
                <w:rFonts w:ascii="宋体" w:hAnsi="宋体" w:eastAsia="宋体"/>
                <w:sz w:val="16"/>
              </w:rPr>
              <w:t>实际完成情况</w:t>
            </w:r>
          </w:p>
        </w:tc>
      </w:tr>
      <w:tr w14:paraId="3F0C4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162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AA082C">
            <w:pPr>
              <w:jc w:val="both"/>
            </w:pPr>
            <w:r>
              <w:rPr>
                <w:rFonts w:ascii="宋体" w:hAnsi="宋体" w:eastAsia="宋体"/>
                <w:sz w:val="16"/>
              </w:rPr>
              <w:t>保障14名孤儿基本生活需求</w:t>
            </w:r>
            <w:r>
              <w:rPr>
                <w:rFonts w:hint="eastAsia" w:ascii="宋体" w:hAnsi="宋体"/>
                <w:sz w:val="16"/>
                <w:lang w:eastAsia="zh-CN"/>
              </w:rPr>
              <w:t>，</w:t>
            </w:r>
            <w:r>
              <w:rPr>
                <w:rFonts w:ascii="宋体" w:hAnsi="宋体" w:eastAsia="宋体"/>
                <w:sz w:val="16"/>
              </w:rPr>
              <w:t>提高对党政府的感恩意识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D91B25">
            <w:pPr>
              <w:jc w:val="both"/>
            </w:pPr>
            <w:r>
              <w:rPr>
                <w:rFonts w:ascii="宋体" w:hAnsi="宋体" w:eastAsia="宋体"/>
                <w:sz w:val="16"/>
              </w:rPr>
              <w:t>保障14名孤儿基本生活需求</w:t>
            </w:r>
            <w:r>
              <w:rPr>
                <w:rFonts w:hint="eastAsia" w:ascii="宋体" w:hAnsi="宋体"/>
                <w:sz w:val="16"/>
                <w:lang w:eastAsia="zh-CN"/>
              </w:rPr>
              <w:t>，</w:t>
            </w:r>
            <w:r>
              <w:rPr>
                <w:rFonts w:ascii="宋体" w:hAnsi="宋体" w:eastAsia="宋体"/>
                <w:sz w:val="16"/>
              </w:rPr>
              <w:t>提高对党政府的感恩意识</w:t>
            </w:r>
          </w:p>
        </w:tc>
      </w:tr>
      <w:tr w14:paraId="546086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DFA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BF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F1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1F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99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E9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C6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36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CD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4C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AC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A1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7F9A1">
            <w:pPr>
              <w:jc w:val="center"/>
            </w:pPr>
            <w:r>
              <w:rPr>
                <w:rFonts w:ascii="宋体" w:hAnsi="宋体" w:eastAsia="宋体"/>
                <w:sz w:val="16"/>
              </w:rPr>
              <w:t>偏差原因分析及改进措施</w:t>
            </w:r>
          </w:p>
        </w:tc>
      </w:tr>
      <w:tr w14:paraId="628F97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C5E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04D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0B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1A14">
            <w:pPr>
              <w:jc w:val="center"/>
            </w:pPr>
            <w:r>
              <w:rPr>
                <w:rFonts w:ascii="宋体" w:hAnsi="宋体" w:eastAsia="宋体"/>
                <w:sz w:val="16"/>
              </w:rPr>
              <w:t>集中供养孤儿学生人数（人）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B830">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76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B0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CE4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B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D7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311B">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606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9A7F6">
            <w:pPr>
              <w:jc w:val="center"/>
            </w:pPr>
          </w:p>
        </w:tc>
      </w:tr>
      <w:tr w14:paraId="6500B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A5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F4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52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9A9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D3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C1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F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681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A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44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F0F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526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DE9DF">
            <w:pPr>
              <w:jc w:val="center"/>
            </w:pPr>
          </w:p>
        </w:tc>
      </w:tr>
      <w:tr w14:paraId="6CF0B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3E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31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F0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92AD">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402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34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F4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63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48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11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74E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BB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66B8F">
            <w:pPr>
              <w:jc w:val="center"/>
            </w:pPr>
          </w:p>
        </w:tc>
      </w:tr>
      <w:tr w14:paraId="44F59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E9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57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DC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E8F9">
            <w:pPr>
              <w:jc w:val="center"/>
            </w:pPr>
            <w:r>
              <w:rPr>
                <w:rFonts w:ascii="宋体" w:hAnsi="宋体" w:eastAsia="宋体"/>
                <w:sz w:val="16"/>
              </w:rPr>
              <w:t>项目执行资金（万元）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4E00">
            <w:pPr>
              <w:jc w:val="center"/>
            </w:pPr>
            <w:r>
              <w:rPr>
                <w:rFonts w:ascii="宋体" w:hAnsi="宋体" w:eastAsia="宋体"/>
                <w:sz w:val="16"/>
              </w:rPr>
              <w:t>=23.40万元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94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D1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2C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E3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55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64DC">
            <w:pPr>
              <w:jc w:val="center"/>
            </w:pPr>
            <w:r>
              <w:rPr>
                <w:rFonts w:ascii="宋体" w:hAnsi="宋体" w:eastAsia="宋体"/>
                <w:sz w:val="16"/>
              </w:rPr>
              <w:t>=23.06万元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E7E1">
            <w:pPr>
              <w:jc w:val="center"/>
            </w:pPr>
            <w:r>
              <w:rPr>
                <w:rFonts w:ascii="宋体" w:hAnsi="宋体" w:eastAsia="宋体"/>
                <w:sz w:val="16"/>
              </w:rPr>
              <w:t>19.27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A3BF7">
            <w:pPr>
              <w:jc w:val="center"/>
            </w:pPr>
            <w:r>
              <w:rPr>
                <w:rFonts w:ascii="宋体" w:hAnsi="宋体" w:eastAsia="宋体"/>
                <w:sz w:val="16"/>
              </w:rPr>
              <w:t>该项目资金享受人员政策为动态调整。</w:t>
            </w:r>
          </w:p>
        </w:tc>
      </w:tr>
      <w:tr w14:paraId="72430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F4B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B9E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AF5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3B4F">
            <w:pPr>
              <w:jc w:val="center"/>
            </w:pPr>
            <w:r>
              <w:rPr>
                <w:rFonts w:ascii="宋体" w:hAnsi="宋体" w:eastAsia="宋体"/>
                <w:sz w:val="16"/>
              </w:rPr>
              <w:t>有效保障集中供养孤儿基本需求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D7D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47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EB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B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7D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3A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C0D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2A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D732F">
            <w:pPr>
              <w:jc w:val="center"/>
            </w:pPr>
          </w:p>
        </w:tc>
      </w:tr>
      <w:tr w14:paraId="70D32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3B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62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7B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B2CB">
            <w:pPr>
              <w:jc w:val="center"/>
            </w:pPr>
            <w:r>
              <w:rPr>
                <w:rFonts w:ascii="宋体" w:hAnsi="宋体" w:eastAsia="宋体"/>
                <w:sz w:val="16"/>
              </w:rPr>
              <w:t>改善集中供养孤儿生活条件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252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B5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97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D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5C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F2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41C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29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A1CED">
            <w:pPr>
              <w:jc w:val="center"/>
            </w:pPr>
          </w:p>
        </w:tc>
      </w:tr>
      <w:tr w14:paraId="298DB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D2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65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A2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C69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32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B4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67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C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AA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6B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9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7F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A7441">
            <w:pPr>
              <w:jc w:val="center"/>
            </w:pPr>
          </w:p>
        </w:tc>
      </w:tr>
      <w:tr w14:paraId="37E037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70D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26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C68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88DA">
            <w:pPr>
              <w:jc w:val="center"/>
            </w:pPr>
            <w:r>
              <w:rPr>
                <w:rFonts w:ascii="宋体" w:hAnsi="宋体" w:eastAsia="宋体"/>
                <w:sz w:val="16"/>
              </w:rPr>
              <w:t>98.89分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16371F"/>
        </w:tc>
      </w:tr>
    </w:tbl>
    <w:p w14:paraId="73CB11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37A4BD60">
        <w:tblPrEx>
          <w:tblCellMar>
            <w:top w:w="0" w:type="dxa"/>
            <w:left w:w="108" w:type="dxa"/>
            <w:bottom w:w="0" w:type="dxa"/>
            <w:right w:w="108" w:type="dxa"/>
          </w:tblCellMar>
        </w:tblPrEx>
        <w:tc>
          <w:tcPr>
            <w:tcW w:w="8848" w:type="dxa"/>
            <w:gridSpan w:val="14"/>
            <w:vAlign w:val="center"/>
          </w:tcPr>
          <w:p w14:paraId="7BD40CF2">
            <w:pPr>
              <w:jc w:val="center"/>
            </w:pPr>
            <w:r>
              <w:rPr>
                <w:rFonts w:ascii="宋体" w:hAnsi="宋体" w:eastAsia="宋体"/>
                <w:sz w:val="24"/>
              </w:rPr>
              <w:t>项目支出绩效自评表</w:t>
            </w:r>
          </w:p>
        </w:tc>
      </w:tr>
      <w:tr w14:paraId="59B19D10">
        <w:tblPrEx>
          <w:tblCellMar>
            <w:top w:w="0" w:type="dxa"/>
            <w:left w:w="108" w:type="dxa"/>
            <w:bottom w:w="0" w:type="dxa"/>
            <w:right w:w="108" w:type="dxa"/>
          </w:tblCellMar>
        </w:tblPrEx>
        <w:tc>
          <w:tcPr>
            <w:tcW w:w="8848" w:type="dxa"/>
            <w:gridSpan w:val="14"/>
            <w:vAlign w:val="center"/>
          </w:tcPr>
          <w:p w14:paraId="17B759CD">
            <w:pPr>
              <w:jc w:val="center"/>
            </w:pPr>
            <w:r>
              <w:rPr>
                <w:rFonts w:ascii="宋体" w:hAnsi="宋体" w:eastAsia="宋体"/>
                <w:sz w:val="24"/>
              </w:rPr>
              <w:t>(2024年度)</w:t>
            </w:r>
          </w:p>
        </w:tc>
      </w:tr>
      <w:tr w14:paraId="0B7A1D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14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31AEE9">
            <w:pPr>
              <w:jc w:val="center"/>
            </w:pPr>
            <w:r>
              <w:rPr>
                <w:rFonts w:ascii="宋体" w:hAnsi="宋体" w:eastAsia="宋体"/>
                <w:sz w:val="16"/>
              </w:rPr>
              <w:t>2024年中央财政困难群众救助补助项目</w:t>
            </w:r>
          </w:p>
        </w:tc>
      </w:tr>
      <w:tr w14:paraId="6683C3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67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3055D1">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CE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7E25A5">
            <w:pPr>
              <w:jc w:val="center"/>
            </w:pPr>
            <w:r>
              <w:rPr>
                <w:rFonts w:ascii="宋体" w:hAnsi="宋体" w:eastAsia="宋体"/>
                <w:sz w:val="16"/>
              </w:rPr>
              <w:t>阿克陶县儿童福利院</w:t>
            </w:r>
          </w:p>
        </w:tc>
      </w:tr>
      <w:tr w14:paraId="52B51A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FBB8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CE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B6D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8B1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076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EC9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661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3F9B">
            <w:pPr>
              <w:jc w:val="center"/>
            </w:pPr>
            <w:r>
              <w:rPr>
                <w:rFonts w:ascii="宋体" w:hAnsi="宋体" w:eastAsia="宋体"/>
                <w:sz w:val="16"/>
              </w:rPr>
              <w:t>得分</w:t>
            </w:r>
          </w:p>
        </w:tc>
      </w:tr>
      <w:tr w14:paraId="24D64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4AA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1B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F0A2">
            <w:pPr>
              <w:jc w:val="center"/>
            </w:pPr>
            <w:r>
              <w:rPr>
                <w:rFonts w:ascii="宋体" w:hAnsi="宋体" w:eastAsia="宋体"/>
                <w:sz w:val="16"/>
              </w:rPr>
              <w:t>31.16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EB910">
            <w:pPr>
              <w:jc w:val="center"/>
            </w:pPr>
            <w:r>
              <w:rPr>
                <w:rFonts w:ascii="宋体" w:hAnsi="宋体" w:eastAsia="宋体"/>
                <w:sz w:val="16"/>
              </w:rPr>
              <w:t>31.16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0FDFB">
            <w:pPr>
              <w:jc w:val="center"/>
            </w:pPr>
            <w:r>
              <w:rPr>
                <w:rFonts w:ascii="宋体" w:hAnsi="宋体" w:eastAsia="宋体"/>
                <w:sz w:val="16"/>
              </w:rPr>
              <w:t>30.47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09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30E33">
            <w:pPr>
              <w:jc w:val="center"/>
            </w:pPr>
            <w:r>
              <w:rPr>
                <w:rFonts w:ascii="宋体" w:hAnsi="宋体" w:eastAsia="宋体"/>
                <w:sz w:val="16"/>
              </w:rPr>
              <w:t>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FC96">
            <w:pPr>
              <w:jc w:val="center"/>
            </w:pPr>
            <w:r>
              <w:rPr>
                <w:rFonts w:ascii="宋体" w:hAnsi="宋体" w:eastAsia="宋体"/>
                <w:sz w:val="16"/>
              </w:rPr>
              <w:t>9.45分</w:t>
            </w:r>
          </w:p>
        </w:tc>
      </w:tr>
      <w:tr w14:paraId="17EC3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71A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38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97D49">
            <w:pPr>
              <w:jc w:val="center"/>
            </w:pPr>
            <w:r>
              <w:rPr>
                <w:rFonts w:ascii="宋体" w:hAnsi="宋体" w:eastAsia="宋体"/>
                <w:sz w:val="16"/>
              </w:rPr>
              <w:t>31.16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9E7F">
            <w:pPr>
              <w:jc w:val="center"/>
            </w:pPr>
            <w:r>
              <w:rPr>
                <w:rFonts w:ascii="宋体" w:hAnsi="宋体" w:eastAsia="宋体"/>
                <w:sz w:val="16"/>
              </w:rPr>
              <w:t>31.16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4DE38">
            <w:pPr>
              <w:jc w:val="center"/>
            </w:pPr>
            <w:r>
              <w:rPr>
                <w:rFonts w:ascii="宋体" w:hAnsi="宋体" w:eastAsia="宋体"/>
                <w:sz w:val="16"/>
              </w:rPr>
              <w:t>30.47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3B6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2B3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ADD3">
            <w:pPr>
              <w:jc w:val="center"/>
            </w:pPr>
            <w:r>
              <w:rPr>
                <w:rFonts w:ascii="宋体" w:hAnsi="宋体" w:eastAsia="宋体"/>
                <w:sz w:val="16"/>
              </w:rPr>
              <w:t>—</w:t>
            </w:r>
          </w:p>
        </w:tc>
      </w:tr>
      <w:tr w14:paraId="53553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058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676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795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48D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2AE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C58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69B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6554">
            <w:pPr>
              <w:jc w:val="center"/>
            </w:pPr>
            <w:r>
              <w:rPr>
                <w:rFonts w:ascii="宋体" w:hAnsi="宋体" w:eastAsia="宋体"/>
                <w:sz w:val="16"/>
              </w:rPr>
              <w:t>—</w:t>
            </w:r>
          </w:p>
        </w:tc>
      </w:tr>
      <w:tr w14:paraId="265698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2CD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DE1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6109AF">
            <w:pPr>
              <w:jc w:val="center"/>
            </w:pPr>
            <w:r>
              <w:rPr>
                <w:rFonts w:ascii="宋体" w:hAnsi="宋体" w:eastAsia="宋体"/>
                <w:sz w:val="16"/>
              </w:rPr>
              <w:t>实际完成情况</w:t>
            </w:r>
          </w:p>
        </w:tc>
      </w:tr>
      <w:tr w14:paraId="7D5C5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4D6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4BD16">
            <w:pPr>
              <w:jc w:val="both"/>
            </w:pPr>
            <w:r>
              <w:rPr>
                <w:rFonts w:ascii="宋体" w:hAnsi="宋体" w:eastAsia="宋体"/>
                <w:sz w:val="16"/>
              </w:rPr>
              <w:t>用于保障集中供养困难儿童，正常生活吃穿住需求，解决就读，就医等必要问题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00326">
            <w:pPr>
              <w:jc w:val="both"/>
            </w:pPr>
            <w:r>
              <w:rPr>
                <w:rFonts w:ascii="宋体" w:hAnsi="宋体" w:eastAsia="宋体"/>
                <w:sz w:val="16"/>
              </w:rPr>
              <w:t>用于保障集中供养困难儿童，正常生活吃穿住需求，解决就读，就医等必要问题</w:t>
            </w:r>
          </w:p>
        </w:tc>
      </w:tr>
      <w:tr w14:paraId="4B1EB1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22F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B0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B7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79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28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77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5B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14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39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D8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FF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AE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B73C9">
            <w:pPr>
              <w:jc w:val="center"/>
            </w:pPr>
            <w:r>
              <w:rPr>
                <w:rFonts w:ascii="宋体" w:hAnsi="宋体" w:eastAsia="宋体"/>
                <w:sz w:val="16"/>
              </w:rPr>
              <w:t>偏差原因分析及改进措施</w:t>
            </w:r>
          </w:p>
        </w:tc>
      </w:tr>
      <w:tr w14:paraId="0826FD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105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295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E7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39B1">
            <w:pPr>
              <w:jc w:val="center"/>
            </w:pPr>
            <w:r>
              <w:rPr>
                <w:rFonts w:ascii="宋体" w:hAnsi="宋体" w:eastAsia="宋体"/>
                <w:sz w:val="16"/>
              </w:rPr>
              <w:t>集中供养特困儿童人数（人）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F2E2">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E2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2C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1D8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1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31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95E0">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4D5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69EF">
            <w:pPr>
              <w:jc w:val="center"/>
            </w:pPr>
          </w:p>
        </w:tc>
      </w:tr>
      <w:tr w14:paraId="3CF25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99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CD8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99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F04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00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AA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A4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64F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89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86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15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335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BE0EB">
            <w:pPr>
              <w:jc w:val="center"/>
            </w:pPr>
          </w:p>
        </w:tc>
      </w:tr>
      <w:tr w14:paraId="1C1B0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A5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5B7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CB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C925">
            <w:pPr>
              <w:jc w:val="center"/>
            </w:pPr>
            <w:r>
              <w:rPr>
                <w:rFonts w:ascii="宋体" w:hAnsi="宋体" w:eastAsia="宋体"/>
                <w:sz w:val="16"/>
              </w:rPr>
              <w:t>资金执行时限（月）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A5C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7C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3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67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D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F0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815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27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6F917">
            <w:pPr>
              <w:jc w:val="center"/>
            </w:pPr>
          </w:p>
        </w:tc>
      </w:tr>
      <w:tr w14:paraId="37D40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9F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65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BB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BFF1">
            <w:pPr>
              <w:jc w:val="center"/>
            </w:pPr>
            <w:r>
              <w:rPr>
                <w:rFonts w:ascii="宋体" w:hAnsi="宋体" w:eastAsia="宋体"/>
                <w:sz w:val="16"/>
              </w:rPr>
              <w:t>拨付资金（万元）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6ACD">
            <w:pPr>
              <w:jc w:val="center"/>
            </w:pPr>
            <w:r>
              <w:rPr>
                <w:rFonts w:ascii="宋体" w:hAnsi="宋体" w:eastAsia="宋体"/>
                <w:sz w:val="16"/>
              </w:rPr>
              <w:t>=31.16万元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94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BA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4B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4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A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11D1">
            <w:pPr>
              <w:jc w:val="center"/>
            </w:pPr>
            <w:r>
              <w:rPr>
                <w:rFonts w:ascii="宋体" w:hAnsi="宋体" w:eastAsia="宋体"/>
                <w:sz w:val="16"/>
              </w:rPr>
              <w:t>=30.47万元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4774">
            <w:pPr>
              <w:jc w:val="center"/>
            </w:pPr>
            <w:r>
              <w:rPr>
                <w:rFonts w:ascii="宋体" w:hAnsi="宋体" w:eastAsia="宋体"/>
                <w:sz w:val="16"/>
              </w:rPr>
              <w:t>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62E6">
            <w:pPr>
              <w:jc w:val="center"/>
            </w:pPr>
            <w:r>
              <w:rPr>
                <w:rFonts w:ascii="宋体" w:hAnsi="宋体" w:eastAsia="宋体"/>
                <w:sz w:val="16"/>
              </w:rPr>
              <w:t>该项目资金享受人员政策为动态调整。</w:t>
            </w:r>
          </w:p>
        </w:tc>
      </w:tr>
      <w:tr w14:paraId="4BE02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854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483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61C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D2D4">
            <w:pPr>
              <w:jc w:val="center"/>
            </w:pPr>
            <w:r>
              <w:rPr>
                <w:rFonts w:ascii="宋体" w:hAnsi="宋体" w:eastAsia="宋体"/>
                <w:sz w:val="16"/>
              </w:rPr>
              <w:t>有效保障困难儿童生活需求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146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77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F5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4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3F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8E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D6D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6C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A3BE">
            <w:pPr>
              <w:jc w:val="center"/>
            </w:pPr>
          </w:p>
        </w:tc>
      </w:tr>
      <w:tr w14:paraId="6C2ED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67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98E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CF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AD71">
            <w:pPr>
              <w:jc w:val="center"/>
            </w:pPr>
            <w:r>
              <w:rPr>
                <w:rFonts w:ascii="宋体" w:hAnsi="宋体" w:eastAsia="宋体"/>
                <w:sz w:val="16"/>
              </w:rPr>
              <w:t>有效提高困难儿童生活条件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509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C2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28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4E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70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E6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09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20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D19A3">
            <w:pPr>
              <w:jc w:val="center"/>
            </w:pPr>
          </w:p>
        </w:tc>
      </w:tr>
      <w:tr w14:paraId="7F2BE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8F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2F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E0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AF40">
            <w:pPr>
              <w:jc w:val="center"/>
            </w:pPr>
            <w:r>
              <w:rPr>
                <w:rFonts w:ascii="宋体" w:hAnsi="宋体" w:eastAsia="宋体"/>
                <w:sz w:val="16"/>
              </w:rPr>
              <w:t>受益儿童满意度（%）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2E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1A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A1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2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BA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98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F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8A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06D1">
            <w:pPr>
              <w:jc w:val="center"/>
            </w:pPr>
          </w:p>
        </w:tc>
      </w:tr>
      <w:tr w14:paraId="721288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EBA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45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BCD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87D5">
            <w:pPr>
              <w:jc w:val="center"/>
            </w:pPr>
            <w:r>
              <w:rPr>
                <w:rFonts w:ascii="宋体" w:hAnsi="宋体" w:eastAsia="宋体"/>
                <w:sz w:val="16"/>
              </w:rPr>
              <w:t>98.35分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782C8E"/>
        </w:tc>
      </w:tr>
    </w:tbl>
    <w:p w14:paraId="174DF7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050B25AB">
        <w:tblPrEx>
          <w:tblCellMar>
            <w:top w:w="0" w:type="dxa"/>
            <w:left w:w="108" w:type="dxa"/>
            <w:bottom w:w="0" w:type="dxa"/>
            <w:right w:w="108" w:type="dxa"/>
          </w:tblCellMar>
        </w:tblPrEx>
        <w:tc>
          <w:tcPr>
            <w:tcW w:w="8848" w:type="dxa"/>
            <w:gridSpan w:val="14"/>
            <w:vAlign w:val="center"/>
          </w:tcPr>
          <w:p w14:paraId="4E695DF6">
            <w:pPr>
              <w:jc w:val="center"/>
            </w:pPr>
            <w:r>
              <w:rPr>
                <w:rFonts w:ascii="宋体" w:hAnsi="宋体" w:eastAsia="宋体"/>
                <w:sz w:val="24"/>
              </w:rPr>
              <w:t>项目支出绩效自评表</w:t>
            </w:r>
          </w:p>
        </w:tc>
      </w:tr>
      <w:tr w14:paraId="48A23425">
        <w:tblPrEx>
          <w:tblCellMar>
            <w:top w:w="0" w:type="dxa"/>
            <w:left w:w="108" w:type="dxa"/>
            <w:bottom w:w="0" w:type="dxa"/>
            <w:right w:w="108" w:type="dxa"/>
          </w:tblCellMar>
        </w:tblPrEx>
        <w:tc>
          <w:tcPr>
            <w:tcW w:w="8848" w:type="dxa"/>
            <w:gridSpan w:val="14"/>
            <w:vAlign w:val="center"/>
          </w:tcPr>
          <w:p w14:paraId="35A9E6CC">
            <w:pPr>
              <w:jc w:val="center"/>
            </w:pPr>
            <w:r>
              <w:rPr>
                <w:rFonts w:ascii="宋体" w:hAnsi="宋体" w:eastAsia="宋体"/>
                <w:sz w:val="24"/>
              </w:rPr>
              <w:t>(2024年度)</w:t>
            </w:r>
          </w:p>
        </w:tc>
      </w:tr>
      <w:tr w14:paraId="546AD9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4F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A8D678">
            <w:pPr>
              <w:jc w:val="center"/>
            </w:pPr>
            <w:r>
              <w:rPr>
                <w:rFonts w:ascii="宋体" w:hAnsi="宋体" w:eastAsia="宋体"/>
                <w:sz w:val="16"/>
              </w:rPr>
              <w:t>2024年儿童福利院集中供养补助项目（县级）</w:t>
            </w:r>
          </w:p>
        </w:tc>
      </w:tr>
      <w:tr w14:paraId="43F5FD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77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9AB80E">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0F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425CCC">
            <w:pPr>
              <w:jc w:val="center"/>
            </w:pPr>
            <w:r>
              <w:rPr>
                <w:rFonts w:ascii="宋体" w:hAnsi="宋体" w:eastAsia="宋体"/>
                <w:sz w:val="16"/>
              </w:rPr>
              <w:t>阿克陶县儿童福利院</w:t>
            </w:r>
          </w:p>
        </w:tc>
      </w:tr>
      <w:tr w14:paraId="00C131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54A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E9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B92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ADC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2F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01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815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C78D">
            <w:pPr>
              <w:jc w:val="center"/>
            </w:pPr>
            <w:r>
              <w:rPr>
                <w:rFonts w:ascii="宋体" w:hAnsi="宋体" w:eastAsia="宋体"/>
                <w:sz w:val="16"/>
              </w:rPr>
              <w:t>得分</w:t>
            </w:r>
          </w:p>
        </w:tc>
      </w:tr>
      <w:tr w14:paraId="69A14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417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258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C7556">
            <w:pPr>
              <w:jc w:val="center"/>
            </w:pPr>
            <w:r>
              <w:rPr>
                <w:rFonts w:ascii="宋体" w:hAnsi="宋体" w:eastAsia="宋体"/>
                <w:sz w:val="16"/>
              </w:rPr>
              <w:t>25.08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499DB">
            <w:pPr>
              <w:jc w:val="center"/>
            </w:pPr>
            <w:r>
              <w:rPr>
                <w:rFonts w:ascii="宋体" w:hAnsi="宋体" w:eastAsia="宋体"/>
                <w:sz w:val="16"/>
              </w:rPr>
              <w:t>25.08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07D5F">
            <w:pPr>
              <w:jc w:val="center"/>
            </w:pPr>
            <w:r>
              <w:rPr>
                <w:rFonts w:ascii="宋体" w:hAnsi="宋体" w:eastAsia="宋体"/>
                <w:sz w:val="16"/>
              </w:rPr>
              <w:t>23.45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F06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A8587">
            <w:pPr>
              <w:jc w:val="center"/>
            </w:pPr>
            <w:r>
              <w:rPr>
                <w:rFonts w:ascii="宋体" w:hAnsi="宋体" w:eastAsia="宋体"/>
                <w:sz w:val="16"/>
              </w:rPr>
              <w:t>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E34B">
            <w:pPr>
              <w:jc w:val="center"/>
            </w:pPr>
            <w:r>
              <w:rPr>
                <w:rFonts w:ascii="宋体" w:hAnsi="宋体" w:eastAsia="宋体"/>
                <w:sz w:val="16"/>
              </w:rPr>
              <w:t>8.38分</w:t>
            </w:r>
          </w:p>
        </w:tc>
      </w:tr>
      <w:tr w14:paraId="7D236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F94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E8C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DCDBF">
            <w:pPr>
              <w:jc w:val="center"/>
            </w:pPr>
            <w:r>
              <w:rPr>
                <w:rFonts w:ascii="宋体" w:hAnsi="宋体" w:eastAsia="宋体"/>
                <w:sz w:val="16"/>
              </w:rPr>
              <w:t>25.08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7B42B">
            <w:pPr>
              <w:jc w:val="center"/>
            </w:pPr>
            <w:r>
              <w:rPr>
                <w:rFonts w:ascii="宋体" w:hAnsi="宋体" w:eastAsia="宋体"/>
                <w:sz w:val="16"/>
              </w:rPr>
              <w:t>25.08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AC092">
            <w:pPr>
              <w:jc w:val="center"/>
            </w:pPr>
            <w:r>
              <w:rPr>
                <w:rFonts w:ascii="宋体" w:hAnsi="宋体" w:eastAsia="宋体"/>
                <w:sz w:val="16"/>
              </w:rPr>
              <w:t>23.45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55C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44E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0301">
            <w:pPr>
              <w:jc w:val="center"/>
            </w:pPr>
            <w:r>
              <w:rPr>
                <w:rFonts w:ascii="宋体" w:hAnsi="宋体" w:eastAsia="宋体"/>
                <w:sz w:val="16"/>
              </w:rPr>
              <w:t>—</w:t>
            </w:r>
          </w:p>
        </w:tc>
      </w:tr>
      <w:tr w14:paraId="13DBC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CAD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A19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46E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4E6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26B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E4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0F6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0CDE">
            <w:pPr>
              <w:jc w:val="center"/>
            </w:pPr>
            <w:r>
              <w:rPr>
                <w:rFonts w:ascii="宋体" w:hAnsi="宋体" w:eastAsia="宋体"/>
                <w:sz w:val="16"/>
              </w:rPr>
              <w:t>—</w:t>
            </w:r>
          </w:p>
        </w:tc>
      </w:tr>
      <w:tr w14:paraId="6ACEF7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32B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C173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FF1E17">
            <w:pPr>
              <w:jc w:val="center"/>
            </w:pPr>
            <w:r>
              <w:rPr>
                <w:rFonts w:ascii="宋体" w:hAnsi="宋体" w:eastAsia="宋体"/>
                <w:sz w:val="16"/>
              </w:rPr>
              <w:t>实际完成情况</w:t>
            </w:r>
          </w:p>
        </w:tc>
      </w:tr>
      <w:tr w14:paraId="630A0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D27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6753E">
            <w:pPr>
              <w:jc w:val="both"/>
            </w:pPr>
            <w:r>
              <w:rPr>
                <w:rFonts w:ascii="宋体" w:hAnsi="宋体" w:eastAsia="宋体"/>
                <w:sz w:val="16"/>
              </w:rPr>
              <w:t>用于单位水费，电费，网络费，燃气费，水道电路宿舍楼道消防设备电梯维修维护费，交通费等工作运行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9F3FC3">
            <w:pPr>
              <w:jc w:val="both"/>
            </w:pPr>
            <w:r>
              <w:rPr>
                <w:rFonts w:ascii="宋体" w:hAnsi="宋体" w:eastAsia="宋体"/>
                <w:sz w:val="16"/>
              </w:rPr>
              <w:t>用于单位水费，电费，网络费，燃气费，水道电路宿舍楼道消防设备电梯维修维护费，交通费等工作运行</w:t>
            </w:r>
          </w:p>
        </w:tc>
      </w:tr>
      <w:tr w14:paraId="1824D4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3D5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7C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75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E7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3F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FE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DE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C8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45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EE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86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3A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9DC7">
            <w:pPr>
              <w:jc w:val="center"/>
            </w:pPr>
            <w:r>
              <w:rPr>
                <w:rFonts w:ascii="宋体" w:hAnsi="宋体" w:eastAsia="宋体"/>
                <w:sz w:val="16"/>
              </w:rPr>
              <w:t>偏差原因分析及改进措施</w:t>
            </w:r>
          </w:p>
        </w:tc>
      </w:tr>
      <w:tr w14:paraId="1901F3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214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515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D6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D16A">
            <w:pPr>
              <w:jc w:val="center"/>
            </w:pPr>
            <w:r>
              <w:rPr>
                <w:rFonts w:ascii="宋体" w:hAnsi="宋体" w:eastAsia="宋体"/>
                <w:sz w:val="16"/>
              </w:rPr>
              <w:t>项目执行人数（人）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6AC4">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32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6B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A3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2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16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D949">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ADE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A68E">
            <w:pPr>
              <w:jc w:val="center"/>
            </w:pPr>
          </w:p>
        </w:tc>
      </w:tr>
      <w:tr w14:paraId="08D32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61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6A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13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350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2C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EE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3F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B4C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A4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80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5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DCA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249CD">
            <w:pPr>
              <w:jc w:val="center"/>
            </w:pPr>
          </w:p>
        </w:tc>
      </w:tr>
      <w:tr w14:paraId="0EF51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7A4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96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DB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427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A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71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30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32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0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FB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D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42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489D5">
            <w:pPr>
              <w:jc w:val="center"/>
            </w:pPr>
          </w:p>
        </w:tc>
      </w:tr>
      <w:tr w14:paraId="293A1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DE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02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7C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8F25">
            <w:pPr>
              <w:jc w:val="center"/>
            </w:pPr>
            <w:r>
              <w:rPr>
                <w:rFonts w:ascii="宋体" w:hAnsi="宋体" w:eastAsia="宋体"/>
                <w:sz w:val="16"/>
              </w:rPr>
              <w:t>使用项目资金（万元）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6F1F">
            <w:pPr>
              <w:jc w:val="center"/>
            </w:pPr>
            <w:r>
              <w:rPr>
                <w:rFonts w:ascii="宋体" w:hAnsi="宋体" w:eastAsia="宋体"/>
                <w:sz w:val="16"/>
              </w:rPr>
              <w:t>=25.08万元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38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3E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21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4E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DD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47CC">
            <w:pPr>
              <w:jc w:val="center"/>
            </w:pPr>
            <w:r>
              <w:rPr>
                <w:rFonts w:ascii="宋体" w:hAnsi="宋体" w:eastAsia="宋体"/>
                <w:sz w:val="16"/>
              </w:rPr>
              <w:t>=23.45万元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7167">
            <w:pPr>
              <w:jc w:val="center"/>
            </w:pPr>
            <w:r>
              <w:rPr>
                <w:rFonts w:ascii="宋体" w:hAnsi="宋体" w:eastAsia="宋体"/>
                <w:sz w:val="16"/>
              </w:rPr>
              <w:t>16.75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212F1">
            <w:pPr>
              <w:jc w:val="center"/>
            </w:pPr>
            <w:r>
              <w:rPr>
                <w:rFonts w:ascii="宋体" w:hAnsi="宋体" w:eastAsia="宋体"/>
                <w:sz w:val="16"/>
              </w:rPr>
              <w:t>厉行节约，减少经费</w:t>
            </w:r>
          </w:p>
        </w:tc>
      </w:tr>
      <w:tr w14:paraId="71465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BB2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7E7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EAB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3BAC">
            <w:pPr>
              <w:jc w:val="center"/>
            </w:pPr>
            <w:r>
              <w:rPr>
                <w:rFonts w:ascii="宋体" w:hAnsi="宋体" w:eastAsia="宋体"/>
                <w:sz w:val="16"/>
              </w:rPr>
              <w:t>有效保障困难儿童生活需求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A4D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69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ED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13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F9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D7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1A2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E8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C10DE">
            <w:pPr>
              <w:jc w:val="center"/>
            </w:pPr>
          </w:p>
        </w:tc>
      </w:tr>
      <w:tr w14:paraId="48385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E5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D0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D4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44E4">
            <w:pPr>
              <w:jc w:val="center"/>
            </w:pPr>
            <w:r>
              <w:rPr>
                <w:rFonts w:ascii="宋体" w:hAnsi="宋体" w:eastAsia="宋体"/>
                <w:sz w:val="16"/>
              </w:rPr>
              <w:t>有效改善困难儿童生活条件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F01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CD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5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6D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7E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48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8B2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2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C208">
            <w:pPr>
              <w:jc w:val="center"/>
            </w:pPr>
          </w:p>
        </w:tc>
      </w:tr>
      <w:tr w14:paraId="1043F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BA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C0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2D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155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53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B8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9A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82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8A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104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B2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6E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AF490">
            <w:pPr>
              <w:jc w:val="center"/>
            </w:pPr>
          </w:p>
        </w:tc>
      </w:tr>
      <w:tr w14:paraId="493B30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A29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5E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720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4E55">
            <w:pPr>
              <w:jc w:val="center"/>
            </w:pPr>
            <w:r>
              <w:rPr>
                <w:rFonts w:ascii="宋体" w:hAnsi="宋体" w:eastAsia="宋体"/>
                <w:sz w:val="16"/>
              </w:rPr>
              <w:t>95.13分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7C7366"/>
        </w:tc>
      </w:tr>
    </w:tbl>
    <w:p w14:paraId="6C9081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6D5AEAC">
        <w:tblPrEx>
          <w:tblCellMar>
            <w:top w:w="0" w:type="dxa"/>
            <w:left w:w="108" w:type="dxa"/>
            <w:bottom w:w="0" w:type="dxa"/>
            <w:right w:w="108" w:type="dxa"/>
          </w:tblCellMar>
        </w:tblPrEx>
        <w:tc>
          <w:tcPr>
            <w:tcW w:w="8848" w:type="dxa"/>
            <w:gridSpan w:val="14"/>
            <w:vAlign w:val="center"/>
          </w:tcPr>
          <w:p w14:paraId="0E6F4C13">
            <w:pPr>
              <w:jc w:val="center"/>
            </w:pPr>
            <w:r>
              <w:rPr>
                <w:rFonts w:ascii="宋体" w:hAnsi="宋体" w:eastAsia="宋体"/>
                <w:sz w:val="24"/>
              </w:rPr>
              <w:t>项目支出绩效自评表</w:t>
            </w:r>
          </w:p>
        </w:tc>
      </w:tr>
      <w:tr w14:paraId="44B6049D">
        <w:tblPrEx>
          <w:tblCellMar>
            <w:top w:w="0" w:type="dxa"/>
            <w:left w:w="108" w:type="dxa"/>
            <w:bottom w:w="0" w:type="dxa"/>
            <w:right w:w="108" w:type="dxa"/>
          </w:tblCellMar>
        </w:tblPrEx>
        <w:tc>
          <w:tcPr>
            <w:tcW w:w="8848" w:type="dxa"/>
            <w:gridSpan w:val="14"/>
            <w:vAlign w:val="center"/>
          </w:tcPr>
          <w:p w14:paraId="59D32B97">
            <w:pPr>
              <w:jc w:val="center"/>
            </w:pPr>
            <w:r>
              <w:rPr>
                <w:rFonts w:ascii="宋体" w:hAnsi="宋体" w:eastAsia="宋体"/>
                <w:sz w:val="24"/>
              </w:rPr>
              <w:t>(2024年度)</w:t>
            </w:r>
          </w:p>
        </w:tc>
      </w:tr>
      <w:tr w14:paraId="72B2AE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DB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80D907">
            <w:pPr>
              <w:jc w:val="center"/>
            </w:pPr>
            <w:r>
              <w:rPr>
                <w:rFonts w:ascii="宋体" w:hAnsi="宋体" w:eastAsia="宋体"/>
                <w:sz w:val="16"/>
              </w:rPr>
              <w:t>2024年自治区财政政府购买儿童照护服务项目</w:t>
            </w:r>
          </w:p>
        </w:tc>
      </w:tr>
      <w:tr w14:paraId="70BBF2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93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D9C22">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91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55AA12">
            <w:pPr>
              <w:jc w:val="center"/>
            </w:pPr>
            <w:r>
              <w:rPr>
                <w:rFonts w:ascii="宋体" w:hAnsi="宋体" w:eastAsia="宋体"/>
                <w:sz w:val="16"/>
              </w:rPr>
              <w:t>阿克陶县儿童福利院</w:t>
            </w:r>
          </w:p>
        </w:tc>
      </w:tr>
      <w:tr w14:paraId="1F8B77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92F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BC9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B9E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66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5E2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699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1AE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21E2">
            <w:pPr>
              <w:jc w:val="center"/>
            </w:pPr>
            <w:r>
              <w:rPr>
                <w:rFonts w:ascii="宋体" w:hAnsi="宋体" w:eastAsia="宋体"/>
                <w:sz w:val="16"/>
              </w:rPr>
              <w:t>得分</w:t>
            </w:r>
          </w:p>
        </w:tc>
      </w:tr>
      <w:tr w14:paraId="50663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F5F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F3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8EFED">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899B3">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FC31">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BB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FE1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AD8D">
            <w:pPr>
              <w:jc w:val="center"/>
            </w:pPr>
            <w:r>
              <w:rPr>
                <w:rFonts w:ascii="宋体" w:hAnsi="宋体" w:eastAsia="宋体"/>
                <w:sz w:val="16"/>
              </w:rPr>
              <w:t>10.00分</w:t>
            </w:r>
          </w:p>
        </w:tc>
      </w:tr>
      <w:tr w14:paraId="0E691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1B3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EC7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76ED">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E1DC2">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AA298">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77E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50E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3EA5">
            <w:pPr>
              <w:jc w:val="center"/>
            </w:pPr>
            <w:r>
              <w:rPr>
                <w:rFonts w:ascii="宋体" w:hAnsi="宋体" w:eastAsia="宋体"/>
                <w:sz w:val="16"/>
              </w:rPr>
              <w:t>—</w:t>
            </w:r>
          </w:p>
        </w:tc>
      </w:tr>
      <w:tr w14:paraId="47729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E19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4C5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11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4B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01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232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F30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701C">
            <w:pPr>
              <w:jc w:val="center"/>
            </w:pPr>
            <w:r>
              <w:rPr>
                <w:rFonts w:ascii="宋体" w:hAnsi="宋体" w:eastAsia="宋体"/>
                <w:sz w:val="16"/>
              </w:rPr>
              <w:t>—</w:t>
            </w:r>
          </w:p>
        </w:tc>
      </w:tr>
      <w:tr w14:paraId="7328A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6B6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E3E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E319C">
            <w:pPr>
              <w:jc w:val="center"/>
            </w:pPr>
            <w:r>
              <w:rPr>
                <w:rFonts w:ascii="宋体" w:hAnsi="宋体" w:eastAsia="宋体"/>
                <w:sz w:val="16"/>
              </w:rPr>
              <w:t>实际完成情况</w:t>
            </w:r>
          </w:p>
        </w:tc>
      </w:tr>
      <w:tr w14:paraId="0B38B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0E4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F73098">
            <w:pPr>
              <w:jc w:val="both"/>
            </w:pPr>
            <w:r>
              <w:rPr>
                <w:rFonts w:ascii="宋体" w:hAnsi="宋体" w:eastAsia="宋体"/>
                <w:sz w:val="16"/>
              </w:rPr>
              <w:t>儿童</w:t>
            </w:r>
            <w:r>
              <w:rPr>
                <w:rFonts w:hint="eastAsia" w:ascii="宋体" w:hAnsi="宋体"/>
                <w:sz w:val="16"/>
                <w:lang w:eastAsia="zh-CN"/>
              </w:rPr>
              <w:t>照护服务项目</w:t>
            </w:r>
            <w:r>
              <w:rPr>
                <w:rFonts w:ascii="宋体" w:hAnsi="宋体" w:eastAsia="宋体"/>
                <w:sz w:val="16"/>
              </w:rPr>
              <w:t>资金经过用于对机构内儿童提供生活照料，康复训练，送医就诊，生病看护，心理疏导，社会融入等服务，使残疾，特困儿童得到正常生活的能力，提高受助儿童对党和国家的感恩意识。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31735C">
            <w:pPr>
              <w:jc w:val="both"/>
            </w:pPr>
            <w:r>
              <w:rPr>
                <w:rFonts w:ascii="宋体" w:hAnsi="宋体" w:eastAsia="宋体"/>
                <w:sz w:val="16"/>
              </w:rPr>
              <w:t>儿童</w:t>
            </w:r>
            <w:r>
              <w:rPr>
                <w:rFonts w:hint="eastAsia" w:ascii="宋体" w:hAnsi="宋体"/>
                <w:sz w:val="16"/>
                <w:lang w:eastAsia="zh-CN"/>
              </w:rPr>
              <w:t>照护服务项目</w:t>
            </w:r>
            <w:r>
              <w:rPr>
                <w:rFonts w:ascii="宋体" w:hAnsi="宋体" w:eastAsia="宋体"/>
                <w:sz w:val="16"/>
              </w:rPr>
              <w:t>资金经过用于对机构内儿童提供生活照料，康复训练，送医就诊，生病看护，心理疏导，社会融入</w:t>
            </w:r>
            <w:bookmarkStart w:id="0" w:name="_GoBack"/>
            <w:bookmarkEnd w:id="0"/>
            <w:r>
              <w:rPr>
                <w:rFonts w:ascii="宋体" w:hAnsi="宋体" w:eastAsia="宋体"/>
                <w:sz w:val="16"/>
              </w:rPr>
              <w:t>等服务，使残疾，特困儿童得到正常生活的能力，提高受助儿童对党和国家的感恩意识。</w:t>
            </w:r>
            <w:r>
              <w:rPr>
                <w:rFonts w:ascii="宋体" w:hAnsi="宋体" w:eastAsia="宋体"/>
                <w:sz w:val="16"/>
              </w:rPr>
              <w:br w:type="textWrapping"/>
            </w:r>
          </w:p>
        </w:tc>
      </w:tr>
      <w:tr w14:paraId="032973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124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E3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87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16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5A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AA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ED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CA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77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47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666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0A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9508A">
            <w:pPr>
              <w:jc w:val="center"/>
            </w:pPr>
            <w:r>
              <w:rPr>
                <w:rFonts w:ascii="宋体" w:hAnsi="宋体" w:eastAsia="宋体"/>
                <w:sz w:val="16"/>
              </w:rPr>
              <w:t>偏差原因分析及改进措施</w:t>
            </w:r>
          </w:p>
        </w:tc>
      </w:tr>
      <w:tr w14:paraId="040B4B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204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80B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72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4C0B">
            <w:pPr>
              <w:jc w:val="center"/>
            </w:pPr>
            <w:r>
              <w:rPr>
                <w:rFonts w:ascii="宋体" w:hAnsi="宋体" w:eastAsia="宋体"/>
                <w:sz w:val="16"/>
              </w:rPr>
              <w:t>享受照护儿童数量（人）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6C38">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3E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47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1F9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22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BD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2A98">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9E8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E366D">
            <w:pPr>
              <w:jc w:val="center"/>
            </w:pPr>
          </w:p>
        </w:tc>
      </w:tr>
      <w:tr w14:paraId="18AF8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B3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DA8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32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FB1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66E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D3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99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E5D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EA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92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3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B69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A8BE">
            <w:pPr>
              <w:jc w:val="center"/>
            </w:pPr>
          </w:p>
        </w:tc>
      </w:tr>
      <w:tr w14:paraId="12E9D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B0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AE4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70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B49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9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D9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92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EE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E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8C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4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DE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E9C5B">
            <w:pPr>
              <w:jc w:val="center"/>
            </w:pPr>
          </w:p>
        </w:tc>
      </w:tr>
      <w:tr w14:paraId="74D61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A3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30E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14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3356">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C80E">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6B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D4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36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8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6E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F5B5">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92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36F7">
            <w:pPr>
              <w:jc w:val="center"/>
            </w:pPr>
          </w:p>
        </w:tc>
      </w:tr>
      <w:tr w14:paraId="6F121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867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B8F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781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56F0">
            <w:pPr>
              <w:jc w:val="center"/>
            </w:pPr>
            <w:r>
              <w:rPr>
                <w:rFonts w:ascii="宋体" w:hAnsi="宋体" w:eastAsia="宋体"/>
                <w:sz w:val="16"/>
              </w:rPr>
              <w:t>有效保障困难儿童康复需求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302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0C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6E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B6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EB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12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E48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51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D769">
            <w:pPr>
              <w:jc w:val="center"/>
            </w:pPr>
          </w:p>
        </w:tc>
      </w:tr>
      <w:tr w14:paraId="510CF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B6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84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C7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4F0F">
            <w:pPr>
              <w:jc w:val="center"/>
            </w:pPr>
            <w:r>
              <w:rPr>
                <w:rFonts w:ascii="宋体" w:hAnsi="宋体" w:eastAsia="宋体"/>
                <w:sz w:val="16"/>
              </w:rPr>
              <w:t>提升孤残儿童照护服务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27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0B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ED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A9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E0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46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264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46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C78D">
            <w:pPr>
              <w:jc w:val="center"/>
            </w:pPr>
          </w:p>
        </w:tc>
      </w:tr>
      <w:tr w14:paraId="6133C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84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07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54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AEFC">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6B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CC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50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BC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3C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5C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4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B1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5A6C9">
            <w:pPr>
              <w:jc w:val="center"/>
            </w:pPr>
          </w:p>
        </w:tc>
      </w:tr>
      <w:tr w14:paraId="4AE149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D05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A8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4E3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42B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3E9741"/>
        </w:tc>
      </w:tr>
    </w:tbl>
    <w:p w14:paraId="3C678FB8">
      <w:r>
        <w:br w:type="page"/>
      </w:r>
    </w:p>
    <w:p w14:paraId="149BB862">
      <w:pPr>
        <w:spacing w:line="640" w:lineRule="exact"/>
        <w:ind w:firstLine="640"/>
        <w:jc w:val="both"/>
        <w:outlineLvl w:val="2"/>
      </w:pPr>
      <w:r>
        <w:rPr>
          <w:rFonts w:ascii="黑体" w:hAnsi="黑体" w:eastAsia="黑体"/>
          <w:sz w:val="32"/>
        </w:rPr>
        <w:t>十二、其他需说明的事项</w:t>
      </w:r>
    </w:p>
    <w:p w14:paraId="7482D1A3">
      <w:pPr>
        <w:spacing w:line="580" w:lineRule="exact"/>
        <w:ind w:firstLine="640"/>
        <w:jc w:val="both"/>
      </w:pPr>
      <w:r>
        <w:rPr>
          <w:rFonts w:ascii="仿宋_GB2312" w:hAnsi="仿宋_GB2312" w:eastAsia="仿宋_GB2312"/>
          <w:b w:val="0"/>
          <w:sz w:val="32"/>
        </w:rPr>
        <w:t>本单位无其他需说明的事项。</w:t>
      </w:r>
    </w:p>
    <w:p w14:paraId="2BD1C241">
      <w:r>
        <w:br w:type="page"/>
      </w:r>
    </w:p>
    <w:p w14:paraId="492FB3A5">
      <w:pPr>
        <w:spacing w:line="240" w:lineRule="auto"/>
        <w:jc w:val="center"/>
        <w:outlineLvl w:val="1"/>
      </w:pPr>
      <w:r>
        <w:rPr>
          <w:rFonts w:ascii="黑体" w:hAnsi="黑体" w:eastAsia="黑体"/>
          <w:sz w:val="32"/>
        </w:rPr>
        <w:t>第三部分 专业名词解释</w:t>
      </w:r>
    </w:p>
    <w:p w14:paraId="530B33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440E3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BC723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6E519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66880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09FCB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A5C33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BE188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8710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072AC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A896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FD394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BE7B4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37587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70694A">
      <w:r>
        <w:br w:type="page"/>
      </w:r>
    </w:p>
    <w:p w14:paraId="2879A49D">
      <w:pPr>
        <w:spacing w:line="240" w:lineRule="auto"/>
        <w:jc w:val="center"/>
        <w:outlineLvl w:val="1"/>
      </w:pPr>
      <w:r>
        <w:rPr>
          <w:rFonts w:ascii="黑体" w:hAnsi="黑体" w:eastAsia="黑体"/>
          <w:sz w:val="32"/>
        </w:rPr>
        <w:t>第四部分 部门决算报表（见附表）</w:t>
      </w:r>
    </w:p>
    <w:p w14:paraId="59712691">
      <w:pPr>
        <w:spacing w:line="240" w:lineRule="auto"/>
        <w:ind w:firstLine="640"/>
        <w:jc w:val="both"/>
      </w:pPr>
      <w:r>
        <w:rPr>
          <w:rFonts w:ascii="仿宋_GB2312" w:hAnsi="仿宋_GB2312" w:eastAsia="仿宋_GB2312"/>
          <w:b w:val="0"/>
          <w:sz w:val="32"/>
        </w:rPr>
        <w:t>一、《收入支出决算总表》</w:t>
      </w:r>
    </w:p>
    <w:p w14:paraId="11F5FDAF">
      <w:pPr>
        <w:spacing w:line="240" w:lineRule="auto"/>
        <w:ind w:firstLine="640"/>
        <w:jc w:val="both"/>
      </w:pPr>
      <w:r>
        <w:rPr>
          <w:rFonts w:ascii="仿宋_GB2312" w:hAnsi="仿宋_GB2312" w:eastAsia="仿宋_GB2312"/>
          <w:b w:val="0"/>
          <w:sz w:val="32"/>
        </w:rPr>
        <w:t>二、《收入决算表》</w:t>
      </w:r>
    </w:p>
    <w:p w14:paraId="578C0DE7">
      <w:pPr>
        <w:spacing w:line="240" w:lineRule="auto"/>
        <w:ind w:firstLine="640"/>
        <w:jc w:val="both"/>
      </w:pPr>
      <w:r>
        <w:rPr>
          <w:rFonts w:ascii="仿宋_GB2312" w:hAnsi="仿宋_GB2312" w:eastAsia="仿宋_GB2312"/>
          <w:b w:val="0"/>
          <w:sz w:val="32"/>
        </w:rPr>
        <w:t>三、《支出决算表》</w:t>
      </w:r>
    </w:p>
    <w:p w14:paraId="1DB08977">
      <w:pPr>
        <w:spacing w:line="240" w:lineRule="auto"/>
        <w:ind w:firstLine="640"/>
        <w:jc w:val="both"/>
      </w:pPr>
      <w:r>
        <w:rPr>
          <w:rFonts w:ascii="仿宋_GB2312" w:hAnsi="仿宋_GB2312" w:eastAsia="仿宋_GB2312"/>
          <w:b w:val="0"/>
          <w:sz w:val="32"/>
        </w:rPr>
        <w:t>四、《财政拨款收入支出决算总表》</w:t>
      </w:r>
    </w:p>
    <w:p w14:paraId="7DA6B3C2">
      <w:pPr>
        <w:spacing w:line="240" w:lineRule="auto"/>
        <w:ind w:firstLine="640"/>
        <w:jc w:val="both"/>
      </w:pPr>
      <w:r>
        <w:rPr>
          <w:rFonts w:ascii="仿宋_GB2312" w:hAnsi="仿宋_GB2312" w:eastAsia="仿宋_GB2312"/>
          <w:b w:val="0"/>
          <w:sz w:val="32"/>
        </w:rPr>
        <w:t>五、《一般公共预算财政拨款支出决算表》</w:t>
      </w:r>
    </w:p>
    <w:p w14:paraId="493D32A8">
      <w:pPr>
        <w:spacing w:line="240" w:lineRule="auto"/>
        <w:ind w:firstLine="640"/>
        <w:jc w:val="both"/>
      </w:pPr>
      <w:r>
        <w:rPr>
          <w:rFonts w:ascii="仿宋_GB2312" w:hAnsi="仿宋_GB2312" w:eastAsia="仿宋_GB2312"/>
          <w:b w:val="0"/>
          <w:sz w:val="32"/>
        </w:rPr>
        <w:t>六、《一般公共预算财政拨款基本支出决算表》</w:t>
      </w:r>
    </w:p>
    <w:p w14:paraId="4D25BA54">
      <w:pPr>
        <w:spacing w:line="240" w:lineRule="auto"/>
        <w:ind w:firstLine="640"/>
        <w:jc w:val="both"/>
      </w:pPr>
      <w:r>
        <w:rPr>
          <w:rFonts w:ascii="仿宋_GB2312" w:hAnsi="仿宋_GB2312" w:eastAsia="仿宋_GB2312"/>
          <w:b w:val="0"/>
          <w:sz w:val="32"/>
        </w:rPr>
        <w:t>七、《政府性基金预算财政拨款收入支出决算表》</w:t>
      </w:r>
    </w:p>
    <w:p w14:paraId="42E3A933">
      <w:pPr>
        <w:spacing w:line="240" w:lineRule="auto"/>
        <w:ind w:firstLine="640"/>
        <w:jc w:val="both"/>
      </w:pPr>
      <w:r>
        <w:rPr>
          <w:rFonts w:ascii="仿宋_GB2312" w:hAnsi="仿宋_GB2312" w:eastAsia="仿宋_GB2312"/>
          <w:b w:val="0"/>
          <w:sz w:val="32"/>
        </w:rPr>
        <w:t>八、《国有资本经营预算财政拨款收入支出决算表》</w:t>
      </w:r>
    </w:p>
    <w:p w14:paraId="2E27C524">
      <w:pPr>
        <w:spacing w:line="240" w:lineRule="auto"/>
        <w:ind w:firstLine="640"/>
        <w:jc w:val="both"/>
      </w:pPr>
      <w:r>
        <w:rPr>
          <w:rFonts w:ascii="仿宋_GB2312" w:hAnsi="仿宋_GB2312" w:eastAsia="仿宋_GB2312"/>
          <w:b w:val="0"/>
          <w:sz w:val="32"/>
        </w:rPr>
        <w:t>九、《财政拨款“三公”经费支出决算表》</w:t>
      </w:r>
    </w:p>
    <w:p w14:paraId="6C93A412">
      <w:pPr>
        <w:spacing w:line="240" w:lineRule="auto"/>
        <w:ind w:firstLine="640"/>
        <w:jc w:val="both"/>
      </w:pPr>
    </w:p>
    <w:p w14:paraId="532EDB72">
      <w:pPr>
        <w:spacing w:line="240" w:lineRule="auto"/>
        <w:ind w:firstLine="640"/>
        <w:jc w:val="both"/>
      </w:pPr>
    </w:p>
    <w:p w14:paraId="1D588B64">
      <w:pPr>
        <w:spacing w:line="240" w:lineRule="auto"/>
        <w:ind w:firstLine="640"/>
        <w:jc w:val="both"/>
      </w:pPr>
    </w:p>
    <w:p w14:paraId="04BEA1E9">
      <w:pPr>
        <w:spacing w:line="240" w:lineRule="auto"/>
        <w:ind w:firstLine="640"/>
        <w:jc w:val="both"/>
      </w:pPr>
    </w:p>
    <w:p w14:paraId="465E71F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2C662F-EB00-4A05-ADAC-334A0298C9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F26D037-2E05-4F8D-AC6B-6A4E3CA5D73D}"/>
  </w:font>
  <w:font w:name="仿宋_GB2312">
    <w:panose1 w:val="02010609030101010101"/>
    <w:charset w:val="86"/>
    <w:family w:val="modern"/>
    <w:pitch w:val="default"/>
    <w:sig w:usb0="00000001" w:usb1="080E0000" w:usb2="00000000" w:usb3="00000000" w:csb0="00040000" w:csb1="00000000"/>
    <w:embedRegular r:id="rId3" w:fontKey="{E45770DD-649A-4F2F-A7F4-12A98440F2FC}"/>
  </w:font>
  <w:font w:name="楷体_GB2312">
    <w:panose1 w:val="02010609030101010101"/>
    <w:charset w:val="86"/>
    <w:family w:val="auto"/>
    <w:pitch w:val="default"/>
    <w:sig w:usb0="00000001" w:usb1="080E0000" w:usb2="00000000" w:usb3="00000000" w:csb0="00040000" w:csb1="00000000"/>
    <w:embedRegular r:id="rId4" w:fontKey="{16B459F1-020F-4630-A4AA-E534931E09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B72EB4"/>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AE5D79"/>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5474</Words>
  <Characters>6330</Characters>
  <Lines>0</Lines>
  <Paragraphs>0</Paragraphs>
  <TotalTime>14</TotalTime>
  <ScaleCrop>false</ScaleCrop>
  <LinksUpToDate>false</LinksUpToDate>
  <CharactersWithSpaces>6338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2025-09-15T07:54:19Z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