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阿克陶县教育项目执行办公室2024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C3535A">
      <w:r>
        <w:br w:type="page"/>
      </w:r>
    </w:p>
    <w:p w14:paraId="0A2B3F8B">
      <w:pPr>
        <w:spacing w:line="640" w:lineRule="exact"/>
        <w:jc w:val="center"/>
        <w:outlineLvl w:val="1"/>
      </w:pPr>
      <w:r>
        <w:rPr>
          <w:rFonts w:ascii="黑体" w:hAnsi="黑体" w:eastAsia="黑体"/>
          <w:sz w:val="32"/>
        </w:rPr>
        <w:t>第一部分 单位概况</w:t>
      </w:r>
    </w:p>
    <w:p w14:paraId="62744E12">
      <w:pPr>
        <w:spacing w:line="640" w:lineRule="exact"/>
        <w:ind w:firstLine="640"/>
        <w:jc w:val="both"/>
        <w:outlineLvl w:val="2"/>
      </w:pPr>
      <w:r>
        <w:rPr>
          <w:rFonts w:ascii="黑体" w:hAnsi="黑体" w:eastAsia="黑体"/>
          <w:sz w:val="32"/>
        </w:rPr>
        <w:t>一、主要职能</w:t>
      </w:r>
    </w:p>
    <w:p w14:paraId="1255C7D8">
      <w:pPr>
        <w:spacing w:line="580" w:lineRule="exact"/>
        <w:ind w:firstLine="640"/>
        <w:jc w:val="both"/>
      </w:pPr>
      <w:r>
        <w:rPr>
          <w:rFonts w:ascii="仿宋_GB2312" w:hAnsi="仿宋_GB2312" w:eastAsia="仿宋_GB2312"/>
          <w:sz w:val="32"/>
        </w:rPr>
        <w:t>（1）负责全县中小学校园校舍建设规划核查登记校舍危房情况，并拟定年度修建计划。</w:t>
      </w:r>
    </w:p>
    <w:p w14:paraId="05AE16E2">
      <w:pPr>
        <w:spacing w:line="580" w:lineRule="exact"/>
        <w:ind w:firstLine="640"/>
        <w:jc w:val="both"/>
      </w:pPr>
      <w:r>
        <w:rPr>
          <w:rFonts w:ascii="仿宋_GB2312" w:hAnsi="仿宋_GB2312" w:eastAsia="仿宋_GB2312"/>
          <w:sz w:val="32"/>
        </w:rPr>
        <w:t>（2）认真做好各中小学基建项目的申报组织人员进行项目前期论证，</w:t>
      </w:r>
      <w:r>
        <w:rPr>
          <w:rFonts w:hint="eastAsia" w:ascii="仿宋_GB2312" w:hAnsi="仿宋_GB2312" w:eastAsia="仿宋_GB2312"/>
          <w:sz w:val="32"/>
          <w:lang w:eastAsia="zh-CN"/>
        </w:rPr>
        <w:t>地质</w:t>
      </w:r>
      <w:r>
        <w:rPr>
          <w:rFonts w:ascii="仿宋_GB2312" w:hAnsi="仿宋_GB2312" w:eastAsia="仿宋_GB2312"/>
          <w:sz w:val="32"/>
        </w:rPr>
        <w:t>勘查，施工图设计，建设用地征用等前期准备工作。</w:t>
      </w:r>
    </w:p>
    <w:p w14:paraId="16D2004F">
      <w:pPr>
        <w:spacing w:line="580" w:lineRule="exact"/>
        <w:ind w:firstLine="640"/>
        <w:jc w:val="both"/>
      </w:pPr>
      <w:r>
        <w:rPr>
          <w:rFonts w:ascii="仿宋_GB2312" w:hAnsi="仿宋_GB2312" w:eastAsia="仿宋_GB2312"/>
          <w:sz w:val="32"/>
        </w:rPr>
        <w:t>（3）严格各建设项目工程招标工作，及时办理相关手续，强化工程管理，加大监督检查力度，认真组织好工程三阶段验收和竣工结算，审计及工程档案管理工作。</w:t>
      </w:r>
    </w:p>
    <w:p w14:paraId="4FDB9500">
      <w:pPr>
        <w:spacing w:line="580" w:lineRule="exact"/>
        <w:ind w:firstLine="640"/>
        <w:jc w:val="both"/>
      </w:pPr>
      <w:r>
        <w:rPr>
          <w:rFonts w:ascii="仿宋_GB2312" w:hAnsi="仿宋_GB2312" w:eastAsia="仿宋_GB2312"/>
          <w:sz w:val="32"/>
        </w:rPr>
        <w:t>（4）按照基本建设程序全过程管理中小学校各类工程的质量，进度和施工安全，并监督及时整改存在的问题。</w:t>
      </w:r>
    </w:p>
    <w:p w14:paraId="0282CAEC">
      <w:pPr>
        <w:spacing w:line="580" w:lineRule="exact"/>
        <w:ind w:firstLine="640"/>
        <w:jc w:val="both"/>
      </w:pPr>
      <w:r>
        <w:rPr>
          <w:rFonts w:ascii="仿宋_GB2312" w:hAnsi="仿宋_GB2312" w:eastAsia="仿宋_GB2312"/>
          <w:sz w:val="32"/>
        </w:rPr>
        <w:t>（5）负责监管处理各类项目文稿，及时上报工程网格报表，形象进度及相关信息。</w:t>
      </w:r>
    </w:p>
    <w:p w14:paraId="5EE1A249">
      <w:pPr>
        <w:spacing w:line="580" w:lineRule="exact"/>
        <w:ind w:firstLine="640"/>
        <w:jc w:val="both"/>
      </w:pPr>
      <w:r>
        <w:rPr>
          <w:rFonts w:ascii="仿宋_GB2312" w:hAnsi="仿宋_GB2312" w:eastAsia="仿宋_GB2312"/>
          <w:sz w:val="32"/>
        </w:rPr>
        <w:t>（6）负责监管各中小学校舍的零星维修，对各项目学校校长和施工人员进行土建知识的培训和技术指导。</w:t>
      </w:r>
    </w:p>
    <w:p w14:paraId="24EE98F2">
      <w:pPr>
        <w:spacing w:line="580" w:lineRule="exact"/>
        <w:ind w:firstLine="640"/>
        <w:jc w:val="both"/>
      </w:pPr>
      <w:r>
        <w:rPr>
          <w:rFonts w:ascii="仿宋_GB2312" w:hAnsi="仿宋_GB2312" w:eastAsia="仿宋_GB2312"/>
          <w:sz w:val="32"/>
        </w:rPr>
        <w:t>（7）负责编报教育系统基建年报。</w:t>
      </w:r>
    </w:p>
    <w:p w14:paraId="23020D7D">
      <w:pPr>
        <w:spacing w:line="580" w:lineRule="exact"/>
        <w:ind w:firstLine="640"/>
        <w:jc w:val="both"/>
      </w:pPr>
      <w:r>
        <w:rPr>
          <w:rFonts w:ascii="仿宋_GB2312" w:hAnsi="仿宋_GB2312" w:eastAsia="仿宋_GB2312"/>
          <w:sz w:val="32"/>
        </w:rPr>
        <w:t>（8）监督检查项目学校校舍管理使用和维护等工作。</w:t>
      </w:r>
    </w:p>
    <w:p w14:paraId="1005E8FA">
      <w:pPr>
        <w:spacing w:line="580" w:lineRule="exact"/>
        <w:ind w:firstLine="640"/>
        <w:jc w:val="both"/>
      </w:pPr>
      <w:r>
        <w:rPr>
          <w:rFonts w:ascii="仿宋_GB2312" w:hAnsi="仿宋_GB2312" w:eastAsia="仿宋_GB2312"/>
          <w:sz w:val="32"/>
        </w:rPr>
        <w:t>（9）认真完成局内安排的各项工作，积极协调配合各股室完成其他工作。</w:t>
      </w:r>
    </w:p>
    <w:p w14:paraId="1A8D5D4E">
      <w:pPr>
        <w:spacing w:line="580" w:lineRule="exact"/>
        <w:ind w:firstLine="640"/>
        <w:jc w:val="both"/>
      </w:pPr>
      <w:r>
        <w:rPr>
          <w:rFonts w:ascii="仿宋_GB2312" w:hAnsi="仿宋_GB2312" w:eastAsia="仿宋_GB2312"/>
          <w:sz w:val="32"/>
        </w:rPr>
        <w:t>（10）办理工程资金拨付的相关手续。</w:t>
      </w:r>
    </w:p>
    <w:p w14:paraId="267789E1">
      <w:pPr>
        <w:spacing w:line="640" w:lineRule="exact"/>
        <w:ind w:firstLine="640"/>
        <w:jc w:val="both"/>
        <w:outlineLvl w:val="2"/>
      </w:pPr>
      <w:r>
        <w:rPr>
          <w:rFonts w:ascii="黑体" w:hAnsi="黑体" w:eastAsia="黑体"/>
          <w:sz w:val="32"/>
        </w:rPr>
        <w:t>二、机构设置及人员情况</w:t>
      </w:r>
    </w:p>
    <w:p w14:paraId="7DFD74F7">
      <w:pPr>
        <w:spacing w:line="580" w:lineRule="exact"/>
        <w:ind w:firstLine="640"/>
        <w:jc w:val="both"/>
      </w:pPr>
      <w:r>
        <w:rPr>
          <w:rFonts w:ascii="仿宋_GB2312" w:hAnsi="仿宋_GB2312" w:eastAsia="仿宋_GB2312"/>
          <w:sz w:val="32"/>
        </w:rPr>
        <w:t>阿克陶县教育项目执行办公室2024年度，实有人数9人，其中：在职人员7人，增加0人；离休人员0人，增加0人；退休人员2人,增加0人。</w:t>
      </w:r>
    </w:p>
    <w:p w14:paraId="47DF34F8">
      <w:pPr>
        <w:spacing w:line="580" w:lineRule="exact"/>
        <w:ind w:firstLine="640"/>
        <w:jc w:val="both"/>
      </w:pPr>
      <w:r>
        <w:rPr>
          <w:rFonts w:ascii="仿宋_GB2312" w:hAnsi="仿宋_GB2312" w:eastAsia="仿宋_GB2312"/>
          <w:sz w:val="32"/>
        </w:rPr>
        <w:t>阿克陶县教育项目执行办公室无下属预算单位，下设3个科室，分别是：项目办公室、档案室、财务室。</w:t>
      </w:r>
    </w:p>
    <w:p w14:paraId="3A01C611">
      <w:r>
        <w:br w:type="page"/>
      </w:r>
    </w:p>
    <w:p w14:paraId="00733131">
      <w:pPr>
        <w:spacing w:line="240" w:lineRule="auto"/>
        <w:jc w:val="center"/>
        <w:outlineLvl w:val="1"/>
      </w:pPr>
      <w:r>
        <w:rPr>
          <w:rFonts w:ascii="黑体" w:hAnsi="黑体" w:eastAsia="黑体"/>
          <w:sz w:val="32"/>
        </w:rPr>
        <w:t>第二部分 部门决算情况说明</w:t>
      </w:r>
    </w:p>
    <w:p w14:paraId="3E357CBA">
      <w:pPr>
        <w:spacing w:line="640" w:lineRule="exact"/>
        <w:ind w:firstLine="640"/>
        <w:jc w:val="both"/>
        <w:outlineLvl w:val="2"/>
      </w:pPr>
      <w:r>
        <w:rPr>
          <w:rFonts w:ascii="黑体" w:hAnsi="黑体" w:eastAsia="黑体"/>
          <w:sz w:val="32"/>
        </w:rPr>
        <w:t>一、收入支出决算总体情况说明</w:t>
      </w:r>
    </w:p>
    <w:p w14:paraId="65169191">
      <w:pPr>
        <w:spacing w:line="580" w:lineRule="exact"/>
        <w:ind w:firstLine="640"/>
        <w:jc w:val="both"/>
      </w:pPr>
      <w:r>
        <w:rPr>
          <w:rFonts w:ascii="仿宋_GB2312" w:hAnsi="仿宋_GB2312" w:eastAsia="仿宋_GB2312"/>
          <w:b/>
          <w:sz w:val="32"/>
        </w:rPr>
        <w:t>2024年度收入总计12,019.22万元，</w:t>
      </w:r>
      <w:r>
        <w:rPr>
          <w:rFonts w:ascii="仿宋_GB2312" w:hAnsi="仿宋_GB2312" w:eastAsia="仿宋_GB2312"/>
          <w:b w:val="0"/>
          <w:sz w:val="32"/>
        </w:rPr>
        <w:t>其中：本年收入合计11,052.02万元，使用非财政拨款结余（含专用结余）0.00万元，年初结转和结余967.20万元。</w:t>
      </w:r>
    </w:p>
    <w:p w14:paraId="3D3B2AE9">
      <w:pPr>
        <w:spacing w:line="580" w:lineRule="exact"/>
        <w:ind w:firstLine="640"/>
        <w:jc w:val="both"/>
      </w:pPr>
      <w:r>
        <w:rPr>
          <w:rFonts w:ascii="仿宋_GB2312" w:hAnsi="仿宋_GB2312" w:eastAsia="仿宋_GB2312"/>
          <w:b/>
          <w:sz w:val="32"/>
        </w:rPr>
        <w:t>2024年度支出总计12,019.22万元，</w:t>
      </w:r>
      <w:r>
        <w:rPr>
          <w:rFonts w:ascii="仿宋_GB2312" w:hAnsi="仿宋_GB2312" w:eastAsia="仿宋_GB2312"/>
          <w:b w:val="0"/>
          <w:sz w:val="32"/>
        </w:rPr>
        <w:t>其中：本年支出合计11,009.04万元，结余分配0.00万元，年末结转和结余1,010.18万元。</w:t>
      </w:r>
    </w:p>
    <w:p w14:paraId="6F23F09F">
      <w:pPr>
        <w:spacing w:line="580" w:lineRule="exact"/>
        <w:ind w:firstLine="640"/>
        <w:jc w:val="both"/>
      </w:pPr>
      <w:r>
        <w:rPr>
          <w:rFonts w:ascii="仿宋_GB2312" w:hAnsi="仿宋_GB2312" w:eastAsia="仿宋_GB2312"/>
          <w:b w:val="0"/>
          <w:sz w:val="32"/>
        </w:rPr>
        <w:t>收入支出总体与上年相比，减少10,534.23万元，下降46.71%，主要原因是：本年克州阿克陶县优质职业教育基本建设工程项目资金较上年减少；本年度减少阿克陶县教育项目执行办公室清欠项目、2019年南疆四地州深度贫困地区教育脱贫攻坚项目、阿克陶县昆仑佳苑搬迁点新建小学建设项目、克州阿克陶县团结小学建设项目。本年度减少2021年教育强国推进工程中央基建投资预算资金、2019</w:t>
      </w:r>
      <w:r>
        <w:rPr>
          <w:rFonts w:hint="eastAsia" w:ascii="仿宋_GB2312" w:hAnsi="仿宋_GB2312" w:eastAsia="仿宋_GB2312"/>
          <w:b w:val="0"/>
          <w:sz w:val="32"/>
          <w:lang w:eastAsia="zh-CN"/>
        </w:rPr>
        <w:t>年义</w:t>
      </w:r>
      <w:r>
        <w:rPr>
          <w:rFonts w:ascii="仿宋_GB2312" w:hAnsi="仿宋_GB2312" w:eastAsia="仿宋_GB2312"/>
          <w:b w:val="0"/>
          <w:sz w:val="32"/>
        </w:rPr>
        <w:t>务教育薄弱环节改善与能力提升项目。</w:t>
      </w:r>
    </w:p>
    <w:p w14:paraId="375BEEEC">
      <w:pPr>
        <w:spacing w:line="640" w:lineRule="exact"/>
        <w:ind w:firstLine="640"/>
        <w:jc w:val="both"/>
        <w:outlineLvl w:val="2"/>
      </w:pPr>
      <w:r>
        <w:rPr>
          <w:rFonts w:ascii="黑体" w:hAnsi="黑体" w:eastAsia="黑体"/>
          <w:sz w:val="32"/>
        </w:rPr>
        <w:t>二、收入决算情况说明</w:t>
      </w:r>
    </w:p>
    <w:p w14:paraId="365E1A73">
      <w:pPr>
        <w:spacing w:line="580" w:lineRule="exact"/>
        <w:ind w:firstLine="640"/>
        <w:jc w:val="both"/>
      </w:pPr>
      <w:r>
        <w:rPr>
          <w:rFonts w:ascii="仿宋_GB2312" w:hAnsi="仿宋_GB2312" w:eastAsia="仿宋_GB2312"/>
          <w:b/>
          <w:sz w:val="32"/>
        </w:rPr>
        <w:t>本年收入11,052.02万元，</w:t>
      </w:r>
      <w:r>
        <w:rPr>
          <w:rFonts w:ascii="仿宋_GB2312" w:hAnsi="仿宋_GB2312" w:eastAsia="仿宋_GB2312"/>
          <w:b w:val="0"/>
          <w:sz w:val="32"/>
        </w:rPr>
        <w:t>其中：财政拨款收入7,398.01万元，占66.94%；上级补助收入0.00万元，占0.00%；事业收入0.00万元，占0.00%；经营收入0.00万元，占0.00%；附属单位上缴收入0.00万元，占0.00%；其他收入3,654.01万元，占33.06%。</w:t>
      </w:r>
    </w:p>
    <w:p w14:paraId="11698794">
      <w:pPr>
        <w:spacing w:line="640" w:lineRule="exact"/>
        <w:ind w:firstLine="640"/>
        <w:jc w:val="both"/>
        <w:outlineLvl w:val="2"/>
      </w:pPr>
      <w:r>
        <w:rPr>
          <w:rFonts w:ascii="黑体" w:hAnsi="黑体" w:eastAsia="黑体"/>
          <w:sz w:val="32"/>
        </w:rPr>
        <w:t>三、支出决算情况说明</w:t>
      </w:r>
    </w:p>
    <w:p w14:paraId="7924F2F1">
      <w:pPr>
        <w:spacing w:line="580" w:lineRule="exact"/>
        <w:ind w:firstLine="640"/>
        <w:jc w:val="both"/>
      </w:pPr>
      <w:r>
        <w:rPr>
          <w:rFonts w:ascii="仿宋_GB2312" w:hAnsi="仿宋_GB2312" w:eastAsia="仿宋_GB2312"/>
          <w:b/>
          <w:sz w:val="32"/>
        </w:rPr>
        <w:t>本年支出11,009.04万元，</w:t>
      </w:r>
      <w:r>
        <w:rPr>
          <w:rFonts w:ascii="仿宋_GB2312" w:hAnsi="仿宋_GB2312" w:eastAsia="仿宋_GB2312"/>
          <w:b w:val="0"/>
          <w:sz w:val="32"/>
        </w:rPr>
        <w:t>其中：基本支出187.65万元，占1.70%；项目支出10,821.39万元，占98.30%；上缴上级支出0.00万元，占0.00%；经营支出0.00万元，占0.00%；对附属单位补助支出0.00万元，占0.00%。</w:t>
      </w:r>
    </w:p>
    <w:p w14:paraId="6B9B800B">
      <w:pPr>
        <w:spacing w:line="640" w:lineRule="exact"/>
        <w:ind w:firstLine="640"/>
        <w:jc w:val="both"/>
        <w:outlineLvl w:val="2"/>
      </w:pPr>
      <w:r>
        <w:rPr>
          <w:rFonts w:ascii="黑体" w:hAnsi="黑体" w:eastAsia="黑体"/>
          <w:sz w:val="32"/>
        </w:rPr>
        <w:t>四、财政拨款收入支出决算总体情况说明</w:t>
      </w:r>
    </w:p>
    <w:p w14:paraId="6CD5A56D">
      <w:pPr>
        <w:spacing w:line="580" w:lineRule="exact"/>
        <w:ind w:firstLine="640"/>
        <w:jc w:val="both"/>
      </w:pPr>
      <w:r>
        <w:rPr>
          <w:rFonts w:ascii="仿宋_GB2312" w:hAnsi="仿宋_GB2312" w:eastAsia="仿宋_GB2312"/>
          <w:b/>
          <w:sz w:val="32"/>
        </w:rPr>
        <w:t>2024年度财政拨款收入总计7,398.01万元，</w:t>
      </w:r>
      <w:r>
        <w:rPr>
          <w:rFonts w:ascii="仿宋_GB2312" w:hAnsi="仿宋_GB2312" w:eastAsia="仿宋_GB2312"/>
          <w:b w:val="0"/>
          <w:sz w:val="32"/>
        </w:rPr>
        <w:t>其中：年初财政拨款结转和结余0.00万元，本年财政拨款收入7,398.01万元。</w:t>
      </w:r>
      <w:r>
        <w:rPr>
          <w:rFonts w:ascii="仿宋_GB2312" w:hAnsi="仿宋_GB2312" w:eastAsia="仿宋_GB2312"/>
          <w:b/>
          <w:sz w:val="32"/>
        </w:rPr>
        <w:t>财政拨款支出总计7,398.01万元，</w:t>
      </w:r>
      <w:r>
        <w:rPr>
          <w:rFonts w:ascii="仿宋_GB2312" w:hAnsi="仿宋_GB2312" w:eastAsia="仿宋_GB2312"/>
          <w:b w:val="0"/>
          <w:sz w:val="32"/>
        </w:rPr>
        <w:t>其中：年末财政拨款结转和结余0.00万元，本年财政拨款支出7,398.01万元。</w:t>
      </w:r>
    </w:p>
    <w:p w14:paraId="3A78EE5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11,473.91万元，下降60.80%，主要原因是：本年克州阿克陶县优质职业教育基本建设工程项目资金较上年减少；本年度减少阿克陶县教育项目执行办公室清欠项目、2019年南疆四地州深度贫困地区教育脱贫攻坚项目、阿克陶县昆仑佳苑搬迁点新建小学建设项目、克州阿克陶县团结小学建设项目。本年度减少2021年教育强国推进工程中央基建投资预算资金、2019</w:t>
      </w:r>
      <w:r>
        <w:rPr>
          <w:rFonts w:hint="eastAsia" w:ascii="仿宋_GB2312" w:hAnsi="仿宋_GB2312" w:eastAsia="仿宋_GB2312"/>
          <w:b w:val="0"/>
          <w:sz w:val="32"/>
          <w:lang w:eastAsia="zh-CN"/>
        </w:rPr>
        <w:t>年义</w:t>
      </w:r>
      <w:r>
        <w:rPr>
          <w:rFonts w:ascii="仿宋_GB2312" w:hAnsi="仿宋_GB2312" w:eastAsia="仿宋_GB2312"/>
          <w:b w:val="0"/>
          <w:sz w:val="32"/>
        </w:rPr>
        <w:t>务教育薄弱环节改善与能力提升项目。</w:t>
      </w:r>
      <w:r>
        <w:rPr>
          <w:rFonts w:ascii="仿宋_GB2312" w:hAnsi="仿宋_GB2312" w:eastAsia="仿宋_GB2312"/>
          <w:b/>
          <w:sz w:val="32"/>
        </w:rPr>
        <w:t>与年初预算相比，</w:t>
      </w:r>
      <w:r>
        <w:rPr>
          <w:rFonts w:ascii="仿宋_GB2312" w:hAnsi="仿宋_GB2312" w:eastAsia="仿宋_GB2312"/>
          <w:b w:val="0"/>
          <w:sz w:val="32"/>
        </w:rPr>
        <w:t>年初预算数6,138.43万元，决算数7,398.01万元，预决算差异率20.52%，主要原因是：年中追加人员工资、社保、公积金基数调增部分资金；追加2020年新疆西藏等地区教育特殊补助资金项目、2021年义务教育薄弱环节改善与能力提升项目、2022年新疆西藏等地区特殊教育补助资金（巩固教育脱贫攻坚成果同乡村振兴有效衔接资金）项目、2021年义务教育薄弱环节改善与能力提升项目（第二批）等，导致预决算存在差异。</w:t>
      </w:r>
    </w:p>
    <w:p w14:paraId="6C26886F">
      <w:pPr>
        <w:spacing w:line="640" w:lineRule="exact"/>
        <w:ind w:firstLine="640"/>
        <w:jc w:val="both"/>
        <w:outlineLvl w:val="2"/>
      </w:pPr>
      <w:r>
        <w:rPr>
          <w:rFonts w:ascii="黑体" w:hAnsi="黑体" w:eastAsia="黑体"/>
          <w:sz w:val="32"/>
        </w:rPr>
        <w:t>五、一般公共预算财政拨款支出决算情况说明</w:t>
      </w:r>
    </w:p>
    <w:p w14:paraId="78E8CD82">
      <w:pPr>
        <w:spacing w:line="640" w:lineRule="exact"/>
        <w:ind w:firstLine="640"/>
        <w:jc w:val="both"/>
        <w:outlineLvl w:val="3"/>
      </w:pPr>
      <w:r>
        <w:rPr>
          <w:rFonts w:ascii="楷体_GB2312" w:hAnsi="楷体_GB2312" w:eastAsia="楷体_GB2312"/>
          <w:b/>
          <w:sz w:val="32"/>
        </w:rPr>
        <w:t>（一）一般公共预算财政拨款支出决算总体情况</w:t>
      </w:r>
    </w:p>
    <w:p w14:paraId="17328036">
      <w:pPr>
        <w:spacing w:line="580" w:lineRule="exact"/>
        <w:ind w:firstLine="640"/>
        <w:jc w:val="both"/>
      </w:pPr>
      <w:r>
        <w:rPr>
          <w:rFonts w:ascii="仿宋_GB2312" w:hAnsi="仿宋_GB2312" w:eastAsia="仿宋_GB2312"/>
          <w:b/>
          <w:sz w:val="32"/>
        </w:rPr>
        <w:t>2024年度一般公共预算财政拨款支出7,398.01万元，</w:t>
      </w:r>
      <w:r>
        <w:rPr>
          <w:rFonts w:ascii="仿宋_GB2312" w:hAnsi="仿宋_GB2312" w:eastAsia="仿宋_GB2312"/>
          <w:b w:val="0"/>
          <w:sz w:val="32"/>
        </w:rPr>
        <w:t>占本年支出合计的67.20%。</w:t>
      </w:r>
      <w:r>
        <w:rPr>
          <w:rFonts w:ascii="仿宋_GB2312" w:hAnsi="仿宋_GB2312" w:eastAsia="仿宋_GB2312"/>
          <w:b/>
          <w:sz w:val="32"/>
        </w:rPr>
        <w:t>与上年相比，</w:t>
      </w:r>
      <w:r>
        <w:rPr>
          <w:rFonts w:ascii="仿宋_GB2312" w:hAnsi="仿宋_GB2312" w:eastAsia="仿宋_GB2312"/>
          <w:b w:val="0"/>
          <w:sz w:val="32"/>
        </w:rPr>
        <w:t>减少11,473.91万元，下降60.80%，主要原因是：本年克州阿克陶县优质职业教育基本建设工程项目资金较上年减少；本年度减少阿克陶县教育项目执行办公室清欠项目、2019年南疆四地州深度贫困地区教育脱贫攻坚项目、阿克陶县昆仑佳苑搬迁点新建小学建设项目、克州阿克陶县团结小学建设项目。本年度减少2021年教育强国推进工程中央基建投资预算资金、2019</w:t>
      </w:r>
      <w:r>
        <w:rPr>
          <w:rFonts w:hint="eastAsia" w:ascii="仿宋_GB2312" w:hAnsi="仿宋_GB2312" w:eastAsia="仿宋_GB2312"/>
          <w:b w:val="0"/>
          <w:sz w:val="32"/>
          <w:lang w:eastAsia="zh-CN"/>
        </w:rPr>
        <w:t>年义</w:t>
      </w:r>
      <w:r>
        <w:rPr>
          <w:rFonts w:ascii="仿宋_GB2312" w:hAnsi="仿宋_GB2312" w:eastAsia="仿宋_GB2312"/>
          <w:b w:val="0"/>
          <w:sz w:val="32"/>
        </w:rPr>
        <w:t>务教育薄弱环节改善与能力提升项目。</w:t>
      </w:r>
      <w:r>
        <w:rPr>
          <w:rFonts w:ascii="仿宋_GB2312" w:hAnsi="仿宋_GB2312" w:eastAsia="仿宋_GB2312"/>
          <w:b/>
          <w:sz w:val="32"/>
        </w:rPr>
        <w:t>与年初预算相比,</w:t>
      </w:r>
      <w:r>
        <w:rPr>
          <w:rFonts w:ascii="仿宋_GB2312" w:hAnsi="仿宋_GB2312" w:eastAsia="仿宋_GB2312"/>
          <w:b w:val="0"/>
          <w:sz w:val="32"/>
        </w:rPr>
        <w:t>年初预算数6,138.43万元，决算数7,398.01万元，预决算差异率20.52%，主要原因是：年中追加人员工资、社保、公积金基数调增部分资金；追加2020年新疆西藏等地区教育特殊补助资金项目、2021年义务教育薄弱环节改善与能力提升项目、2022年新疆西藏等地区特殊教育补助资金（巩固教育脱贫攻坚成果同乡村振兴有效衔接资金）项目、2021年义务教育薄弱环节改善与能力提升项目第二批项目等，导致预决算存在差异。</w:t>
      </w:r>
    </w:p>
    <w:p w14:paraId="7049E5B6">
      <w:pPr>
        <w:spacing w:line="640" w:lineRule="exact"/>
        <w:ind w:firstLine="640"/>
        <w:jc w:val="both"/>
        <w:outlineLvl w:val="3"/>
      </w:pPr>
      <w:r>
        <w:rPr>
          <w:rFonts w:ascii="楷体_GB2312" w:hAnsi="楷体_GB2312" w:eastAsia="楷体_GB2312"/>
          <w:b/>
          <w:sz w:val="32"/>
        </w:rPr>
        <w:t>（二）一般公共预算财政拨款支出决算结构情况</w:t>
      </w:r>
    </w:p>
    <w:p w14:paraId="28A55532">
      <w:pPr>
        <w:spacing w:line="580" w:lineRule="exact"/>
        <w:ind w:firstLine="640"/>
        <w:jc w:val="both"/>
      </w:pPr>
      <w:r>
        <w:rPr>
          <w:rFonts w:ascii="仿宋_GB2312" w:hAnsi="仿宋_GB2312" w:eastAsia="仿宋_GB2312"/>
          <w:b w:val="0"/>
          <w:sz w:val="32"/>
        </w:rPr>
        <w:t>1.教育支出(类)7,398.01万元,占100.00%。</w:t>
      </w:r>
    </w:p>
    <w:p w14:paraId="4C6920DA">
      <w:pPr>
        <w:spacing w:line="640" w:lineRule="exact"/>
        <w:ind w:firstLine="640"/>
        <w:jc w:val="both"/>
        <w:outlineLvl w:val="3"/>
      </w:pPr>
      <w:r>
        <w:rPr>
          <w:rFonts w:ascii="楷体_GB2312" w:hAnsi="楷体_GB2312" w:eastAsia="楷体_GB2312"/>
          <w:b/>
          <w:sz w:val="32"/>
        </w:rPr>
        <w:t>（三）一般公共预算财政拨款支出决算具体情况</w:t>
      </w:r>
    </w:p>
    <w:p w14:paraId="1AEA7665">
      <w:pPr>
        <w:spacing w:line="580" w:lineRule="exact"/>
        <w:ind w:firstLine="640"/>
        <w:jc w:val="both"/>
      </w:pPr>
      <w:r>
        <w:rPr>
          <w:rFonts w:ascii="仿宋_GB2312" w:hAnsi="仿宋_GB2312" w:eastAsia="仿宋_GB2312"/>
          <w:b w:val="0"/>
          <w:sz w:val="32"/>
        </w:rPr>
        <w:t>1.教育支出(类)教育管理事务(款)行政运行(项):支出决算数为187.65万元，比上年决算增加41.51万元，增长28.40%,主要原因是：一是本年在职人员工资调增，人员经费增加；二是功能科目调整，养老保险缴费上年度单独列支，本年调整至主科目列支，导致经费较上年有所增加。</w:t>
      </w:r>
    </w:p>
    <w:p w14:paraId="1FA1975A">
      <w:pPr>
        <w:spacing w:line="580" w:lineRule="exact"/>
        <w:ind w:firstLine="640"/>
        <w:jc w:val="both"/>
      </w:pPr>
      <w:r>
        <w:rPr>
          <w:rFonts w:ascii="仿宋_GB2312" w:hAnsi="仿宋_GB2312" w:eastAsia="仿宋_GB2312"/>
          <w:b w:val="0"/>
          <w:sz w:val="32"/>
        </w:rPr>
        <w:t>2.教育支出(类)普通教育(款)学前教育(项):支出决算数为528.68万元，比上年决算减少96.22万元，下降15.40%,主要原因是：本年度减少2022年新疆西藏等地区教育特殊补助资金（农村学前三年免费教育保障机制经费园舍维修资金）项目、克州阿克陶县学前教育提升改造工程项目。</w:t>
      </w:r>
    </w:p>
    <w:p w14:paraId="244C9815">
      <w:pPr>
        <w:spacing w:line="580" w:lineRule="exact"/>
        <w:ind w:firstLine="640"/>
        <w:jc w:val="both"/>
      </w:pPr>
      <w:r>
        <w:rPr>
          <w:rFonts w:ascii="仿宋_GB2312" w:hAnsi="仿宋_GB2312" w:eastAsia="仿宋_GB2312"/>
          <w:b w:val="0"/>
          <w:sz w:val="32"/>
        </w:rPr>
        <w:t>3.教育支出(类)普通教育(款)小学教育(项):支出决算数为2,877.99万元，比上年决算减少5,406.07万元，下降65.26%,主要原因是：本年度减少阿克陶县教育项目执行办公室清欠项目、2019年南疆四地州深度贫困地区教育脱贫攻坚项目、阿克陶县昆仑佳苑搬迁点新建小学建设项目、克州阿克陶县团结小学建设项目。</w:t>
      </w:r>
    </w:p>
    <w:p w14:paraId="4D9ED6BC">
      <w:pPr>
        <w:spacing w:line="580" w:lineRule="exact"/>
        <w:ind w:firstLine="640"/>
        <w:jc w:val="both"/>
      </w:pPr>
      <w:r>
        <w:rPr>
          <w:rFonts w:ascii="仿宋_GB2312" w:hAnsi="仿宋_GB2312" w:eastAsia="仿宋_GB2312"/>
          <w:b w:val="0"/>
          <w:sz w:val="32"/>
        </w:rPr>
        <w:t>4.教育支出(类)普通教育(款)初中教育(项):支出决算数为306.17万元，比上年决算减少118.94万元，下降27.98%,主要原因是：本年度减少2021年教育强国推进工程中央基建投资预算资金、2019义务教育薄弱环节改善与能力提升项目。</w:t>
      </w:r>
    </w:p>
    <w:p w14:paraId="49F0B1E1">
      <w:pPr>
        <w:spacing w:line="580" w:lineRule="exact"/>
        <w:ind w:firstLine="640"/>
        <w:jc w:val="both"/>
      </w:pPr>
      <w:r>
        <w:rPr>
          <w:rFonts w:ascii="仿宋_GB2312" w:hAnsi="仿宋_GB2312" w:eastAsia="仿宋_GB2312"/>
          <w:b w:val="0"/>
          <w:sz w:val="32"/>
        </w:rPr>
        <w:t>5.教育支出(类)普通教育(款)高中教育(项):支出决算数为22.33万元，比上年决算增加22.33万元，增长100.00%,主要原因是：本年度增加阿克陶县“帕米尔”助学资助及教学环境提升项目（雪松中学江西援疆支教教师宿舍改造）、2021年义务教育薄弱环节改善与能力提升项目、2024年中央改善普通高中办学条件补助资金（第二批）项目。</w:t>
      </w:r>
    </w:p>
    <w:p w14:paraId="2846EA19">
      <w:pPr>
        <w:spacing w:line="580" w:lineRule="exact"/>
        <w:ind w:firstLine="640"/>
        <w:jc w:val="both"/>
      </w:pPr>
      <w:r>
        <w:rPr>
          <w:rFonts w:ascii="仿宋_GB2312" w:hAnsi="仿宋_GB2312" w:eastAsia="仿宋_GB2312"/>
          <w:b w:val="0"/>
          <w:sz w:val="32"/>
        </w:rPr>
        <w:t>6.教育支出(类)普通教育(款)其他普通教育支出(项):支出决算数为584.28万元，比上年决算增加186.75万元，增长46.98%,主要原因是：本年增加赣陶两地青少年交往交流活动中心建设项目、2024年城乡义务教育（中央直达资金）校舍安全项目、2024年新疆西藏</w:t>
      </w:r>
      <w:bookmarkStart w:id="0" w:name="_GoBack"/>
      <w:r>
        <w:rPr>
          <w:rFonts w:ascii="仿宋_GB2312" w:hAnsi="仿宋_GB2312" w:eastAsia="仿宋_GB2312"/>
          <w:b w:val="0"/>
          <w:sz w:val="32"/>
        </w:rPr>
        <w:t>巩固教育脱贫攻坚成果同乡村振兴有效衔接</w:t>
      </w:r>
      <w:bookmarkEnd w:id="0"/>
      <w:r>
        <w:rPr>
          <w:rFonts w:ascii="仿宋_GB2312" w:hAnsi="仿宋_GB2312" w:eastAsia="仿宋_GB2312"/>
          <w:b w:val="0"/>
          <w:sz w:val="32"/>
        </w:rPr>
        <w:t>资金项目。</w:t>
      </w:r>
    </w:p>
    <w:p w14:paraId="2D1E1B0E">
      <w:pPr>
        <w:spacing w:line="580" w:lineRule="exact"/>
        <w:ind w:firstLine="640"/>
        <w:jc w:val="both"/>
      </w:pPr>
      <w:r>
        <w:rPr>
          <w:rFonts w:ascii="仿宋_GB2312" w:hAnsi="仿宋_GB2312" w:eastAsia="仿宋_GB2312"/>
          <w:b w:val="0"/>
          <w:sz w:val="32"/>
        </w:rPr>
        <w:t>7.教育支出(类)职业教育(款)中等职业教育(项):支出决算数为2,785.90万元，比上年决算减少5,993.50万元，下降68.27%,主要原因是：本年克州阿克陶县优质职业教育基本建设工程项目资金较上年减少。</w:t>
      </w:r>
    </w:p>
    <w:p w14:paraId="36F430C3">
      <w:pPr>
        <w:spacing w:line="580" w:lineRule="exact"/>
        <w:ind w:firstLine="640"/>
        <w:jc w:val="both"/>
      </w:pPr>
      <w:r>
        <w:rPr>
          <w:rFonts w:ascii="仿宋_GB2312" w:hAnsi="仿宋_GB2312" w:eastAsia="仿宋_GB2312"/>
          <w:b w:val="0"/>
          <w:sz w:val="32"/>
        </w:rPr>
        <w:t>8.教育支出(类)教育费附加安排的支出(款)农村中小学校舍建设(项):支出决算数为50.00万元，比上年决算增加50.00万元，增长100.00%,主要原因是：本年增加2024年教育附加费、农村中小学校舍建设项目。</w:t>
      </w:r>
    </w:p>
    <w:p w14:paraId="7808DDAD">
      <w:pPr>
        <w:spacing w:line="580" w:lineRule="exact"/>
        <w:ind w:firstLine="640"/>
        <w:jc w:val="both"/>
      </w:pPr>
      <w:r>
        <w:rPr>
          <w:rFonts w:ascii="仿宋_GB2312" w:hAnsi="仿宋_GB2312" w:eastAsia="仿宋_GB2312"/>
          <w:b w:val="0"/>
          <w:sz w:val="32"/>
        </w:rPr>
        <w:t>9.教育支出(类)教育费附加安排的支出(款)其他教育费附加安排的支出(项):支出决算数为31.01万元，比上年决算增加31.01万元，增长100.00%,主要原因是：本年增加2024年教育附加费安排的项目支出。</w:t>
      </w:r>
    </w:p>
    <w:p w14:paraId="10E830F4">
      <w:pPr>
        <w:spacing w:line="580" w:lineRule="exact"/>
        <w:ind w:firstLine="640"/>
        <w:jc w:val="both"/>
      </w:pPr>
      <w:r>
        <w:rPr>
          <w:rFonts w:ascii="仿宋_GB2312" w:hAnsi="仿宋_GB2312" w:eastAsia="仿宋_GB2312"/>
          <w:b w:val="0"/>
          <w:sz w:val="32"/>
        </w:rPr>
        <w:t>10.教育支出(类)其他教育支出(款)其他教育支出(项):支出决算数为24.00万元，比上年决算减少176.00万元，下降88.00%,主要原因是：本年减少2022教育强国推进工程中央基建投资项目。</w:t>
      </w:r>
    </w:p>
    <w:p w14:paraId="3B3FE7B5">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0.00万元，比上年决算减少14.78万元，下降100.00%,主要原因是：本年功能科目调整，养老保险缴费上年度单独列支，本年调整至主科目列支，导致经费较上年减少。</w:t>
      </w:r>
    </w:p>
    <w:p w14:paraId="0DF45A78">
      <w:pPr>
        <w:spacing w:line="640" w:lineRule="exact"/>
        <w:ind w:firstLine="640"/>
        <w:jc w:val="both"/>
        <w:outlineLvl w:val="2"/>
      </w:pPr>
      <w:r>
        <w:rPr>
          <w:rFonts w:ascii="黑体" w:hAnsi="黑体" w:eastAsia="黑体"/>
          <w:sz w:val="32"/>
        </w:rPr>
        <w:t>六、一般公共预算财政拨款基本支出决算情况说明</w:t>
      </w:r>
    </w:p>
    <w:p w14:paraId="38B80EB7">
      <w:pPr>
        <w:spacing w:line="580" w:lineRule="exact"/>
        <w:ind w:firstLine="640"/>
        <w:jc w:val="both"/>
      </w:pPr>
      <w:r>
        <w:rPr>
          <w:rFonts w:ascii="仿宋_GB2312" w:hAnsi="仿宋_GB2312" w:eastAsia="仿宋_GB2312"/>
          <w:b w:val="0"/>
          <w:sz w:val="32"/>
        </w:rPr>
        <w:t>2024年度一般公共预算财政拨款基本支出187.65万元，其中：</w:t>
      </w:r>
      <w:r>
        <w:rPr>
          <w:rFonts w:ascii="仿宋_GB2312" w:hAnsi="仿宋_GB2312" w:eastAsia="仿宋_GB2312"/>
          <w:b/>
          <w:sz w:val="32"/>
        </w:rPr>
        <w:t>人员经费163.05万元，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721C7707">
      <w:pPr>
        <w:spacing w:line="580" w:lineRule="exact"/>
        <w:ind w:firstLine="640"/>
        <w:jc w:val="both"/>
      </w:pPr>
      <w:r>
        <w:rPr>
          <w:rFonts w:ascii="仿宋_GB2312" w:hAnsi="仿宋_GB2312" w:eastAsia="仿宋_GB2312"/>
          <w:b/>
          <w:sz w:val="32"/>
        </w:rPr>
        <w:t>公用经费24.60万元，</w:t>
      </w:r>
      <w:r>
        <w:rPr>
          <w:rFonts w:ascii="仿宋_GB2312" w:hAnsi="仿宋_GB2312" w:eastAsia="仿宋_GB2312"/>
          <w:b w:val="0"/>
          <w:sz w:val="32"/>
        </w:rPr>
        <w:t>包括：办公费、差旅费、税金及附加费用。</w:t>
      </w:r>
    </w:p>
    <w:p w14:paraId="36B118A3">
      <w:pPr>
        <w:spacing w:line="640" w:lineRule="exact"/>
        <w:ind w:firstLine="640"/>
        <w:jc w:val="both"/>
        <w:outlineLvl w:val="2"/>
      </w:pPr>
      <w:r>
        <w:rPr>
          <w:rFonts w:ascii="黑体" w:hAnsi="黑体" w:eastAsia="黑体"/>
          <w:sz w:val="32"/>
        </w:rPr>
        <w:t>七、政府性基金预算财政拨款收入支出决算情况说明</w:t>
      </w:r>
    </w:p>
    <w:p w14:paraId="5C558A5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F19B426">
      <w:pPr>
        <w:spacing w:line="640" w:lineRule="exact"/>
        <w:ind w:firstLine="640"/>
        <w:jc w:val="both"/>
        <w:outlineLvl w:val="2"/>
      </w:pPr>
      <w:r>
        <w:rPr>
          <w:rFonts w:ascii="黑体" w:hAnsi="黑体" w:eastAsia="黑体"/>
          <w:sz w:val="32"/>
        </w:rPr>
        <w:t>八、国有资本经营预算财政拨款收入支出决算情况说明</w:t>
      </w:r>
    </w:p>
    <w:p w14:paraId="016AA8B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58FF33">
      <w:pPr>
        <w:spacing w:line="640" w:lineRule="exact"/>
        <w:ind w:firstLine="640"/>
        <w:jc w:val="both"/>
        <w:outlineLvl w:val="2"/>
      </w:pPr>
      <w:r>
        <w:rPr>
          <w:rFonts w:ascii="黑体" w:hAnsi="黑体" w:eastAsia="黑体"/>
          <w:sz w:val="32"/>
        </w:rPr>
        <w:t>九、财政拨款“三公”经费支出决算情况说明</w:t>
      </w:r>
    </w:p>
    <w:p w14:paraId="62DF387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68B0872">
      <w:pPr>
        <w:spacing w:line="580" w:lineRule="exact"/>
        <w:ind w:firstLine="640"/>
        <w:jc w:val="both"/>
      </w:pPr>
      <w:r>
        <w:rPr>
          <w:rFonts w:ascii="仿宋_GB2312" w:hAnsi="仿宋_GB2312" w:eastAsia="仿宋_GB2312"/>
          <w:b/>
          <w:sz w:val="32"/>
        </w:rPr>
        <w:t>具体情况如下：</w:t>
      </w:r>
    </w:p>
    <w:p w14:paraId="7B99CAA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3D5B5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B34CF2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7CE3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076DD07">
      <w:pPr>
        <w:spacing w:line="640" w:lineRule="exact"/>
        <w:ind w:firstLine="640"/>
        <w:jc w:val="both"/>
        <w:outlineLvl w:val="2"/>
      </w:pPr>
      <w:r>
        <w:rPr>
          <w:rFonts w:ascii="黑体" w:hAnsi="黑体" w:eastAsia="黑体"/>
          <w:sz w:val="32"/>
        </w:rPr>
        <w:t>十、其他重要事项的情况说明</w:t>
      </w:r>
    </w:p>
    <w:p w14:paraId="15431E48">
      <w:pPr>
        <w:spacing w:line="640" w:lineRule="exact"/>
        <w:ind w:firstLine="640"/>
        <w:jc w:val="both"/>
        <w:outlineLvl w:val="3"/>
      </w:pPr>
      <w:r>
        <w:rPr>
          <w:rFonts w:ascii="楷体_GB2312" w:hAnsi="楷体_GB2312" w:eastAsia="楷体_GB2312"/>
          <w:b/>
          <w:sz w:val="32"/>
        </w:rPr>
        <w:t>（一）机关运行经费及公用经费支出情况</w:t>
      </w:r>
    </w:p>
    <w:p w14:paraId="2C01ECD5">
      <w:pPr>
        <w:spacing w:line="580" w:lineRule="exact"/>
        <w:ind w:firstLine="640"/>
        <w:jc w:val="both"/>
      </w:pPr>
      <w:r>
        <w:rPr>
          <w:rFonts w:ascii="仿宋_GB2312" w:hAnsi="仿宋_GB2312" w:eastAsia="仿宋_GB2312"/>
          <w:b w:val="0"/>
          <w:sz w:val="32"/>
        </w:rPr>
        <w:t>2024年度阿克陶县教育项目执行办公室（事业单位）公用经费支出24.60万元，比上年增加23.74万元，增长2,760.47%，主要原因是：本年支付2019年至2023年建设合同印花税及滞纳金，导致经费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3ABBF4D3">
      <w:pPr>
        <w:spacing w:line="640" w:lineRule="exact"/>
        <w:ind w:firstLine="640"/>
        <w:jc w:val="both"/>
        <w:outlineLvl w:val="3"/>
      </w:pPr>
      <w:r>
        <w:rPr>
          <w:rFonts w:ascii="楷体_GB2312" w:hAnsi="楷体_GB2312" w:eastAsia="楷体_GB2312"/>
          <w:b/>
          <w:sz w:val="32"/>
        </w:rPr>
        <w:t>（二）政府采购情况</w:t>
      </w:r>
    </w:p>
    <w:p w14:paraId="416CCCAC">
      <w:pPr>
        <w:spacing w:line="580" w:lineRule="exact"/>
        <w:ind w:firstLine="640"/>
        <w:jc w:val="both"/>
      </w:pPr>
      <w:r>
        <w:rPr>
          <w:rFonts w:ascii="仿宋_GB2312" w:hAnsi="仿宋_GB2312" w:eastAsia="仿宋_GB2312"/>
          <w:b w:val="0"/>
          <w:sz w:val="32"/>
        </w:rPr>
        <w:t>2024年度政府采购支出总额2,748.14万元，其中：政府采购货物支出1,686.59万元、政府采购工程支出0.00万元、政府采购服务支出1,061.54万元。</w:t>
      </w:r>
    </w:p>
    <w:p w14:paraId="002ADD03">
      <w:pPr>
        <w:spacing w:line="580" w:lineRule="exact"/>
        <w:ind w:firstLine="640"/>
        <w:jc w:val="both"/>
      </w:pPr>
      <w:r>
        <w:rPr>
          <w:rFonts w:ascii="仿宋_GB2312" w:hAnsi="仿宋_GB2312" w:eastAsia="仿宋_GB2312"/>
          <w:b w:val="0"/>
          <w:sz w:val="32"/>
        </w:rPr>
        <w:t>授予中小企业合同金额1,917.37万元，占政府采购支出总额的69.77%，其中：授予小微企业合同金额1,144.10万元，占政府采购支出总额的41.63%。</w:t>
      </w:r>
    </w:p>
    <w:p w14:paraId="6BEE5629">
      <w:pPr>
        <w:spacing w:line="640" w:lineRule="exact"/>
        <w:ind w:firstLine="640"/>
        <w:jc w:val="both"/>
        <w:outlineLvl w:val="3"/>
      </w:pPr>
      <w:r>
        <w:rPr>
          <w:rFonts w:ascii="楷体_GB2312" w:hAnsi="楷体_GB2312" w:eastAsia="楷体_GB2312"/>
          <w:b/>
          <w:sz w:val="32"/>
        </w:rPr>
        <w:t>（三）国有资产占用情况说明</w:t>
      </w:r>
    </w:p>
    <w:p w14:paraId="3323D049">
      <w:pPr>
        <w:spacing w:line="580" w:lineRule="exact"/>
        <w:ind w:firstLine="640"/>
        <w:jc w:val="both"/>
      </w:pPr>
      <w:r>
        <w:rPr>
          <w:rFonts w:ascii="仿宋_GB2312" w:hAnsi="仿宋_GB2312" w:eastAsia="仿宋_GB2312"/>
          <w:b w:val="0"/>
          <w:sz w:val="32"/>
        </w:rPr>
        <w:t>截至2024年12月31日，房屋23,629.17平方米，价值8,127.79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3DEE510">
      <w:pPr>
        <w:spacing w:line="640" w:lineRule="exact"/>
        <w:ind w:firstLine="640"/>
        <w:jc w:val="both"/>
        <w:outlineLvl w:val="2"/>
      </w:pPr>
      <w:r>
        <w:rPr>
          <w:rFonts w:ascii="黑体" w:hAnsi="黑体" w:eastAsia="黑体"/>
          <w:sz w:val="32"/>
        </w:rPr>
        <w:t>十一、预算绩效的情况说明</w:t>
      </w:r>
    </w:p>
    <w:p w14:paraId="3AF56FF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12,019.22万元，实际执行总额11,009.04万元；预算绩效评价项目1个，全年预算数2,195.00万元，全年执行数1,051.44万元。预算绩效管理取得的成效：一是本项目能够严格按照《项目实施方案》执行，项目执行情况较好；二是加强组织领导，本项目绩效评价工作，有县政府主要领导亲自挂帅，分管县领导具体负责，从项目到资金，均能很</w:t>
      </w:r>
      <w:r>
        <w:rPr>
          <w:rFonts w:hint="eastAsia" w:ascii="仿宋_GB2312" w:hAnsi="仿宋_GB2312" w:eastAsia="仿宋_GB2312"/>
          <w:b w:val="0"/>
          <w:sz w:val="32"/>
          <w:lang w:eastAsia="zh-CN"/>
        </w:rPr>
        <w:t>好地</w:t>
      </w:r>
      <w:r>
        <w:rPr>
          <w:rFonts w:ascii="仿宋_GB2312" w:hAnsi="仿宋_GB2312" w:eastAsia="仿宋_GB2312"/>
          <w:b w:val="0"/>
          <w:sz w:val="32"/>
        </w:rPr>
        <w:t>执行；三是加强沟通协调，</w:t>
      </w:r>
      <w:r>
        <w:rPr>
          <w:rFonts w:hint="eastAsia" w:ascii="仿宋_GB2312" w:hAnsi="仿宋_GB2312" w:eastAsia="仿宋_GB2312"/>
          <w:b w:val="0"/>
          <w:sz w:val="32"/>
          <w:lang w:eastAsia="zh-CN"/>
        </w:rPr>
        <w:t>本单位</w:t>
      </w:r>
      <w:r>
        <w:rPr>
          <w:rFonts w:ascii="仿宋_GB2312" w:hAnsi="仿宋_GB2312" w:eastAsia="仿宋_GB2312"/>
          <w:b w:val="0"/>
          <w:sz w:val="32"/>
        </w:rPr>
        <w:t>及时向县领导汇报项目建设进度，加强与实施单位的沟通，确保项目按期完工。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项目建设的程序进一步规范。项目前期做好工作计划，细化实施方案，严格执行资金管理办法和财政资金管理制度，严格按照项目工作计划及实施方案稳步推进工作，单位根据自己项目的特点进行总结；二是项目评价资料有待进一步完善。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具体附整体支出绩效自评表，项目支出绩效自评表和评价报告。</w:t>
      </w:r>
    </w:p>
    <w:p w14:paraId="15D69EB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FC07475">
        <w:tblPrEx>
          <w:tblCellMar>
            <w:top w:w="0" w:type="dxa"/>
            <w:left w:w="108" w:type="dxa"/>
            <w:bottom w:w="0" w:type="dxa"/>
            <w:right w:w="108" w:type="dxa"/>
          </w:tblCellMar>
        </w:tblPrEx>
        <w:tc>
          <w:tcPr>
            <w:tcW w:w="8840" w:type="dxa"/>
            <w:gridSpan w:val="8"/>
            <w:vAlign w:val="center"/>
          </w:tcPr>
          <w:p w14:paraId="05ED1189">
            <w:pPr>
              <w:jc w:val="center"/>
            </w:pPr>
            <w:r>
              <w:rPr>
                <w:rFonts w:ascii="宋体" w:hAnsi="宋体" w:eastAsia="宋体"/>
                <w:sz w:val="24"/>
              </w:rPr>
              <w:t>单位整体支出绩效自评表</w:t>
            </w:r>
          </w:p>
        </w:tc>
      </w:tr>
      <w:tr w14:paraId="37B8FB12">
        <w:tblPrEx>
          <w:tblCellMar>
            <w:top w:w="0" w:type="dxa"/>
            <w:left w:w="108" w:type="dxa"/>
            <w:bottom w:w="0" w:type="dxa"/>
            <w:right w:w="108" w:type="dxa"/>
          </w:tblCellMar>
        </w:tblPrEx>
        <w:tc>
          <w:tcPr>
            <w:tcW w:w="8840" w:type="dxa"/>
            <w:gridSpan w:val="8"/>
            <w:vAlign w:val="center"/>
          </w:tcPr>
          <w:p w14:paraId="2C9ADA3C">
            <w:pPr>
              <w:jc w:val="center"/>
            </w:pPr>
            <w:r>
              <w:rPr>
                <w:rFonts w:ascii="宋体" w:hAnsi="宋体" w:eastAsia="宋体"/>
                <w:sz w:val="24"/>
              </w:rPr>
              <w:t>（2024年度）</w:t>
            </w:r>
          </w:p>
        </w:tc>
      </w:tr>
      <w:tr w14:paraId="163CD78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B145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AF5089">
            <w:pPr>
              <w:jc w:val="center"/>
            </w:pPr>
            <w:r>
              <w:rPr>
                <w:rFonts w:ascii="宋体" w:hAnsi="宋体" w:eastAsia="宋体"/>
                <w:sz w:val="16"/>
              </w:rPr>
              <w:t>阿克陶县教育项目执行办公室</w:t>
            </w:r>
          </w:p>
        </w:tc>
      </w:tr>
      <w:tr w14:paraId="7641FBB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EEEF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EFBE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B69C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8ADC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FC06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2470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D6DC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3F45C">
            <w:pPr>
              <w:jc w:val="center"/>
            </w:pPr>
            <w:r>
              <w:rPr>
                <w:rFonts w:ascii="宋体" w:hAnsi="宋体" w:eastAsia="宋体"/>
                <w:sz w:val="16"/>
              </w:rPr>
              <w:t>得分</w:t>
            </w:r>
          </w:p>
        </w:tc>
      </w:tr>
      <w:tr w14:paraId="24A642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E786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AA87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CE0B8">
            <w:pPr>
              <w:jc w:val="center"/>
            </w:pPr>
            <w:r>
              <w:rPr>
                <w:rFonts w:ascii="宋体" w:hAnsi="宋体" w:eastAsia="宋体"/>
                <w:sz w:val="16"/>
              </w:rPr>
              <w:t>166.56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91CB3">
            <w:pPr>
              <w:jc w:val="center"/>
            </w:pPr>
            <w:r>
              <w:rPr>
                <w:rFonts w:ascii="宋体" w:hAnsi="宋体" w:eastAsia="宋体"/>
                <w:sz w:val="16"/>
              </w:rPr>
              <w:t>12,019.22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68E39">
            <w:pPr>
              <w:jc w:val="center"/>
            </w:pPr>
            <w:r>
              <w:rPr>
                <w:rFonts w:ascii="宋体" w:hAnsi="宋体" w:eastAsia="宋体"/>
                <w:sz w:val="16"/>
              </w:rPr>
              <w:t>11,009.04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6356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A8237">
            <w:pPr>
              <w:jc w:val="center"/>
            </w:pPr>
            <w:r>
              <w:rPr>
                <w:rFonts w:ascii="宋体" w:hAnsi="宋体" w:eastAsia="宋体"/>
                <w:sz w:val="16"/>
              </w:rPr>
              <w:t>91.60%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92440">
            <w:pPr>
              <w:jc w:val="center"/>
            </w:pPr>
            <w:r>
              <w:rPr>
                <w:rFonts w:ascii="宋体" w:hAnsi="宋体" w:eastAsia="宋体"/>
                <w:sz w:val="16"/>
              </w:rPr>
              <w:t>9.16</w:t>
            </w:r>
          </w:p>
        </w:tc>
      </w:tr>
      <w:tr w14:paraId="452141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841B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A5C5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25E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4D3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ECB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29B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591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174BB">
            <w:pPr>
              <w:jc w:val="center"/>
            </w:pPr>
            <w:r>
              <w:rPr>
                <w:rFonts w:ascii="宋体" w:hAnsi="宋体" w:eastAsia="宋体"/>
                <w:sz w:val="16"/>
              </w:rPr>
              <w:t>—</w:t>
            </w:r>
          </w:p>
        </w:tc>
      </w:tr>
      <w:tr w14:paraId="0521F9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80D6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BA4A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CD198">
            <w:pPr>
              <w:jc w:val="center"/>
            </w:pPr>
            <w:r>
              <w:rPr>
                <w:rFonts w:ascii="宋体" w:hAnsi="宋体" w:eastAsia="宋体"/>
                <w:sz w:val="16"/>
              </w:rPr>
              <w:t>166.56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DCB8D">
            <w:pPr>
              <w:jc w:val="center"/>
            </w:pPr>
            <w:r>
              <w:rPr>
                <w:rFonts w:ascii="宋体" w:hAnsi="宋体" w:eastAsia="宋体"/>
                <w:sz w:val="16"/>
              </w:rPr>
              <w:t>12,019.22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8249E">
            <w:pPr>
              <w:jc w:val="center"/>
            </w:pPr>
            <w:r>
              <w:rPr>
                <w:rFonts w:ascii="宋体" w:hAnsi="宋体" w:eastAsia="宋体"/>
                <w:sz w:val="16"/>
              </w:rPr>
              <w:t>11,009.04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FDB6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66E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060AB">
            <w:pPr>
              <w:jc w:val="center"/>
            </w:pPr>
            <w:r>
              <w:rPr>
                <w:rFonts w:ascii="宋体" w:hAnsi="宋体" w:eastAsia="宋体"/>
                <w:sz w:val="16"/>
              </w:rPr>
              <w:t>—</w:t>
            </w:r>
          </w:p>
        </w:tc>
      </w:tr>
      <w:tr w14:paraId="18B53C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00AC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61C2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C258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E00C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BBEA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B9D4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4D5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3396B">
            <w:pPr>
              <w:jc w:val="center"/>
            </w:pPr>
            <w:r>
              <w:rPr>
                <w:rFonts w:ascii="宋体" w:hAnsi="宋体" w:eastAsia="宋体"/>
                <w:sz w:val="16"/>
              </w:rPr>
              <w:t>—</w:t>
            </w:r>
          </w:p>
        </w:tc>
      </w:tr>
      <w:tr w14:paraId="38D0A9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11A6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A6942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4BC4EE">
            <w:pPr>
              <w:jc w:val="center"/>
            </w:pPr>
            <w:r>
              <w:rPr>
                <w:rFonts w:ascii="宋体" w:hAnsi="宋体" w:eastAsia="宋体"/>
                <w:sz w:val="16"/>
              </w:rPr>
              <w:t>实际完成情况</w:t>
            </w:r>
          </w:p>
        </w:tc>
      </w:tr>
      <w:tr w14:paraId="1079F0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C3DE7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177C1B">
            <w:pPr>
              <w:jc w:val="both"/>
            </w:pPr>
            <w:r>
              <w:rPr>
                <w:rFonts w:ascii="宋体" w:hAnsi="宋体" w:eastAsia="宋体"/>
                <w:sz w:val="16"/>
              </w:rPr>
              <w:t>确保7人在职人员的工资、津贴、补贴、社保、医保、公积金等以及2个离退休人员的工资、医疗费能够依规、按时、足额发放或缴纳，提升部门人员工作积极性和工作质量，认真做好各中小学基建项目的申报组织人员进行项目前期论证，</w:t>
            </w:r>
            <w:r>
              <w:rPr>
                <w:rFonts w:hint="eastAsia" w:ascii="宋体" w:hAnsi="宋体"/>
                <w:sz w:val="16"/>
                <w:lang w:eastAsia="zh-CN"/>
              </w:rPr>
              <w:t>地质勘查</w:t>
            </w:r>
            <w:r>
              <w:rPr>
                <w:rFonts w:ascii="宋体" w:hAnsi="宋体" w:eastAsia="宋体"/>
                <w:sz w:val="16"/>
              </w:rPr>
              <w:t>，施工图设计，建设用地征用等前期准备工作，严格各建设项目工程招标工作，及时办理相关手续，强化工程管理，加大监督检查力度，认真组织好工程三阶段验收和竣工结算，审计及工程档案管理工作。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956B29">
            <w:pPr>
              <w:jc w:val="both"/>
            </w:pPr>
            <w:r>
              <w:rPr>
                <w:rFonts w:ascii="宋体" w:hAnsi="宋体" w:eastAsia="宋体"/>
                <w:sz w:val="16"/>
              </w:rPr>
              <w:t>保障了7人在职人员的工资、津贴、补贴、社保、医保、公积金等以及2个离退休人员的工资、医疗费能够依规、按时、足额发放或缴纳，提升了部门人员工作积极性和工作质量，提升了182个学校的办学条件，信息化办学条件覆盖率达到了100%。</w:t>
            </w:r>
          </w:p>
        </w:tc>
      </w:tr>
      <w:tr w14:paraId="67896EF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0407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57BB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3F66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082E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1000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906F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EB0E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BDA06">
            <w:pPr>
              <w:jc w:val="center"/>
            </w:pPr>
            <w:r>
              <w:rPr>
                <w:rFonts w:ascii="宋体" w:hAnsi="宋体" w:eastAsia="宋体"/>
                <w:sz w:val="16"/>
              </w:rPr>
              <w:t>得分</w:t>
            </w:r>
          </w:p>
        </w:tc>
      </w:tr>
      <w:tr w14:paraId="08C53B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020A9">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BF8B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5102D">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9D0D3">
            <w:pPr>
              <w:jc w:val="center"/>
            </w:pPr>
            <w:r>
              <w:rPr>
                <w:rFonts w:ascii="宋体" w:hAnsi="宋体" w:eastAsia="宋体"/>
                <w:sz w:val="16"/>
              </w:rPr>
              <w:t>&gt;=9人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38E60">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78F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06CFB">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18EDB">
            <w:pPr>
              <w:jc w:val="center"/>
            </w:pPr>
            <w:r>
              <w:rPr>
                <w:rFonts w:ascii="宋体" w:hAnsi="宋体" w:eastAsia="宋体"/>
                <w:sz w:val="16"/>
              </w:rPr>
              <w:t>10</w:t>
            </w:r>
          </w:p>
        </w:tc>
      </w:tr>
      <w:tr w14:paraId="1FB2BC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2F4A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0240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F7224">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8768C">
            <w:pPr>
              <w:jc w:val="center"/>
            </w:pPr>
            <w:r>
              <w:rPr>
                <w:rFonts w:ascii="宋体" w:hAnsi="宋体" w:eastAsia="宋体"/>
                <w:sz w:val="16"/>
              </w:rPr>
              <w:t>&lt;=162.62万元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0A011">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5208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B9E80">
            <w:pPr>
              <w:jc w:val="center"/>
            </w:pPr>
            <w:r>
              <w:rPr>
                <w:rFonts w:ascii="宋体" w:hAnsi="宋体" w:eastAsia="宋体"/>
                <w:sz w:val="16"/>
              </w:rPr>
              <w:t>=163.05万元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B5191">
            <w:pPr>
              <w:jc w:val="center"/>
            </w:pPr>
            <w:r>
              <w:rPr>
                <w:rFonts w:ascii="宋体" w:hAnsi="宋体" w:eastAsia="宋体"/>
                <w:sz w:val="16"/>
              </w:rPr>
              <w:t>9.97</w:t>
            </w:r>
          </w:p>
        </w:tc>
      </w:tr>
      <w:tr w14:paraId="178D0B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52126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C905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2C14A">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58F37">
            <w:pPr>
              <w:jc w:val="center"/>
            </w:pPr>
            <w:r>
              <w:rPr>
                <w:rFonts w:ascii="宋体" w:hAnsi="宋体" w:eastAsia="宋体"/>
                <w:sz w:val="16"/>
              </w:rPr>
              <w:t>&lt;=3.94万元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D7D80">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216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51FAE">
            <w:pPr>
              <w:jc w:val="center"/>
            </w:pPr>
            <w:r>
              <w:rPr>
                <w:rFonts w:ascii="宋体" w:hAnsi="宋体" w:eastAsia="宋体"/>
                <w:sz w:val="16"/>
              </w:rPr>
              <w:t>=24.60万元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AE02D">
            <w:pPr>
              <w:jc w:val="center"/>
            </w:pPr>
            <w:r>
              <w:rPr>
                <w:rFonts w:ascii="宋体" w:hAnsi="宋体" w:eastAsia="宋体"/>
                <w:sz w:val="16"/>
              </w:rPr>
              <w:t>1.6</w:t>
            </w:r>
          </w:p>
        </w:tc>
      </w:tr>
      <w:tr w14:paraId="25A906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8439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19B4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64145">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708FE">
            <w:pPr>
              <w:jc w:val="center"/>
            </w:pPr>
            <w:r>
              <w:rPr>
                <w:rFonts w:ascii="宋体" w:hAnsi="宋体" w:eastAsia="宋体"/>
                <w:sz w:val="16"/>
              </w:rPr>
              <w:t>=100</w:t>
            </w:r>
            <w:r>
              <w:rPr>
                <w:rFonts w:hint="eastAsia" w:ascii="宋体" w:hAnsi="宋体"/>
                <w:sz w:val="16"/>
                <w:lang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99E1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AE7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4265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5B849">
            <w:pPr>
              <w:jc w:val="center"/>
            </w:pPr>
            <w:r>
              <w:rPr>
                <w:rFonts w:ascii="宋体" w:hAnsi="宋体" w:eastAsia="宋体"/>
                <w:sz w:val="16"/>
              </w:rPr>
              <w:t>10</w:t>
            </w:r>
          </w:p>
        </w:tc>
      </w:tr>
      <w:tr w14:paraId="74550C4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97269">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E0E3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7FAB6">
            <w:pPr>
              <w:jc w:val="center"/>
            </w:pPr>
            <w:r>
              <w:rPr>
                <w:rFonts w:ascii="宋体" w:hAnsi="宋体" w:eastAsia="宋体"/>
                <w:sz w:val="16"/>
              </w:rPr>
              <w:t>提升办学条件学校个数（所）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275C5">
            <w:pPr>
              <w:jc w:val="center"/>
            </w:pPr>
            <w:r>
              <w:rPr>
                <w:rFonts w:ascii="宋体" w:hAnsi="宋体" w:eastAsia="宋体"/>
                <w:sz w:val="16"/>
              </w:rPr>
              <w:t>=182所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531A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BD9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1DDCD">
            <w:pPr>
              <w:jc w:val="center"/>
            </w:pPr>
            <w:r>
              <w:rPr>
                <w:rFonts w:ascii="宋体" w:hAnsi="宋体" w:eastAsia="宋体"/>
                <w:sz w:val="16"/>
              </w:rPr>
              <w:t>=182所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2833D">
            <w:pPr>
              <w:jc w:val="center"/>
            </w:pPr>
            <w:r>
              <w:rPr>
                <w:rFonts w:ascii="宋体" w:hAnsi="宋体" w:eastAsia="宋体"/>
                <w:sz w:val="16"/>
              </w:rPr>
              <w:t>10</w:t>
            </w:r>
          </w:p>
        </w:tc>
      </w:tr>
      <w:tr w14:paraId="390842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50D3B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8E8A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E9A0B">
            <w:pPr>
              <w:jc w:val="center"/>
            </w:pPr>
            <w:r>
              <w:rPr>
                <w:rFonts w:ascii="宋体" w:hAnsi="宋体" w:eastAsia="宋体"/>
                <w:sz w:val="16"/>
              </w:rPr>
              <w:t>项目验收合格率（%）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8F396">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F32CC">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10AD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7069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92D8E">
            <w:pPr>
              <w:jc w:val="center"/>
            </w:pPr>
            <w:r>
              <w:rPr>
                <w:rFonts w:ascii="宋体" w:hAnsi="宋体" w:eastAsia="宋体"/>
                <w:sz w:val="16"/>
              </w:rPr>
              <w:t>10</w:t>
            </w:r>
          </w:p>
        </w:tc>
      </w:tr>
      <w:tr w14:paraId="72FD3D2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D7309">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8B2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C7E8E">
            <w:pPr>
              <w:jc w:val="center"/>
            </w:pPr>
            <w:r>
              <w:rPr>
                <w:rFonts w:ascii="宋体" w:hAnsi="宋体" w:eastAsia="宋体"/>
                <w:sz w:val="16"/>
              </w:rPr>
              <w:t>信息化办学条件覆盖率（%）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D0A2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5604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44C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FE66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2D2DE">
            <w:pPr>
              <w:jc w:val="center"/>
            </w:pPr>
            <w:r>
              <w:rPr>
                <w:rFonts w:ascii="宋体" w:hAnsi="宋体" w:eastAsia="宋体"/>
                <w:sz w:val="16"/>
              </w:rPr>
              <w:t>10</w:t>
            </w:r>
          </w:p>
        </w:tc>
      </w:tr>
      <w:tr w14:paraId="289BB97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6C99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6C83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34D0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4AED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6B61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66A4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B805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E03C0">
            <w:pPr>
              <w:jc w:val="center"/>
            </w:pPr>
            <w:r>
              <w:rPr>
                <w:rFonts w:ascii="宋体" w:hAnsi="宋体" w:eastAsia="宋体"/>
                <w:sz w:val="16"/>
              </w:rPr>
              <w:t>10</w:t>
            </w:r>
          </w:p>
        </w:tc>
      </w:tr>
      <w:tr w14:paraId="73296D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24E8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18E7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AACF5">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BB0D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C24D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2130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433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FED48">
            <w:pPr>
              <w:jc w:val="center"/>
            </w:pPr>
            <w:r>
              <w:rPr>
                <w:rFonts w:ascii="宋体" w:hAnsi="宋体" w:eastAsia="宋体"/>
                <w:sz w:val="16"/>
              </w:rPr>
              <w:t>5</w:t>
            </w:r>
          </w:p>
        </w:tc>
      </w:tr>
      <w:tr w14:paraId="75733B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FB11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0A4E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41481">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E49C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BCD07">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C661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21A2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B4473">
            <w:pPr>
              <w:jc w:val="center"/>
            </w:pPr>
            <w:r>
              <w:rPr>
                <w:rFonts w:ascii="宋体" w:hAnsi="宋体" w:eastAsia="宋体"/>
                <w:sz w:val="16"/>
              </w:rPr>
              <w:t>5</w:t>
            </w:r>
          </w:p>
        </w:tc>
      </w:tr>
    </w:tbl>
    <w:p w14:paraId="3767E7F3">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696"/>
        <w:gridCol w:w="627"/>
        <w:gridCol w:w="626"/>
        <w:gridCol w:w="628"/>
        <w:gridCol w:w="626"/>
        <w:gridCol w:w="627"/>
        <w:gridCol w:w="776"/>
        <w:gridCol w:w="630"/>
        <w:gridCol w:w="618"/>
        <w:gridCol w:w="630"/>
      </w:tblGrid>
      <w:tr w14:paraId="112546F4">
        <w:tblPrEx>
          <w:tblCellMar>
            <w:top w:w="0" w:type="dxa"/>
            <w:left w:w="108" w:type="dxa"/>
            <w:bottom w:w="0" w:type="dxa"/>
            <w:right w:w="108" w:type="dxa"/>
          </w:tblCellMar>
        </w:tblPrEx>
        <w:tc>
          <w:tcPr>
            <w:tcW w:w="8848" w:type="dxa"/>
            <w:gridSpan w:val="14"/>
            <w:vAlign w:val="center"/>
          </w:tcPr>
          <w:p w14:paraId="6C5A1C8F">
            <w:pPr>
              <w:jc w:val="center"/>
            </w:pPr>
            <w:r>
              <w:rPr>
                <w:rFonts w:ascii="宋体" w:hAnsi="宋体" w:eastAsia="宋体"/>
                <w:sz w:val="24"/>
              </w:rPr>
              <w:t>项目支出绩效自评表</w:t>
            </w:r>
          </w:p>
        </w:tc>
      </w:tr>
      <w:tr w14:paraId="544008E5">
        <w:tblPrEx>
          <w:tblCellMar>
            <w:top w:w="0" w:type="dxa"/>
            <w:left w:w="108" w:type="dxa"/>
            <w:bottom w:w="0" w:type="dxa"/>
            <w:right w:w="108" w:type="dxa"/>
          </w:tblCellMar>
        </w:tblPrEx>
        <w:tc>
          <w:tcPr>
            <w:tcW w:w="8848" w:type="dxa"/>
            <w:gridSpan w:val="14"/>
            <w:vAlign w:val="center"/>
          </w:tcPr>
          <w:p w14:paraId="30C53AEA">
            <w:pPr>
              <w:jc w:val="center"/>
            </w:pPr>
            <w:r>
              <w:rPr>
                <w:rFonts w:ascii="宋体" w:hAnsi="宋体" w:eastAsia="宋体"/>
                <w:sz w:val="24"/>
              </w:rPr>
              <w:t>(2024年度)</w:t>
            </w:r>
          </w:p>
        </w:tc>
      </w:tr>
      <w:tr w14:paraId="693DA3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4F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C09D92">
            <w:pPr>
              <w:jc w:val="center"/>
            </w:pPr>
            <w:r>
              <w:rPr>
                <w:rFonts w:ascii="宋体" w:hAnsi="宋体" w:eastAsia="宋体"/>
                <w:sz w:val="16"/>
              </w:rPr>
              <w:t>2024年中央义务教育薄弱环节改善与能力提升补助资金项目</w:t>
            </w:r>
          </w:p>
        </w:tc>
      </w:tr>
      <w:tr w14:paraId="39B5DE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EC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5D510">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5B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7D8EBA">
            <w:pPr>
              <w:jc w:val="center"/>
            </w:pPr>
            <w:r>
              <w:rPr>
                <w:rFonts w:ascii="宋体" w:hAnsi="宋体" w:eastAsia="宋体"/>
                <w:sz w:val="16"/>
              </w:rPr>
              <w:t>阿克陶县教育项目执行办公室</w:t>
            </w:r>
          </w:p>
        </w:tc>
      </w:tr>
      <w:tr w14:paraId="1DC481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E48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AAD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03A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118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801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B0F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B4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FD46">
            <w:pPr>
              <w:jc w:val="center"/>
            </w:pPr>
            <w:r>
              <w:rPr>
                <w:rFonts w:ascii="宋体" w:hAnsi="宋体" w:eastAsia="宋体"/>
                <w:sz w:val="16"/>
              </w:rPr>
              <w:t>得分</w:t>
            </w:r>
          </w:p>
        </w:tc>
      </w:tr>
      <w:tr w14:paraId="1C511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31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A57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1E32F">
            <w:pPr>
              <w:jc w:val="center"/>
            </w:pPr>
            <w:r>
              <w:rPr>
                <w:rFonts w:ascii="宋体" w:hAnsi="宋体" w:eastAsia="宋体"/>
                <w:sz w:val="16"/>
              </w:rPr>
              <w:t>2,195.00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9294">
            <w:pPr>
              <w:jc w:val="center"/>
            </w:pPr>
            <w:r>
              <w:rPr>
                <w:rFonts w:ascii="宋体" w:hAnsi="宋体" w:eastAsia="宋体"/>
                <w:sz w:val="16"/>
              </w:rPr>
              <w:t>2,195.00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3D6B">
            <w:pPr>
              <w:jc w:val="center"/>
            </w:pPr>
            <w:r>
              <w:rPr>
                <w:rFonts w:ascii="宋体" w:hAnsi="宋体" w:eastAsia="宋体"/>
                <w:sz w:val="16"/>
              </w:rPr>
              <w:t>1,051.44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06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9AE1D">
            <w:pPr>
              <w:jc w:val="center"/>
            </w:pPr>
            <w:r>
              <w:rPr>
                <w:rFonts w:ascii="宋体" w:hAnsi="宋体" w:eastAsia="宋体"/>
                <w:sz w:val="16"/>
              </w:rPr>
              <w:t>47.9%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5922">
            <w:pPr>
              <w:jc w:val="center"/>
            </w:pPr>
            <w:r>
              <w:rPr>
                <w:rFonts w:ascii="宋体" w:hAnsi="宋体" w:eastAsia="宋体"/>
                <w:sz w:val="16"/>
              </w:rPr>
              <w:t>0.00分</w:t>
            </w:r>
          </w:p>
        </w:tc>
      </w:tr>
      <w:tr w14:paraId="40D17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C13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ED1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3506">
            <w:pPr>
              <w:jc w:val="center"/>
            </w:pPr>
            <w:r>
              <w:rPr>
                <w:rFonts w:ascii="宋体" w:hAnsi="宋体" w:eastAsia="宋体"/>
                <w:sz w:val="16"/>
              </w:rPr>
              <w:t>2,195.00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0494A">
            <w:pPr>
              <w:jc w:val="center"/>
            </w:pPr>
            <w:r>
              <w:rPr>
                <w:rFonts w:ascii="宋体" w:hAnsi="宋体" w:eastAsia="宋体"/>
                <w:sz w:val="16"/>
              </w:rPr>
              <w:t>2,195.00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ABEF8">
            <w:pPr>
              <w:jc w:val="center"/>
            </w:pPr>
            <w:r>
              <w:rPr>
                <w:rFonts w:ascii="宋体" w:hAnsi="宋体" w:eastAsia="宋体"/>
                <w:sz w:val="16"/>
              </w:rPr>
              <w:t>1,051.44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4CA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103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6215">
            <w:pPr>
              <w:jc w:val="center"/>
            </w:pPr>
            <w:r>
              <w:rPr>
                <w:rFonts w:ascii="宋体" w:hAnsi="宋体" w:eastAsia="宋体"/>
                <w:sz w:val="16"/>
              </w:rPr>
              <w:t>—</w:t>
            </w:r>
          </w:p>
        </w:tc>
      </w:tr>
      <w:tr w14:paraId="56B1D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2FC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3F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E90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316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D4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81A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DB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99F6">
            <w:pPr>
              <w:jc w:val="center"/>
            </w:pPr>
            <w:r>
              <w:rPr>
                <w:rFonts w:ascii="宋体" w:hAnsi="宋体" w:eastAsia="宋体"/>
                <w:sz w:val="16"/>
              </w:rPr>
              <w:t>—</w:t>
            </w:r>
          </w:p>
        </w:tc>
      </w:tr>
      <w:tr w14:paraId="6E0C8F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E76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17B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83798B">
            <w:pPr>
              <w:jc w:val="center"/>
            </w:pPr>
            <w:r>
              <w:rPr>
                <w:rFonts w:ascii="宋体" w:hAnsi="宋体" w:eastAsia="宋体"/>
                <w:sz w:val="16"/>
              </w:rPr>
              <w:t>实际完成情况</w:t>
            </w:r>
          </w:p>
        </w:tc>
      </w:tr>
      <w:tr w14:paraId="3E07D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96F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CF5DC">
            <w:pPr>
              <w:jc w:val="both"/>
            </w:pPr>
            <w:r>
              <w:rPr>
                <w:rFonts w:ascii="宋体" w:hAnsi="宋体" w:eastAsia="宋体"/>
                <w:sz w:val="16"/>
              </w:rPr>
              <w:t>通过该项目实施，新建阿克陶县巴仁乡天山中学综合楼建校舍面积4740平方米，雪松中学等31所学校采购学生用床、班班通、课桌椅、食堂设备、教具等。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0F3DA0">
            <w:pPr>
              <w:jc w:val="both"/>
            </w:pPr>
            <w:r>
              <w:rPr>
                <w:rFonts w:ascii="宋体" w:hAnsi="宋体" w:eastAsia="宋体"/>
                <w:sz w:val="16"/>
              </w:rPr>
              <w:t>项目已完成阿克陶县巴仁乡天山中学综合楼建校舍面积4740平方米，雪松中学等31所学校采购学生用床、班班通、课桌椅、食堂设备、教具等。</w:t>
            </w:r>
          </w:p>
        </w:tc>
      </w:tr>
      <w:tr w14:paraId="452C31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80D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B4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26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94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90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E6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51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5B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CE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7A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2E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5F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2F748">
            <w:pPr>
              <w:jc w:val="center"/>
            </w:pPr>
            <w:r>
              <w:rPr>
                <w:rFonts w:ascii="宋体" w:hAnsi="宋体" w:eastAsia="宋体"/>
                <w:sz w:val="16"/>
              </w:rPr>
              <w:t>偏差原因分析及改进措施</w:t>
            </w:r>
          </w:p>
        </w:tc>
      </w:tr>
      <w:tr w14:paraId="296BB7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E60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E09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E9B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D152">
            <w:pPr>
              <w:jc w:val="center"/>
            </w:pPr>
            <w:r>
              <w:rPr>
                <w:rFonts w:ascii="宋体" w:hAnsi="宋体" w:eastAsia="宋体"/>
                <w:sz w:val="16"/>
              </w:rPr>
              <w:t>新建校舍面积（平方米）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A88A">
            <w:pPr>
              <w:jc w:val="center"/>
            </w:pPr>
            <w:r>
              <w:rPr>
                <w:rFonts w:ascii="宋体" w:hAnsi="宋体" w:eastAsia="宋体"/>
                <w:sz w:val="16"/>
              </w:rPr>
              <w:t>&gt;=4740平方米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0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0D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7E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4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47C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D3E0">
            <w:pPr>
              <w:jc w:val="center"/>
            </w:pPr>
            <w:r>
              <w:rPr>
                <w:rFonts w:ascii="宋体" w:hAnsi="宋体" w:eastAsia="宋体"/>
                <w:sz w:val="16"/>
              </w:rPr>
              <w:t>=4740平方米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A6C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9BD8E">
            <w:pPr>
              <w:jc w:val="center"/>
            </w:pPr>
          </w:p>
        </w:tc>
      </w:tr>
      <w:tr w14:paraId="14753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D7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EE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AF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3504">
            <w:pPr>
              <w:jc w:val="center"/>
            </w:pPr>
            <w:r>
              <w:rPr>
                <w:rFonts w:ascii="宋体" w:hAnsi="宋体" w:eastAsia="宋体"/>
                <w:sz w:val="16"/>
              </w:rPr>
              <w:t>采购学生用品次数（次）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C2F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7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5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DD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8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204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1C9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1E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7B9DF">
            <w:pPr>
              <w:jc w:val="center"/>
            </w:pPr>
          </w:p>
        </w:tc>
      </w:tr>
      <w:tr w14:paraId="218DA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51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BA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03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01EC">
            <w:pPr>
              <w:jc w:val="center"/>
            </w:pPr>
            <w:r>
              <w:rPr>
                <w:rFonts w:ascii="宋体" w:hAnsi="宋体" w:eastAsia="宋体"/>
                <w:sz w:val="16"/>
              </w:rPr>
              <w:t>新建工程验收合格率（%）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8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C2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D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BC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CC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EC9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C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60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19EFA">
            <w:pPr>
              <w:jc w:val="center"/>
            </w:pPr>
          </w:p>
        </w:tc>
      </w:tr>
      <w:tr w14:paraId="4CCFF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F9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32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0E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E3C0">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A5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2B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6F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1A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7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ACE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5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F6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C3D11">
            <w:pPr>
              <w:jc w:val="center"/>
            </w:pPr>
          </w:p>
        </w:tc>
      </w:tr>
      <w:tr w14:paraId="41C0E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E49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718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B1A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5A53">
            <w:pPr>
              <w:jc w:val="center"/>
            </w:pPr>
            <w:r>
              <w:rPr>
                <w:rFonts w:ascii="宋体" w:hAnsi="宋体" w:eastAsia="宋体"/>
                <w:sz w:val="16"/>
              </w:rPr>
              <w:t>校舍建设成本（万元）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0760">
            <w:pPr>
              <w:jc w:val="center"/>
            </w:pPr>
            <w:r>
              <w:rPr>
                <w:rFonts w:ascii="宋体" w:hAnsi="宋体" w:eastAsia="宋体"/>
                <w:sz w:val="16"/>
              </w:rPr>
              <w:t>&lt;=1430万元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45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D9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DAF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3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17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AA7C">
            <w:pPr>
              <w:jc w:val="center"/>
            </w:pPr>
            <w:r>
              <w:rPr>
                <w:rFonts w:ascii="宋体" w:hAnsi="宋体" w:eastAsia="宋体"/>
                <w:sz w:val="16"/>
              </w:rPr>
              <w:t>=622.24万元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9D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AE84">
            <w:pPr>
              <w:jc w:val="center"/>
            </w:pPr>
            <w:r>
              <w:rPr>
                <w:rFonts w:ascii="宋体" w:hAnsi="宋体" w:eastAsia="宋体"/>
                <w:sz w:val="16"/>
              </w:rPr>
              <w:t>偏差原因：已向上级部门提交支付申请，正在走资金审批手续；改进措施：严格执行资金管理办法和财政资金管理制度，加快资金审批速度，严格按照项目工作计划及实施方案稳步支出资金。</w:t>
            </w:r>
          </w:p>
        </w:tc>
      </w:tr>
      <w:tr w14:paraId="5B775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F1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C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F1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08F9">
            <w:pPr>
              <w:jc w:val="center"/>
            </w:pPr>
            <w:r>
              <w:rPr>
                <w:rFonts w:ascii="宋体" w:hAnsi="宋体" w:eastAsia="宋体"/>
                <w:sz w:val="16"/>
              </w:rPr>
              <w:t>购买学生用品成本（万元）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5A0A">
            <w:pPr>
              <w:jc w:val="center"/>
            </w:pPr>
            <w:r>
              <w:rPr>
                <w:rFonts w:ascii="宋体" w:hAnsi="宋体" w:eastAsia="宋体"/>
                <w:sz w:val="16"/>
              </w:rPr>
              <w:t>&lt;=765万元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83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9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72C6">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88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C99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A680">
            <w:pPr>
              <w:jc w:val="center"/>
            </w:pPr>
            <w:r>
              <w:rPr>
                <w:rFonts w:ascii="宋体" w:hAnsi="宋体" w:eastAsia="宋体"/>
                <w:sz w:val="16"/>
              </w:rPr>
              <w:t>=429.2万元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21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90126">
            <w:pPr>
              <w:jc w:val="center"/>
            </w:pPr>
            <w:r>
              <w:rPr>
                <w:rFonts w:ascii="宋体" w:hAnsi="宋体" w:eastAsia="宋体"/>
                <w:sz w:val="16"/>
              </w:rPr>
              <w:t>偏差原因：已向上级部门提交支付申请，正在走资金审批手续；改进措施：严格执行资金管理办法和财政资金管理制度，加快资金审批速度，严格按照项目工作计划及实施方案稳步支出资金。</w:t>
            </w:r>
          </w:p>
        </w:tc>
      </w:tr>
      <w:tr w14:paraId="19DFD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FD1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E2A6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FF8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0148">
            <w:pPr>
              <w:jc w:val="center"/>
            </w:pPr>
            <w:r>
              <w:rPr>
                <w:rFonts w:ascii="宋体" w:hAnsi="宋体" w:eastAsia="宋体"/>
                <w:sz w:val="16"/>
              </w:rPr>
              <w:t>有效改善办学条件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4A3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7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30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F0A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2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D81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07D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623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5FB4">
            <w:pPr>
              <w:jc w:val="center"/>
            </w:pPr>
          </w:p>
        </w:tc>
      </w:tr>
      <w:tr w14:paraId="05F27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68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F6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C6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FD4E">
            <w:pPr>
              <w:jc w:val="center"/>
            </w:pPr>
            <w:r>
              <w:rPr>
                <w:rFonts w:ascii="宋体" w:hAnsi="宋体" w:eastAsia="宋体"/>
                <w:sz w:val="16"/>
              </w:rPr>
              <w:t>提高学生的生活质量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DC0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1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76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031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62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FED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C6C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307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63745">
            <w:pPr>
              <w:jc w:val="center"/>
            </w:pPr>
          </w:p>
        </w:tc>
      </w:tr>
      <w:tr w14:paraId="3D7C1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0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6E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84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90FD">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62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7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9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F3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E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A2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6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AC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13F44">
            <w:pPr>
              <w:jc w:val="center"/>
            </w:pPr>
          </w:p>
        </w:tc>
      </w:tr>
      <w:tr w14:paraId="1D8086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A02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2B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6D3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B332">
            <w:pPr>
              <w:jc w:val="center"/>
            </w:pPr>
            <w:r>
              <w:rPr>
                <w:rFonts w:ascii="宋体" w:hAnsi="宋体" w:eastAsia="宋体"/>
                <w:sz w:val="16"/>
              </w:rPr>
              <w:t>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C4BAD9"/>
        </w:tc>
      </w:tr>
    </w:tbl>
    <w:p w14:paraId="7A18EFA5">
      <w:r>
        <w:br w:type="page"/>
      </w:r>
    </w:p>
    <w:p w14:paraId="4FBEE90F">
      <w:pPr>
        <w:spacing w:line="640" w:lineRule="exact"/>
        <w:ind w:firstLine="640"/>
        <w:jc w:val="both"/>
        <w:outlineLvl w:val="2"/>
      </w:pPr>
      <w:r>
        <w:rPr>
          <w:rFonts w:ascii="黑体" w:hAnsi="黑体" w:eastAsia="黑体"/>
          <w:sz w:val="32"/>
        </w:rPr>
        <w:t>十二、其他需说明的事项</w:t>
      </w:r>
    </w:p>
    <w:p w14:paraId="4AAC0A44">
      <w:pPr>
        <w:spacing w:line="580" w:lineRule="exact"/>
        <w:ind w:firstLine="640"/>
        <w:jc w:val="both"/>
      </w:pPr>
      <w:r>
        <w:rPr>
          <w:rFonts w:ascii="仿宋_GB2312" w:hAnsi="仿宋_GB2312" w:eastAsia="仿宋_GB2312"/>
          <w:b w:val="0"/>
          <w:sz w:val="32"/>
        </w:rPr>
        <w:t>本单位无其他需说明的事项。</w:t>
      </w:r>
    </w:p>
    <w:p w14:paraId="0B8B96C6">
      <w:r>
        <w:br w:type="page"/>
      </w:r>
    </w:p>
    <w:p w14:paraId="6FA49F35">
      <w:pPr>
        <w:spacing w:line="240" w:lineRule="auto"/>
        <w:jc w:val="center"/>
        <w:outlineLvl w:val="1"/>
      </w:pPr>
      <w:r>
        <w:rPr>
          <w:rFonts w:ascii="黑体" w:hAnsi="黑体" w:eastAsia="黑体"/>
          <w:sz w:val="32"/>
        </w:rPr>
        <w:t>第三部分 专业名词解释</w:t>
      </w:r>
    </w:p>
    <w:p w14:paraId="2FFD8B2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F0D60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57768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2942C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22C26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D8B61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5A7B8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80D47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D0DDF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A63B0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0820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309C9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E9F20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1432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43D5371">
      <w:r>
        <w:br w:type="page"/>
      </w:r>
    </w:p>
    <w:p w14:paraId="0DBA933F">
      <w:pPr>
        <w:spacing w:line="240" w:lineRule="auto"/>
        <w:jc w:val="center"/>
        <w:outlineLvl w:val="1"/>
      </w:pPr>
      <w:r>
        <w:rPr>
          <w:rFonts w:ascii="黑体" w:hAnsi="黑体" w:eastAsia="黑体"/>
          <w:sz w:val="32"/>
        </w:rPr>
        <w:t>第四部分 部门决算报表（见附表）</w:t>
      </w:r>
    </w:p>
    <w:p w14:paraId="72508D4A">
      <w:pPr>
        <w:spacing w:line="240" w:lineRule="auto"/>
        <w:ind w:firstLine="640"/>
        <w:jc w:val="both"/>
      </w:pPr>
      <w:r>
        <w:rPr>
          <w:rFonts w:ascii="仿宋_GB2312" w:hAnsi="仿宋_GB2312" w:eastAsia="仿宋_GB2312"/>
          <w:b w:val="0"/>
          <w:sz w:val="32"/>
        </w:rPr>
        <w:t>一、《收入支出决算总表》</w:t>
      </w:r>
    </w:p>
    <w:p w14:paraId="089D0FC2">
      <w:pPr>
        <w:spacing w:line="240" w:lineRule="auto"/>
        <w:ind w:firstLine="640"/>
        <w:jc w:val="both"/>
      </w:pPr>
      <w:r>
        <w:rPr>
          <w:rFonts w:ascii="仿宋_GB2312" w:hAnsi="仿宋_GB2312" w:eastAsia="仿宋_GB2312"/>
          <w:b w:val="0"/>
          <w:sz w:val="32"/>
        </w:rPr>
        <w:t>二、《收入决算表》</w:t>
      </w:r>
    </w:p>
    <w:p w14:paraId="0E82EF76">
      <w:pPr>
        <w:spacing w:line="240" w:lineRule="auto"/>
        <w:ind w:firstLine="640"/>
        <w:jc w:val="both"/>
      </w:pPr>
      <w:r>
        <w:rPr>
          <w:rFonts w:ascii="仿宋_GB2312" w:hAnsi="仿宋_GB2312" w:eastAsia="仿宋_GB2312"/>
          <w:b w:val="0"/>
          <w:sz w:val="32"/>
        </w:rPr>
        <w:t>三、《支出决算表》</w:t>
      </w:r>
    </w:p>
    <w:p w14:paraId="18EE82FE">
      <w:pPr>
        <w:spacing w:line="240" w:lineRule="auto"/>
        <w:ind w:firstLine="640"/>
        <w:jc w:val="both"/>
      </w:pPr>
      <w:r>
        <w:rPr>
          <w:rFonts w:ascii="仿宋_GB2312" w:hAnsi="仿宋_GB2312" w:eastAsia="仿宋_GB2312"/>
          <w:b w:val="0"/>
          <w:sz w:val="32"/>
        </w:rPr>
        <w:t>四、《财政拨款收入支出决算总表》</w:t>
      </w:r>
    </w:p>
    <w:p w14:paraId="09D20504">
      <w:pPr>
        <w:spacing w:line="240" w:lineRule="auto"/>
        <w:ind w:firstLine="640"/>
        <w:jc w:val="both"/>
      </w:pPr>
      <w:r>
        <w:rPr>
          <w:rFonts w:ascii="仿宋_GB2312" w:hAnsi="仿宋_GB2312" w:eastAsia="仿宋_GB2312"/>
          <w:b w:val="0"/>
          <w:sz w:val="32"/>
        </w:rPr>
        <w:t>五、《一般公共预算财政拨款支出决算表》</w:t>
      </w:r>
    </w:p>
    <w:p w14:paraId="29C2157B">
      <w:pPr>
        <w:spacing w:line="240" w:lineRule="auto"/>
        <w:ind w:firstLine="640"/>
        <w:jc w:val="both"/>
      </w:pPr>
      <w:r>
        <w:rPr>
          <w:rFonts w:ascii="仿宋_GB2312" w:hAnsi="仿宋_GB2312" w:eastAsia="仿宋_GB2312"/>
          <w:b w:val="0"/>
          <w:sz w:val="32"/>
        </w:rPr>
        <w:t>六、《一般公共预算财政拨款基本支出决算表》</w:t>
      </w:r>
    </w:p>
    <w:p w14:paraId="14B76169">
      <w:pPr>
        <w:spacing w:line="240" w:lineRule="auto"/>
        <w:ind w:firstLine="640"/>
        <w:jc w:val="both"/>
      </w:pPr>
      <w:r>
        <w:rPr>
          <w:rFonts w:ascii="仿宋_GB2312" w:hAnsi="仿宋_GB2312" w:eastAsia="仿宋_GB2312"/>
          <w:b w:val="0"/>
          <w:sz w:val="32"/>
        </w:rPr>
        <w:t>七、《政府性基金预算财政拨款收入支出决算表》</w:t>
      </w:r>
    </w:p>
    <w:p w14:paraId="32D50591">
      <w:pPr>
        <w:spacing w:line="240" w:lineRule="auto"/>
        <w:ind w:firstLine="640"/>
        <w:jc w:val="both"/>
      </w:pPr>
      <w:r>
        <w:rPr>
          <w:rFonts w:ascii="仿宋_GB2312" w:hAnsi="仿宋_GB2312" w:eastAsia="仿宋_GB2312"/>
          <w:b w:val="0"/>
          <w:sz w:val="32"/>
        </w:rPr>
        <w:t>八、《国有资本经营预算财政拨款收入支出决算表》</w:t>
      </w:r>
    </w:p>
    <w:p w14:paraId="45032A1D">
      <w:pPr>
        <w:spacing w:line="240" w:lineRule="auto"/>
        <w:ind w:firstLine="640"/>
        <w:jc w:val="both"/>
      </w:pPr>
      <w:r>
        <w:rPr>
          <w:rFonts w:ascii="仿宋_GB2312" w:hAnsi="仿宋_GB2312" w:eastAsia="仿宋_GB2312"/>
          <w:b w:val="0"/>
          <w:sz w:val="32"/>
        </w:rPr>
        <w:t>九、《财政拨款“三公”经费支出决算表》</w:t>
      </w:r>
    </w:p>
    <w:p w14:paraId="3CB2B62B">
      <w:pPr>
        <w:spacing w:line="240" w:lineRule="auto"/>
        <w:ind w:firstLine="640"/>
        <w:jc w:val="both"/>
      </w:pPr>
    </w:p>
    <w:p w14:paraId="08EE1A9D">
      <w:pPr>
        <w:spacing w:line="240" w:lineRule="auto"/>
        <w:ind w:firstLine="640"/>
        <w:jc w:val="both"/>
      </w:pPr>
    </w:p>
    <w:p w14:paraId="2EBFBF21">
      <w:pPr>
        <w:spacing w:line="240" w:lineRule="auto"/>
        <w:ind w:firstLine="640"/>
        <w:jc w:val="both"/>
      </w:pPr>
    </w:p>
    <w:p w14:paraId="0DA370BD">
      <w:pPr>
        <w:spacing w:line="240" w:lineRule="auto"/>
        <w:ind w:firstLine="640"/>
        <w:jc w:val="both"/>
      </w:pPr>
    </w:p>
    <w:p w14:paraId="2167FFB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D09A43-7D16-44E4-8A85-15C3E4656F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D78E5B8-86F3-42DD-98F0-04911A004467}"/>
  </w:font>
  <w:font w:name="仿宋_GB2312">
    <w:altName w:val="仿宋"/>
    <w:panose1 w:val="02010609030101010101"/>
    <w:charset w:val="86"/>
    <w:family w:val="modern"/>
    <w:pitch w:val="default"/>
    <w:sig w:usb0="00000000" w:usb1="00000000" w:usb2="00000000" w:usb3="00000000" w:csb0="00040000" w:csb1="00000000"/>
    <w:embedRegular r:id="rId3" w:fontKey="{244B0C47-E3C0-4ADA-B027-16E3EABD523E}"/>
  </w:font>
  <w:font w:name="楷体_GB2312">
    <w:altName w:val="楷体"/>
    <w:panose1 w:val="02010609030101010101"/>
    <w:charset w:val="86"/>
    <w:family w:val="auto"/>
    <w:pitch w:val="default"/>
    <w:sig w:usb0="00000000" w:usb1="00000000" w:usb2="00000000" w:usb3="00000000" w:csb0="00040000" w:csb1="00000000"/>
    <w:embedRegular r:id="rId4" w:fontKey="{6D8990F8-4138-4FAB-98DD-1F05B32D94F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A73AB0"/>
    <w:rsid w:val="6CA7198F"/>
    <w:rsid w:val="6D8919A8"/>
    <w:rsid w:val="6E0F7A08"/>
    <w:rsid w:val="6E801ABC"/>
    <w:rsid w:val="71473612"/>
    <w:rsid w:val="718F7F65"/>
    <w:rsid w:val="73423603"/>
    <w:rsid w:val="737A5923"/>
    <w:rsid w:val="73DE4104"/>
    <w:rsid w:val="73FB6630"/>
    <w:rsid w:val="74A70831"/>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5865</Words>
  <Characters>6765</Characters>
  <Lines>0</Lines>
  <Paragraphs>0</Paragraphs>
  <TotalTime>8</TotalTime>
  <ScaleCrop>false</ScaleCrop>
  <LinksUpToDate>false</LinksUpToDate>
  <CharactersWithSpaces>6773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