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95697D">
      <w:r>
        <w:br w:type="page"/>
      </w:r>
    </w:p>
    <w:p w14:paraId="45BB8B73">
      <w:pPr>
        <w:spacing w:line="640" w:lineRule="exact"/>
        <w:jc w:val="center"/>
        <w:outlineLvl w:val="1"/>
      </w:pPr>
      <w:r>
        <w:rPr>
          <w:rFonts w:ascii="黑体" w:hAnsi="黑体" w:eastAsia="黑体"/>
          <w:sz w:val="32"/>
        </w:rPr>
        <w:t>第一部分 单位概况</w:t>
      </w:r>
    </w:p>
    <w:p w14:paraId="4F0197DD">
      <w:pPr>
        <w:spacing w:line="640" w:lineRule="exact"/>
        <w:ind w:firstLine="640"/>
        <w:jc w:val="both"/>
        <w:outlineLvl w:val="2"/>
      </w:pPr>
      <w:r>
        <w:rPr>
          <w:rFonts w:ascii="黑体" w:hAnsi="黑体" w:eastAsia="黑体"/>
          <w:sz w:val="32"/>
        </w:rPr>
        <w:t>一、主要职能</w:t>
      </w:r>
    </w:p>
    <w:p w14:paraId="2AF31E5F">
      <w:pPr>
        <w:spacing w:line="580" w:lineRule="exact"/>
        <w:ind w:firstLine="640"/>
        <w:jc w:val="both"/>
      </w:pPr>
      <w:r>
        <w:rPr>
          <w:rFonts w:ascii="仿宋_GB2312" w:hAnsi="仿宋_GB2312" w:eastAsia="仿宋_GB2312"/>
          <w:sz w:val="32"/>
        </w:rPr>
        <w:t>（1）全面贯彻落实党的各项方针政策。</w:t>
      </w:r>
    </w:p>
    <w:p w14:paraId="335CF112">
      <w:pPr>
        <w:spacing w:line="580" w:lineRule="exact"/>
        <w:ind w:firstLine="640"/>
        <w:jc w:val="both"/>
      </w:pPr>
      <w:r>
        <w:rPr>
          <w:rFonts w:ascii="仿宋_GB2312" w:hAnsi="仿宋_GB2312" w:eastAsia="仿宋_GB2312"/>
          <w:sz w:val="32"/>
        </w:rPr>
        <w:t>（2）承担初级、中级技工培养任务，开展劳动者终身职业培训，对受教育者进行国家通用语言、思想政治教育和职业道德教育等，全面提高受教育者的素质。</w:t>
      </w:r>
    </w:p>
    <w:p w14:paraId="569F3257">
      <w:pPr>
        <w:spacing w:line="580" w:lineRule="exact"/>
        <w:ind w:firstLine="640"/>
        <w:jc w:val="both"/>
      </w:pPr>
      <w:r>
        <w:rPr>
          <w:rFonts w:ascii="仿宋_GB2312" w:hAnsi="仿宋_GB2312" w:eastAsia="仿宋_GB2312"/>
          <w:sz w:val="32"/>
        </w:rPr>
        <w:t>（3）承担职业培训、企业新型学徒制培养、就业创业指导、技师研修、技术攻关与交流、人才评价、技能竞赛、脱贫攻坚、国家交流合作等任务。</w:t>
      </w:r>
    </w:p>
    <w:p w14:paraId="07720220">
      <w:pPr>
        <w:spacing w:line="580" w:lineRule="exact"/>
        <w:ind w:firstLine="640"/>
        <w:jc w:val="both"/>
      </w:pPr>
      <w:r>
        <w:rPr>
          <w:rFonts w:ascii="仿宋_GB2312" w:hAnsi="仿宋_GB2312" w:eastAsia="仿宋_GB2312"/>
          <w:sz w:val="32"/>
        </w:rPr>
        <w:t>（4）承担未继续升学的初高中毕业生学制型职业教育。</w:t>
      </w:r>
    </w:p>
    <w:p w14:paraId="0079B852">
      <w:pPr>
        <w:spacing w:line="580" w:lineRule="exact"/>
        <w:ind w:firstLine="640"/>
        <w:jc w:val="both"/>
      </w:pPr>
      <w:r>
        <w:rPr>
          <w:rFonts w:ascii="仿宋_GB2312" w:hAnsi="仿宋_GB2312" w:eastAsia="仿宋_GB2312"/>
          <w:sz w:val="32"/>
        </w:rPr>
        <w:t>（5）承担农牧民群众技能技术培训，大力开展劳动预备制培训、企业职工培训、农村转移就业劳动者培训和农村实用人才培训。</w:t>
      </w:r>
    </w:p>
    <w:p w14:paraId="690FCE10">
      <w:pPr>
        <w:spacing w:line="580" w:lineRule="exact"/>
        <w:ind w:firstLine="640"/>
        <w:jc w:val="both"/>
      </w:pPr>
      <w:r>
        <w:rPr>
          <w:rFonts w:ascii="仿宋_GB2312" w:hAnsi="仿宋_GB2312" w:eastAsia="仿宋_GB2312"/>
          <w:sz w:val="32"/>
        </w:rPr>
        <w:t>（6）按照</w:t>
      </w:r>
      <w:r>
        <w:rPr>
          <w:rFonts w:hint="eastAsia" w:ascii="仿宋_GB2312" w:hAnsi="仿宋_GB2312" w:eastAsia="仿宋_GB2312"/>
          <w:sz w:val="32"/>
          <w:lang w:eastAsia="zh-CN"/>
        </w:rPr>
        <w:t>产</w:t>
      </w:r>
      <w:r>
        <w:rPr>
          <w:rFonts w:ascii="仿宋_GB2312" w:hAnsi="仿宋_GB2312" w:eastAsia="仿宋_GB2312"/>
          <w:sz w:val="32"/>
        </w:rPr>
        <w:t>教融合、校企合作、顶岗实习的人才培养模式，传授职业知识，培养职业技能，进行职业指导，开展就业服务。</w:t>
      </w:r>
    </w:p>
    <w:p w14:paraId="6166CDF0">
      <w:pPr>
        <w:spacing w:line="580" w:lineRule="exact"/>
        <w:ind w:firstLine="640"/>
        <w:jc w:val="both"/>
      </w:pPr>
      <w:r>
        <w:rPr>
          <w:rFonts w:ascii="仿宋_GB2312" w:hAnsi="仿宋_GB2312" w:eastAsia="仿宋_GB2312"/>
          <w:sz w:val="32"/>
        </w:rPr>
        <w:t>（7）完成县委、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交办的其他各项工作任务。</w:t>
      </w:r>
    </w:p>
    <w:p w14:paraId="52237C92">
      <w:pPr>
        <w:spacing w:line="640" w:lineRule="exact"/>
        <w:ind w:firstLine="640"/>
        <w:jc w:val="both"/>
        <w:outlineLvl w:val="2"/>
      </w:pPr>
      <w:r>
        <w:rPr>
          <w:rFonts w:ascii="黑体" w:hAnsi="黑体" w:eastAsia="黑体"/>
          <w:sz w:val="32"/>
        </w:rPr>
        <w:t>二、机构设置及人员情况</w:t>
      </w:r>
    </w:p>
    <w:p w14:paraId="1E586CF9">
      <w:pPr>
        <w:spacing w:line="580" w:lineRule="exact"/>
        <w:ind w:firstLine="640"/>
        <w:jc w:val="both"/>
      </w:pPr>
      <w:r>
        <w:rPr>
          <w:rFonts w:ascii="仿宋_GB2312" w:hAnsi="仿宋_GB2312" w:eastAsia="仿宋_GB2312"/>
          <w:sz w:val="32"/>
        </w:rPr>
        <w:t>阿克陶县技工学校2024年度，实有人数27人，其中：在职人员27人，增加3人；离休人员0人，增加0人；退休人员0人,增加0人。</w:t>
      </w:r>
    </w:p>
    <w:p w14:paraId="1734AADC">
      <w:pPr>
        <w:spacing w:line="580" w:lineRule="exact"/>
        <w:ind w:firstLine="640"/>
        <w:jc w:val="both"/>
      </w:pPr>
      <w:r>
        <w:rPr>
          <w:rFonts w:ascii="仿宋_GB2312" w:hAnsi="仿宋_GB2312" w:eastAsia="仿宋_GB2312"/>
          <w:sz w:val="32"/>
        </w:rPr>
        <w:t>阿克陶县技工学校无下属预算单位，下设7个科室，分别是：学生科、综合办公室、后勤科、财务室、认定科、教务科、医务室。</w:t>
      </w:r>
    </w:p>
    <w:p w14:paraId="3A14D0F3">
      <w:r>
        <w:br w:type="page"/>
      </w:r>
    </w:p>
    <w:p w14:paraId="72587426">
      <w:pPr>
        <w:spacing w:line="240" w:lineRule="auto"/>
        <w:jc w:val="center"/>
        <w:outlineLvl w:val="1"/>
      </w:pPr>
      <w:r>
        <w:rPr>
          <w:rFonts w:ascii="黑体" w:hAnsi="黑体" w:eastAsia="黑体"/>
          <w:sz w:val="32"/>
        </w:rPr>
        <w:t>第二部分 部门决算情况说明</w:t>
      </w:r>
    </w:p>
    <w:p w14:paraId="5D0999FE">
      <w:pPr>
        <w:spacing w:line="640" w:lineRule="exact"/>
        <w:ind w:firstLine="640"/>
        <w:jc w:val="both"/>
        <w:outlineLvl w:val="2"/>
      </w:pPr>
      <w:r>
        <w:rPr>
          <w:rFonts w:ascii="黑体" w:hAnsi="黑体" w:eastAsia="黑体"/>
          <w:sz w:val="32"/>
        </w:rPr>
        <w:t>一、收入支出决算总体情况说明</w:t>
      </w:r>
    </w:p>
    <w:p w14:paraId="16C78AB0">
      <w:pPr>
        <w:spacing w:line="580" w:lineRule="exact"/>
        <w:ind w:firstLine="640"/>
        <w:jc w:val="both"/>
      </w:pPr>
      <w:r>
        <w:rPr>
          <w:rFonts w:ascii="仿宋_GB2312" w:hAnsi="仿宋_GB2312" w:eastAsia="仿宋_GB2312"/>
          <w:b/>
          <w:sz w:val="32"/>
        </w:rPr>
        <w:t>2024年度收入总计2,584.31万元，</w:t>
      </w:r>
      <w:r>
        <w:rPr>
          <w:rFonts w:ascii="仿宋_GB2312" w:hAnsi="仿宋_GB2312" w:eastAsia="仿宋_GB2312"/>
          <w:b w:val="0"/>
          <w:sz w:val="32"/>
        </w:rPr>
        <w:t>其中：本年收入合计2,207.30万元，使用非财政拨款结余（含专用结余）0.00万元，年初结转和结余377.01万元。</w:t>
      </w:r>
    </w:p>
    <w:p w14:paraId="79BF15BB">
      <w:pPr>
        <w:spacing w:line="580" w:lineRule="exact"/>
        <w:ind w:firstLine="640"/>
        <w:jc w:val="both"/>
      </w:pPr>
      <w:r>
        <w:rPr>
          <w:rFonts w:ascii="仿宋_GB2312" w:hAnsi="仿宋_GB2312" w:eastAsia="仿宋_GB2312"/>
          <w:b/>
          <w:sz w:val="32"/>
        </w:rPr>
        <w:t>2024年度支出总计2,584.31万元，</w:t>
      </w:r>
      <w:r>
        <w:rPr>
          <w:rFonts w:ascii="仿宋_GB2312" w:hAnsi="仿宋_GB2312" w:eastAsia="仿宋_GB2312"/>
          <w:b w:val="0"/>
          <w:sz w:val="32"/>
        </w:rPr>
        <w:t>其中：本年支出合计1,600.08万元，结余分配0.00万元，年末结转和结余984.23万元。</w:t>
      </w:r>
    </w:p>
    <w:p w14:paraId="50EAAC97">
      <w:pPr>
        <w:spacing w:line="580" w:lineRule="exact"/>
        <w:ind w:firstLine="640"/>
        <w:jc w:val="both"/>
      </w:pPr>
      <w:r>
        <w:rPr>
          <w:rFonts w:ascii="仿宋_GB2312" w:hAnsi="仿宋_GB2312" w:eastAsia="仿宋_GB2312"/>
          <w:b w:val="0"/>
          <w:sz w:val="32"/>
        </w:rPr>
        <w:t>收入支出总体与上年相比，增加302.75万元，增长13.27%，主要原因是：本年度职业技能培训和职业技能鉴定费增加，导致经费较上年增加。</w:t>
      </w:r>
    </w:p>
    <w:p w14:paraId="1FDC04C8">
      <w:pPr>
        <w:spacing w:line="640" w:lineRule="exact"/>
        <w:ind w:firstLine="640"/>
        <w:jc w:val="both"/>
        <w:outlineLvl w:val="2"/>
      </w:pPr>
      <w:r>
        <w:rPr>
          <w:rFonts w:ascii="黑体" w:hAnsi="黑体" w:eastAsia="黑体"/>
          <w:sz w:val="32"/>
        </w:rPr>
        <w:t>二、收入决算情况说明</w:t>
      </w:r>
    </w:p>
    <w:p w14:paraId="05694930">
      <w:pPr>
        <w:spacing w:line="580" w:lineRule="exact"/>
        <w:ind w:firstLine="640"/>
        <w:jc w:val="both"/>
      </w:pPr>
      <w:r>
        <w:rPr>
          <w:rFonts w:ascii="仿宋_GB2312" w:hAnsi="仿宋_GB2312" w:eastAsia="仿宋_GB2312"/>
          <w:b/>
          <w:sz w:val="32"/>
        </w:rPr>
        <w:t>本年收入2,207.30万元，</w:t>
      </w:r>
      <w:r>
        <w:rPr>
          <w:rFonts w:ascii="仿宋_GB2312" w:hAnsi="仿宋_GB2312" w:eastAsia="仿宋_GB2312"/>
          <w:b w:val="0"/>
          <w:sz w:val="32"/>
        </w:rPr>
        <w:t>其中：财政拨款收入813.37万元，占36.85%；上级补助收入0.00万元，占0.00%；事业收入0.00万元，占0.00%；经营收入0.00万元，占0.00%；附属单位上缴收入0.00万元，占0.00%；其他收入1,393.93万元，占63.15%。</w:t>
      </w:r>
    </w:p>
    <w:p w14:paraId="301272D1">
      <w:pPr>
        <w:spacing w:line="640" w:lineRule="exact"/>
        <w:ind w:firstLine="640"/>
        <w:jc w:val="both"/>
        <w:outlineLvl w:val="2"/>
      </w:pPr>
      <w:r>
        <w:rPr>
          <w:rFonts w:ascii="黑体" w:hAnsi="黑体" w:eastAsia="黑体"/>
          <w:sz w:val="32"/>
        </w:rPr>
        <w:t>三、支出决算情况说明</w:t>
      </w:r>
    </w:p>
    <w:p w14:paraId="6A97DEF4">
      <w:pPr>
        <w:spacing w:line="580" w:lineRule="exact"/>
        <w:ind w:firstLine="640"/>
        <w:jc w:val="both"/>
      </w:pPr>
      <w:r>
        <w:rPr>
          <w:rFonts w:ascii="仿宋_GB2312" w:hAnsi="仿宋_GB2312" w:eastAsia="仿宋_GB2312"/>
          <w:b/>
          <w:sz w:val="32"/>
        </w:rPr>
        <w:t>本年支出1,600.08万元，</w:t>
      </w:r>
      <w:r>
        <w:rPr>
          <w:rFonts w:ascii="仿宋_GB2312" w:hAnsi="仿宋_GB2312" w:eastAsia="仿宋_GB2312"/>
          <w:b w:val="0"/>
          <w:sz w:val="32"/>
        </w:rPr>
        <w:t>其中：基本支出557.61万元，占34.85%；项目支出1,042.46万元，占65.15%；上缴上级支出0.00万元，占0.00%；经营支出0.00万元，占0.00%；对附属单位补助支出0.00万元，占0.00%。</w:t>
      </w:r>
    </w:p>
    <w:p w14:paraId="128DC18C">
      <w:pPr>
        <w:spacing w:line="640" w:lineRule="exact"/>
        <w:ind w:firstLine="640"/>
        <w:jc w:val="both"/>
        <w:outlineLvl w:val="2"/>
      </w:pPr>
      <w:r>
        <w:rPr>
          <w:rFonts w:ascii="黑体" w:hAnsi="黑体" w:eastAsia="黑体"/>
          <w:sz w:val="32"/>
        </w:rPr>
        <w:t>四、财政拨款收入支出决算总体情况说明</w:t>
      </w:r>
    </w:p>
    <w:p w14:paraId="6B0A0B1E">
      <w:pPr>
        <w:spacing w:line="580" w:lineRule="exact"/>
        <w:ind w:firstLine="640"/>
        <w:jc w:val="both"/>
      </w:pPr>
      <w:r>
        <w:rPr>
          <w:rFonts w:ascii="仿宋_GB2312" w:hAnsi="仿宋_GB2312" w:eastAsia="仿宋_GB2312"/>
          <w:b/>
          <w:sz w:val="32"/>
        </w:rPr>
        <w:t>2024年度财政拨款收入总计813.37万元，</w:t>
      </w:r>
      <w:r>
        <w:rPr>
          <w:rFonts w:ascii="仿宋_GB2312" w:hAnsi="仿宋_GB2312" w:eastAsia="仿宋_GB2312"/>
          <w:b w:val="0"/>
          <w:sz w:val="32"/>
        </w:rPr>
        <w:t>其中：年初财政拨款结转和结余0.00万元，本年财政拨款收入813.37万元。</w:t>
      </w:r>
      <w:r>
        <w:rPr>
          <w:rFonts w:ascii="仿宋_GB2312" w:hAnsi="仿宋_GB2312" w:eastAsia="仿宋_GB2312"/>
          <w:b/>
          <w:sz w:val="32"/>
        </w:rPr>
        <w:t>财政拨款支出总计813.37万元，</w:t>
      </w:r>
      <w:r>
        <w:rPr>
          <w:rFonts w:ascii="仿宋_GB2312" w:hAnsi="仿宋_GB2312" w:eastAsia="仿宋_GB2312"/>
          <w:b w:val="0"/>
          <w:sz w:val="32"/>
        </w:rPr>
        <w:t>其中：年末财政拨款结转和结余0.00万元，本年财政拨款支出813.37万元。</w:t>
      </w:r>
    </w:p>
    <w:p w14:paraId="3EC7E28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减少159.74万元，下降16.42%，主要原因是：本年度学年制学生减少，导致三免一补项目资金减少，减少就业补助项目</w:t>
      </w:r>
      <w:r>
        <w:rPr>
          <w:rFonts w:hint="eastAsia" w:ascii="仿宋_GB2312" w:hAnsi="仿宋_GB2312" w:eastAsia="仿宋_GB2312"/>
          <w:b w:val="0"/>
          <w:sz w:val="32"/>
          <w:lang w:eastAsia="zh-CN"/>
        </w:rPr>
        <w:t>、</w:t>
      </w:r>
      <w:r>
        <w:rPr>
          <w:rFonts w:ascii="仿宋_GB2312" w:hAnsi="仿宋_GB2312" w:eastAsia="仿宋_GB2312"/>
          <w:b w:val="0"/>
          <w:sz w:val="32"/>
        </w:rPr>
        <w:t>阿克陶县技工学校实训基地开垦费项目，减少技工学校实训基地耕地开垦费，导致经费较上年减少。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年初预算数599.67万元，决算数813.37万元，预决算差异率35.64%，主要原因是：年中追加三免一补项目资金，导致预决算存在差异。</w:t>
      </w:r>
    </w:p>
    <w:p w14:paraId="219BB1BF">
      <w:pPr>
        <w:spacing w:line="640" w:lineRule="exact"/>
        <w:ind w:firstLine="640"/>
        <w:jc w:val="both"/>
        <w:outlineLvl w:val="2"/>
      </w:pPr>
      <w:r>
        <w:rPr>
          <w:rFonts w:ascii="黑体" w:hAnsi="黑体" w:eastAsia="黑体"/>
          <w:sz w:val="32"/>
        </w:rPr>
        <w:t>五、一般公共预算财政拨款支出决算情况说明</w:t>
      </w:r>
    </w:p>
    <w:p w14:paraId="33A35484">
      <w:pPr>
        <w:spacing w:line="640" w:lineRule="exact"/>
        <w:ind w:firstLine="640"/>
        <w:jc w:val="both"/>
        <w:outlineLvl w:val="3"/>
      </w:pPr>
      <w:r>
        <w:rPr>
          <w:rFonts w:ascii="楷体_GB2312" w:hAnsi="楷体_GB2312" w:eastAsia="楷体_GB2312"/>
          <w:b/>
          <w:sz w:val="32"/>
        </w:rPr>
        <w:t>（一）一般公共预算财政拨款支出决算总体情况</w:t>
      </w:r>
    </w:p>
    <w:p w14:paraId="5785894B">
      <w:pPr>
        <w:spacing w:line="580" w:lineRule="exact"/>
        <w:ind w:firstLine="640"/>
        <w:jc w:val="both"/>
      </w:pPr>
      <w:r>
        <w:rPr>
          <w:rFonts w:ascii="仿宋_GB2312" w:hAnsi="仿宋_GB2312" w:eastAsia="仿宋_GB2312"/>
          <w:b/>
          <w:sz w:val="32"/>
        </w:rPr>
        <w:t>2024年度一般公共预算财政拨款支出813.37万元，</w:t>
      </w:r>
      <w:r>
        <w:rPr>
          <w:rFonts w:ascii="仿宋_GB2312" w:hAnsi="仿宋_GB2312" w:eastAsia="仿宋_GB2312"/>
          <w:b w:val="0"/>
          <w:sz w:val="32"/>
        </w:rPr>
        <w:t>占本年支出合计的50.83%。</w:t>
      </w:r>
      <w:r>
        <w:rPr>
          <w:rFonts w:ascii="仿宋_GB2312" w:hAnsi="仿宋_GB2312" w:eastAsia="仿宋_GB2312"/>
          <w:b/>
          <w:sz w:val="32"/>
        </w:rPr>
        <w:t>与上年相比，</w:t>
      </w:r>
      <w:r>
        <w:rPr>
          <w:rFonts w:ascii="仿宋_GB2312" w:hAnsi="仿宋_GB2312" w:eastAsia="仿宋_GB2312"/>
          <w:b w:val="0"/>
          <w:sz w:val="32"/>
        </w:rPr>
        <w:t>减少112.30万元，下降12.13%，主要原因是：本年度学年制学生减少，导致三免一补项目资金减少，减少就业补助项目，导致经费较上年减少。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年初预算数599.67万元，决算数813.37万元，预决算差异率35.64%，主要原因是：年中追加三免一补项目资金，导致预决算存在差异。</w:t>
      </w:r>
    </w:p>
    <w:p w14:paraId="26F4A57B">
      <w:pPr>
        <w:spacing w:line="640" w:lineRule="exact"/>
        <w:ind w:firstLine="640"/>
        <w:jc w:val="both"/>
        <w:outlineLvl w:val="3"/>
      </w:pPr>
      <w:r>
        <w:rPr>
          <w:rFonts w:ascii="楷体_GB2312" w:hAnsi="楷体_GB2312" w:eastAsia="楷体_GB2312"/>
          <w:b/>
          <w:sz w:val="32"/>
        </w:rPr>
        <w:t>（二）一般公共预算财政拨款支出决算结构情况</w:t>
      </w:r>
    </w:p>
    <w:p w14:paraId="518B19D4">
      <w:pPr>
        <w:spacing w:line="580" w:lineRule="exact"/>
        <w:ind w:firstLine="640"/>
        <w:jc w:val="both"/>
      </w:pPr>
      <w:r>
        <w:rPr>
          <w:rFonts w:ascii="仿宋_GB2312" w:hAnsi="仿宋_GB2312" w:eastAsia="仿宋_GB2312"/>
          <w:b w:val="0"/>
          <w:sz w:val="32"/>
        </w:rPr>
        <w:t>1.教育支出(类)803.27万元,占98.76%。</w:t>
      </w:r>
    </w:p>
    <w:p w14:paraId="05CA0FEB">
      <w:pPr>
        <w:spacing w:line="580" w:lineRule="exact"/>
        <w:ind w:firstLine="640"/>
        <w:jc w:val="both"/>
      </w:pPr>
      <w:r>
        <w:rPr>
          <w:rFonts w:ascii="仿宋_GB2312" w:hAnsi="仿宋_GB2312" w:eastAsia="仿宋_GB2312"/>
          <w:b w:val="0"/>
          <w:sz w:val="32"/>
        </w:rPr>
        <w:t>2.社会保障和就业支出(类)10.10万元,占1.24%。</w:t>
      </w:r>
    </w:p>
    <w:p w14:paraId="23C2C7E2">
      <w:pPr>
        <w:spacing w:line="640" w:lineRule="exact"/>
        <w:ind w:firstLine="640"/>
        <w:jc w:val="both"/>
        <w:outlineLvl w:val="3"/>
      </w:pPr>
      <w:r>
        <w:rPr>
          <w:rFonts w:ascii="楷体_GB2312" w:hAnsi="楷体_GB2312" w:eastAsia="楷体_GB2312"/>
          <w:b/>
          <w:sz w:val="32"/>
        </w:rPr>
        <w:t>（三）一般公共预算财政拨款支出决算具体情况</w:t>
      </w:r>
    </w:p>
    <w:p w14:paraId="1EB14036">
      <w:pPr>
        <w:spacing w:line="580" w:lineRule="exact"/>
        <w:ind w:firstLine="640"/>
        <w:jc w:val="both"/>
      </w:pPr>
      <w:r>
        <w:rPr>
          <w:rFonts w:ascii="仿宋_GB2312" w:hAnsi="仿宋_GB2312" w:eastAsia="仿宋_GB2312"/>
          <w:b w:val="0"/>
          <w:sz w:val="32"/>
        </w:rPr>
        <w:t>1.教育支出(类)职业教育(款)技校教育(项):支出决算数为803.27万元，比上年决算减少7.86万元，下降0.97%,主要原因是：本年度学年制学生减少，导致三免一补项目资金减少，导致经费较上年减少。</w:t>
      </w:r>
    </w:p>
    <w:p w14:paraId="7870EE0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48.24万元，下降100.00%,主要原因是：本年功能科目调整，养老保险缴费上年度单独列支，本年调整至主科目列支，导致经费较上年减少。</w:t>
      </w:r>
    </w:p>
    <w:p w14:paraId="3922BE1E">
      <w:pPr>
        <w:spacing w:line="580" w:lineRule="exact"/>
        <w:ind w:firstLine="640"/>
        <w:jc w:val="both"/>
      </w:pPr>
      <w:r>
        <w:rPr>
          <w:rFonts w:ascii="仿宋_GB2312" w:hAnsi="仿宋_GB2312" w:eastAsia="仿宋_GB2312"/>
          <w:b w:val="0"/>
          <w:sz w:val="32"/>
        </w:rPr>
        <w:t>3.社会保障和就业支出(类)就业补助(款)就业创业服务补贴(项):支出决算数为0.10万元，比上年决算减少66.20万元，下降99.85%,主要原因是：本年减少就业补助项目，导致经费较上年减少。</w:t>
      </w:r>
    </w:p>
    <w:p w14:paraId="6959D90B">
      <w:pPr>
        <w:spacing w:line="580" w:lineRule="exact"/>
        <w:ind w:firstLine="640"/>
        <w:jc w:val="both"/>
      </w:pPr>
      <w:r>
        <w:rPr>
          <w:rFonts w:ascii="仿宋_GB2312" w:hAnsi="仿宋_GB2312" w:eastAsia="仿宋_GB2312"/>
          <w:b w:val="0"/>
          <w:sz w:val="32"/>
        </w:rPr>
        <w:t>4.社会保障和就业支出(类)就业补助(款)职业技能鉴定补贴(项):支出决算数为10.00万元，比上年决算增加10.00万元，增长100.00%,主要原因是：本年新增技工学校职业技能鉴定项目经费。</w:t>
      </w:r>
    </w:p>
    <w:p w14:paraId="0FB59D17">
      <w:pPr>
        <w:spacing w:line="640" w:lineRule="exact"/>
        <w:ind w:firstLine="640"/>
        <w:jc w:val="both"/>
        <w:outlineLvl w:val="2"/>
      </w:pPr>
      <w:r>
        <w:rPr>
          <w:rFonts w:ascii="黑体" w:hAnsi="黑体" w:eastAsia="黑体"/>
          <w:sz w:val="32"/>
        </w:rPr>
        <w:t>六、一般公共预算财政拨款基本支出决算情况说明</w:t>
      </w:r>
    </w:p>
    <w:p w14:paraId="1F23610E">
      <w:pPr>
        <w:spacing w:line="580" w:lineRule="exact"/>
        <w:ind w:firstLine="640"/>
        <w:jc w:val="both"/>
      </w:pPr>
      <w:r>
        <w:rPr>
          <w:rFonts w:ascii="仿宋_GB2312" w:hAnsi="仿宋_GB2312" w:eastAsia="仿宋_GB2312"/>
          <w:b w:val="0"/>
          <w:sz w:val="32"/>
        </w:rPr>
        <w:t>2024年度一般公共预算财政拨款基本支出557.61万元，其中：</w:t>
      </w:r>
      <w:r>
        <w:rPr>
          <w:rFonts w:ascii="仿宋_GB2312" w:hAnsi="仿宋_GB2312" w:eastAsia="仿宋_GB2312"/>
          <w:b/>
          <w:sz w:val="32"/>
        </w:rPr>
        <w:t>人员经费557.61万元，</w:t>
      </w:r>
      <w:r>
        <w:rPr>
          <w:rFonts w:ascii="仿宋_GB2312" w:hAnsi="仿宋_GB2312" w:eastAsia="仿宋_GB2312"/>
          <w:b w:val="0"/>
          <w:sz w:val="32"/>
        </w:rPr>
        <w:t>包括：基本工资、津贴补贴、奖金、机关事业单位基本养老保险缴费、职工基本医疗保险缴费、其他社会保障缴费、住房公积金、生活补助、奖励金。</w:t>
      </w:r>
    </w:p>
    <w:p w14:paraId="21A0386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1228D2C">
      <w:pPr>
        <w:spacing w:line="640" w:lineRule="exact"/>
        <w:ind w:firstLine="640"/>
        <w:jc w:val="both"/>
        <w:outlineLvl w:val="2"/>
      </w:pPr>
      <w:r>
        <w:rPr>
          <w:rFonts w:ascii="黑体" w:hAnsi="黑体" w:eastAsia="黑体"/>
          <w:sz w:val="32"/>
        </w:rPr>
        <w:t>七、政府性基金预算财政拨款收入支出决算情况说明</w:t>
      </w:r>
    </w:p>
    <w:p w14:paraId="5653CD5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88A0A3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减少47.44万元，下降100.00%，主要原因是：本年减少阿克陶县技工学校实训基地开垦费项目。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年初预算数0.00万元，决算数0.00万元，预决算差异率0.00%，主要原因是：本年未安排政府性基金预算财政拨款支出。</w:t>
      </w:r>
    </w:p>
    <w:p w14:paraId="77FF92C9">
      <w:pPr>
        <w:spacing w:line="580" w:lineRule="exact"/>
        <w:ind w:firstLine="640"/>
        <w:jc w:val="both"/>
      </w:pPr>
      <w:r>
        <w:rPr>
          <w:rFonts w:ascii="仿宋_GB2312" w:hAnsi="仿宋_GB2312" w:eastAsia="仿宋_GB2312"/>
          <w:b w:val="0"/>
          <w:sz w:val="32"/>
        </w:rPr>
        <w:t>政府性基金预算财政拨款支出0.00万元。</w:t>
      </w:r>
    </w:p>
    <w:p w14:paraId="27133F85">
      <w:pPr>
        <w:spacing w:line="580" w:lineRule="exact"/>
        <w:ind w:firstLine="640"/>
        <w:jc w:val="both"/>
      </w:pPr>
      <w:r>
        <w:rPr>
          <w:rFonts w:ascii="仿宋_GB2312" w:hAnsi="仿宋_GB2312" w:eastAsia="仿宋_GB2312"/>
          <w:b w:val="0"/>
          <w:sz w:val="32"/>
        </w:rPr>
        <w:t>1.城乡社区支出(类)城市基础设施配套费安排的支出(款)其他城市基础设施配套费安排的支出(项):支出决算数为0.00万元，比上年决算减少47.44万元，下降100.00%,主要原因是：本年减少阿克陶县技工学校实训基地开垦费项目。</w:t>
      </w:r>
    </w:p>
    <w:p w14:paraId="5F12B49A">
      <w:pPr>
        <w:spacing w:line="640" w:lineRule="exact"/>
        <w:ind w:firstLine="640"/>
        <w:jc w:val="both"/>
        <w:outlineLvl w:val="2"/>
      </w:pPr>
      <w:r>
        <w:rPr>
          <w:rFonts w:ascii="黑体" w:hAnsi="黑体" w:eastAsia="黑体"/>
          <w:sz w:val="32"/>
        </w:rPr>
        <w:t>八、国有资本经营预算财政拨款收入支出决算情况说明</w:t>
      </w:r>
    </w:p>
    <w:p w14:paraId="6AE783D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7F1A19">
      <w:pPr>
        <w:spacing w:line="640" w:lineRule="exact"/>
        <w:ind w:firstLine="640"/>
        <w:jc w:val="both"/>
        <w:outlineLvl w:val="2"/>
      </w:pPr>
      <w:r>
        <w:rPr>
          <w:rFonts w:ascii="黑体" w:hAnsi="黑体" w:eastAsia="黑体"/>
          <w:sz w:val="32"/>
        </w:rPr>
        <w:t>九、财政拨款“三公”经费支出决算情况说明</w:t>
      </w:r>
    </w:p>
    <w:p w14:paraId="601F60E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163C4B5">
      <w:pPr>
        <w:spacing w:line="580" w:lineRule="exact"/>
        <w:ind w:firstLine="640"/>
        <w:jc w:val="both"/>
      </w:pPr>
      <w:r>
        <w:rPr>
          <w:rFonts w:ascii="仿宋_GB2312" w:hAnsi="仿宋_GB2312" w:eastAsia="仿宋_GB2312"/>
          <w:b/>
          <w:sz w:val="32"/>
        </w:rPr>
        <w:t>具体情况如下：</w:t>
      </w:r>
    </w:p>
    <w:p w14:paraId="39C828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2DA8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57B9F6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8FA1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42816C">
      <w:pPr>
        <w:spacing w:line="640" w:lineRule="exact"/>
        <w:ind w:firstLine="640"/>
        <w:jc w:val="both"/>
        <w:outlineLvl w:val="2"/>
      </w:pPr>
      <w:r>
        <w:rPr>
          <w:rFonts w:ascii="黑体" w:hAnsi="黑体" w:eastAsia="黑体"/>
          <w:sz w:val="32"/>
        </w:rPr>
        <w:t>十、其他重要事项的情况说明</w:t>
      </w:r>
    </w:p>
    <w:p w14:paraId="3CB79923">
      <w:pPr>
        <w:spacing w:line="640" w:lineRule="exact"/>
        <w:ind w:firstLine="640"/>
        <w:jc w:val="both"/>
        <w:outlineLvl w:val="3"/>
      </w:pPr>
      <w:r>
        <w:rPr>
          <w:rFonts w:ascii="楷体_GB2312" w:hAnsi="楷体_GB2312" w:eastAsia="楷体_GB2312"/>
          <w:b/>
          <w:sz w:val="32"/>
        </w:rPr>
        <w:t>（一）机关运行经费及公用经费支出情况</w:t>
      </w:r>
    </w:p>
    <w:p w14:paraId="4D4595AA">
      <w:pPr>
        <w:spacing w:line="580" w:lineRule="exact"/>
        <w:ind w:firstLine="640"/>
        <w:jc w:val="both"/>
      </w:pPr>
      <w:r>
        <w:rPr>
          <w:rFonts w:ascii="仿宋_GB2312" w:hAnsi="仿宋_GB2312" w:eastAsia="仿宋_GB2312"/>
          <w:b w:val="0"/>
          <w:sz w:val="32"/>
        </w:rPr>
        <w:t>2024年度阿克陶县技工学校（事业单位）公用经费支出0.00万元，比上年增加0.00万元，增长0.00%，主要原因是：2023年与2024年均未安排公用经费支出。</w:t>
      </w:r>
    </w:p>
    <w:p w14:paraId="47835238">
      <w:pPr>
        <w:spacing w:line="640" w:lineRule="exact"/>
        <w:ind w:firstLine="640"/>
        <w:jc w:val="both"/>
        <w:outlineLvl w:val="3"/>
      </w:pPr>
      <w:r>
        <w:rPr>
          <w:rFonts w:ascii="楷体_GB2312" w:hAnsi="楷体_GB2312" w:eastAsia="楷体_GB2312"/>
          <w:b/>
          <w:sz w:val="32"/>
        </w:rPr>
        <w:t>（二）政府采购情况</w:t>
      </w:r>
    </w:p>
    <w:p w14:paraId="1A718229">
      <w:pPr>
        <w:spacing w:line="580" w:lineRule="exact"/>
        <w:ind w:firstLine="640"/>
        <w:jc w:val="both"/>
      </w:pPr>
      <w:r>
        <w:rPr>
          <w:rFonts w:ascii="仿宋_GB2312" w:hAnsi="仿宋_GB2312" w:eastAsia="仿宋_GB2312"/>
          <w:b w:val="0"/>
          <w:sz w:val="32"/>
        </w:rPr>
        <w:t>2024年度政府采购支出总额383.51万元，其中：政府采购货物支出378.91万元、政府采购工程支出0.00万元、政府采购服务支出4.60万元。</w:t>
      </w:r>
    </w:p>
    <w:p w14:paraId="5A52DD3B">
      <w:pPr>
        <w:spacing w:line="580" w:lineRule="exact"/>
        <w:ind w:firstLine="640"/>
        <w:jc w:val="both"/>
      </w:pPr>
      <w:r>
        <w:rPr>
          <w:rFonts w:ascii="仿宋_GB2312" w:hAnsi="仿宋_GB2312" w:eastAsia="仿宋_GB2312"/>
          <w:b w:val="0"/>
          <w:sz w:val="32"/>
        </w:rPr>
        <w:t>授予中小企业合同金额378.91万元，占政府采购支出总额的98.80%，其中：授予小微企业合同金额378.91万元，占政府采购支出总额的98.80%。</w:t>
      </w:r>
    </w:p>
    <w:p w14:paraId="2B3B5960">
      <w:pPr>
        <w:spacing w:line="640" w:lineRule="exact"/>
        <w:ind w:firstLine="640"/>
        <w:jc w:val="both"/>
        <w:outlineLvl w:val="3"/>
      </w:pPr>
      <w:r>
        <w:rPr>
          <w:rFonts w:ascii="楷体_GB2312" w:hAnsi="楷体_GB2312" w:eastAsia="楷体_GB2312"/>
          <w:b/>
          <w:sz w:val="32"/>
        </w:rPr>
        <w:t>（三）国有资产占用情况说明</w:t>
      </w:r>
    </w:p>
    <w:p w14:paraId="2000F835">
      <w:pPr>
        <w:spacing w:line="580" w:lineRule="exact"/>
        <w:ind w:firstLine="640"/>
        <w:jc w:val="both"/>
      </w:pPr>
      <w:r>
        <w:rPr>
          <w:rFonts w:ascii="仿宋_GB2312" w:hAnsi="仿宋_GB2312" w:eastAsia="仿宋_GB2312"/>
          <w:b w:val="0"/>
          <w:sz w:val="32"/>
        </w:rPr>
        <w:t>截至2024年12月31日，房屋24,494.22平方米，价值6,542.63万元。车辆1辆，价值10.50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6台（套）。</w:t>
      </w:r>
    </w:p>
    <w:p w14:paraId="6EC07062">
      <w:pPr>
        <w:spacing w:line="640" w:lineRule="exact"/>
        <w:ind w:firstLine="640"/>
        <w:jc w:val="both"/>
        <w:outlineLvl w:val="2"/>
      </w:pPr>
      <w:r>
        <w:rPr>
          <w:rFonts w:ascii="黑体" w:hAnsi="黑体" w:eastAsia="黑体"/>
          <w:sz w:val="32"/>
        </w:rPr>
        <w:t>十一、预算绩效的情况说明</w:t>
      </w:r>
    </w:p>
    <w:p w14:paraId="3AF3A77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2,584.31万元，实际执行总额1,600.08万元；预算绩效评价项目1个，全年预算数3.16万元，全年执行数3.16万元。预算绩效管理取得的成效：</w:t>
      </w:r>
      <w:bookmarkStart w:id="0" w:name="_GoBack"/>
      <w:r>
        <w:rPr>
          <w:rFonts w:ascii="仿宋_GB2312" w:hAnsi="仿宋_GB2312" w:eastAsia="仿宋_GB2312"/>
          <w:b w:val="0"/>
          <w:sz w:val="32"/>
        </w:rPr>
        <w:t>一是资金使用效益提升：严格把控资金流向，确保每一笔预算都</w:t>
      </w:r>
      <w:bookmarkEnd w:id="0"/>
      <w:r>
        <w:rPr>
          <w:rFonts w:ascii="仿宋_GB2312" w:hAnsi="仿宋_GB2312" w:eastAsia="仿宋_GB2312"/>
          <w:b w:val="0"/>
          <w:sz w:val="32"/>
        </w:rPr>
        <w:t>精准投入到关键项目中。通过科学的预算编制和严格的执行监控，实现了预算执行进度与项目推进的高度匹配。二是预算绩效管理为教学科研提供了坚实的资金保障，有力推动了党校在教学内容创新和科研成果转化上不断突破。在教学方面，党校积极开发特色课程，不断丰富教学内容，优化课程体系。发现的问题及原因：一是部分业务部门需增强绩效管理主体责任意识，全面系统地认识绩效管理在优化资源配置中的战略导向作用。部分工作人员预算绩效管理实践经验不足，需深化落实全过程绩效管理闭环运行机制。二是绩效指标体系的科学性、可量化性、关联性仍有改进空间。预算管理精细化水平有待提高，预算编制在战略性、前瞻性、精准性方面还需持续优化提升。下一步改进措施：一是强化绩效目标刚性约束。严格规范目标申报审核程序，建立分级分类指标体系框架，重点突出核心业务实绩考核，实施差异化评价标准。二是深化专业能力体系建设。组织分层分类绩效管理实务培训，建立业务骨干定点联系机制，完善绩效指标动态优化机制，推动管理标准迭代升级。是健全双轮驱动监管机制。实施</w:t>
      </w:r>
      <w:r>
        <w:rPr>
          <w:rFonts w:hint="eastAsia" w:ascii="仿宋_GB2312" w:hAnsi="仿宋_GB2312" w:eastAsia="仿宋_GB2312"/>
          <w:b w:val="0"/>
          <w:sz w:val="32"/>
          <w:lang w:eastAsia="zh-CN"/>
        </w:rPr>
        <w:t>“</w:t>
      </w:r>
      <w:r>
        <w:rPr>
          <w:rFonts w:ascii="仿宋_GB2312" w:hAnsi="仿宋_GB2312" w:eastAsia="仿宋_GB2312"/>
          <w:b w:val="0"/>
          <w:sz w:val="32"/>
        </w:rPr>
        <w:t>专业力量+信息化</w:t>
      </w:r>
      <w:r>
        <w:rPr>
          <w:rFonts w:hint="eastAsia" w:ascii="仿宋_GB2312" w:hAnsi="仿宋_GB2312" w:eastAsia="仿宋_GB2312"/>
          <w:b w:val="0"/>
          <w:sz w:val="32"/>
          <w:lang w:eastAsia="zh-CN"/>
        </w:rPr>
        <w:t>”</w:t>
      </w:r>
      <w:r>
        <w:rPr>
          <w:rFonts w:ascii="仿宋_GB2312" w:hAnsi="仿宋_GB2312" w:eastAsia="仿宋_GB2312"/>
          <w:b w:val="0"/>
          <w:sz w:val="32"/>
        </w:rPr>
        <w:t>双轨并进策略，建立预算执行实时预警系统，落实专人专岗动态监控，确保绩效目标与预算执行同频共振。具体附整体支出绩效自评表，项目支出绩效自评表和评价报告。</w:t>
      </w:r>
    </w:p>
    <w:p w14:paraId="135F2F4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4757185">
        <w:tblPrEx>
          <w:tblCellMar>
            <w:top w:w="0" w:type="dxa"/>
            <w:left w:w="108" w:type="dxa"/>
            <w:bottom w:w="0" w:type="dxa"/>
            <w:right w:w="108" w:type="dxa"/>
          </w:tblCellMar>
        </w:tblPrEx>
        <w:tc>
          <w:tcPr>
            <w:tcW w:w="8840" w:type="dxa"/>
            <w:gridSpan w:val="8"/>
            <w:vAlign w:val="center"/>
          </w:tcPr>
          <w:p w14:paraId="1A92AAF8">
            <w:pPr>
              <w:jc w:val="center"/>
            </w:pPr>
            <w:r>
              <w:rPr>
                <w:rFonts w:ascii="宋体" w:hAnsi="宋体" w:eastAsia="宋体"/>
                <w:sz w:val="24"/>
              </w:rPr>
              <w:t>单位整体支出绩效自评表</w:t>
            </w:r>
          </w:p>
        </w:tc>
      </w:tr>
      <w:tr w14:paraId="3D60B8F4">
        <w:tblPrEx>
          <w:tblCellMar>
            <w:top w:w="0" w:type="dxa"/>
            <w:left w:w="108" w:type="dxa"/>
            <w:bottom w:w="0" w:type="dxa"/>
            <w:right w:w="108" w:type="dxa"/>
          </w:tblCellMar>
        </w:tblPrEx>
        <w:tc>
          <w:tcPr>
            <w:tcW w:w="8840" w:type="dxa"/>
            <w:gridSpan w:val="8"/>
            <w:vAlign w:val="center"/>
          </w:tcPr>
          <w:p w14:paraId="43178E35">
            <w:pPr>
              <w:jc w:val="center"/>
            </w:pPr>
            <w:r>
              <w:rPr>
                <w:rFonts w:ascii="宋体" w:hAnsi="宋体" w:eastAsia="宋体"/>
                <w:sz w:val="24"/>
              </w:rPr>
              <w:t>（2024年度）</w:t>
            </w:r>
          </w:p>
        </w:tc>
      </w:tr>
      <w:tr w14:paraId="4F4F839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62E2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2746A">
            <w:pPr>
              <w:jc w:val="center"/>
            </w:pPr>
            <w:r>
              <w:rPr>
                <w:rFonts w:ascii="宋体" w:hAnsi="宋体" w:eastAsia="宋体"/>
                <w:sz w:val="16"/>
              </w:rPr>
              <w:t>阿克陶县技工学校</w:t>
            </w:r>
          </w:p>
        </w:tc>
      </w:tr>
      <w:tr w14:paraId="0414C8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5AD4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AC0C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722C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BB71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55A9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9802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9CD9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62B75">
            <w:pPr>
              <w:jc w:val="center"/>
            </w:pPr>
            <w:r>
              <w:rPr>
                <w:rFonts w:ascii="宋体" w:hAnsi="宋体" w:eastAsia="宋体"/>
                <w:sz w:val="16"/>
              </w:rPr>
              <w:t>得分</w:t>
            </w:r>
          </w:p>
        </w:tc>
      </w:tr>
      <w:tr w14:paraId="0670A4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5460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0C67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40349">
            <w:pPr>
              <w:jc w:val="center"/>
            </w:pPr>
            <w:r>
              <w:rPr>
                <w:rFonts w:ascii="宋体" w:hAnsi="宋体" w:eastAsia="宋体"/>
                <w:sz w:val="16"/>
              </w:rPr>
              <w:t>536.42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0D513">
            <w:pPr>
              <w:jc w:val="center"/>
            </w:pPr>
            <w:r>
              <w:rPr>
                <w:rFonts w:ascii="宋体" w:hAnsi="宋体" w:eastAsia="宋体"/>
                <w:sz w:val="16"/>
              </w:rPr>
              <w:t>2,584.31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C534A">
            <w:pPr>
              <w:jc w:val="center"/>
            </w:pPr>
            <w:r>
              <w:rPr>
                <w:rFonts w:ascii="宋体" w:hAnsi="宋体" w:eastAsia="宋体"/>
                <w:sz w:val="16"/>
              </w:rPr>
              <w:t>1,600.08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67E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C40EC">
            <w:pPr>
              <w:jc w:val="center"/>
            </w:pPr>
            <w:r>
              <w:rPr>
                <w:rFonts w:ascii="宋体" w:hAnsi="宋体" w:eastAsia="宋体"/>
                <w:sz w:val="16"/>
              </w:rPr>
              <w:t>61.92%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82339">
            <w:pPr>
              <w:jc w:val="center"/>
            </w:pPr>
            <w:r>
              <w:rPr>
                <w:rFonts w:ascii="宋体" w:hAnsi="宋体" w:eastAsia="宋体"/>
                <w:sz w:val="16"/>
              </w:rPr>
              <w:t>6.2</w:t>
            </w:r>
          </w:p>
        </w:tc>
      </w:tr>
      <w:tr w14:paraId="383208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69F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F4BD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EF4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D1D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675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333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8CB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4041D">
            <w:pPr>
              <w:jc w:val="center"/>
            </w:pPr>
            <w:r>
              <w:rPr>
                <w:rFonts w:ascii="宋体" w:hAnsi="宋体" w:eastAsia="宋体"/>
                <w:sz w:val="16"/>
              </w:rPr>
              <w:t>—</w:t>
            </w:r>
          </w:p>
        </w:tc>
      </w:tr>
      <w:tr w14:paraId="0CB7CE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C952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105E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C9486">
            <w:pPr>
              <w:jc w:val="center"/>
            </w:pPr>
            <w:r>
              <w:rPr>
                <w:rFonts w:ascii="宋体" w:hAnsi="宋体" w:eastAsia="宋体"/>
                <w:sz w:val="16"/>
              </w:rPr>
              <w:t>536.42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E34B5">
            <w:pPr>
              <w:jc w:val="center"/>
            </w:pPr>
            <w:r>
              <w:rPr>
                <w:rFonts w:ascii="宋体" w:hAnsi="宋体" w:eastAsia="宋体"/>
                <w:sz w:val="16"/>
              </w:rPr>
              <w:t>2,584.31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34261">
            <w:pPr>
              <w:jc w:val="center"/>
            </w:pPr>
            <w:r>
              <w:rPr>
                <w:rFonts w:ascii="宋体" w:hAnsi="宋体" w:eastAsia="宋体"/>
                <w:sz w:val="16"/>
              </w:rPr>
              <w:t>1,600.08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B51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A87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D1809">
            <w:pPr>
              <w:jc w:val="center"/>
            </w:pPr>
            <w:r>
              <w:rPr>
                <w:rFonts w:ascii="宋体" w:hAnsi="宋体" w:eastAsia="宋体"/>
                <w:sz w:val="16"/>
              </w:rPr>
              <w:t>—</w:t>
            </w:r>
          </w:p>
        </w:tc>
      </w:tr>
      <w:tr w14:paraId="52C5E4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580A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2396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308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F49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456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B6F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B2F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DEC7B">
            <w:pPr>
              <w:jc w:val="center"/>
            </w:pPr>
            <w:r>
              <w:rPr>
                <w:rFonts w:ascii="宋体" w:hAnsi="宋体" w:eastAsia="宋体"/>
                <w:sz w:val="16"/>
              </w:rPr>
              <w:t>—</w:t>
            </w:r>
          </w:p>
        </w:tc>
      </w:tr>
      <w:tr w14:paraId="7929C9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E016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D84B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C9169D">
            <w:pPr>
              <w:jc w:val="center"/>
            </w:pPr>
            <w:r>
              <w:rPr>
                <w:rFonts w:ascii="宋体" w:hAnsi="宋体" w:eastAsia="宋体"/>
                <w:sz w:val="16"/>
              </w:rPr>
              <w:t>实际完成情况</w:t>
            </w:r>
          </w:p>
        </w:tc>
      </w:tr>
      <w:tr w14:paraId="7E6D0A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0439E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934D92">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等公用保障性经费按照财政安排和相关工作要求及时支出；确保2024年职业教育重点工作任务取得实效，一是提升教育教学质量；二是管好用好各类资金，发挥资金作用，三是正确处理学校和家长、学生之间的关系</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2A6498">
            <w:pPr>
              <w:jc w:val="both"/>
            </w:pPr>
            <w:r>
              <w:rPr>
                <w:rFonts w:ascii="宋体" w:hAnsi="宋体" w:eastAsia="宋体"/>
                <w:sz w:val="16"/>
              </w:rPr>
              <w:t>确保了在职人员的工资、津贴、补贴、社保、医保、公积金等以及离退休人员的工资、医疗费，长期临聘人员生活补助等人员保障性经费能够依规、按时、足额发放或缴纳，学生毕业率98%，初级技工培养率98%，有效提升部门人员工作积极性和服务质量；有效保障部门日常运转，为部门正常履职和开展综合性事务提供有效支撑，并大大提升我校教育教学水平，最大程度提高师生的满意度。</w:t>
            </w:r>
          </w:p>
        </w:tc>
      </w:tr>
      <w:tr w14:paraId="340E0B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F3C4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D0AA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D214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8635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B278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5FFD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CA31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FD547">
            <w:pPr>
              <w:jc w:val="center"/>
            </w:pPr>
            <w:r>
              <w:rPr>
                <w:rFonts w:ascii="宋体" w:hAnsi="宋体" w:eastAsia="宋体"/>
                <w:sz w:val="16"/>
              </w:rPr>
              <w:t>得分</w:t>
            </w:r>
          </w:p>
        </w:tc>
      </w:tr>
      <w:tr w14:paraId="637F6AA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3A21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3513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A5E1">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0C90B">
            <w:pPr>
              <w:jc w:val="center"/>
            </w:pPr>
            <w:r>
              <w:rPr>
                <w:rFonts w:ascii="宋体" w:hAnsi="宋体" w:eastAsia="宋体"/>
                <w:sz w:val="16"/>
              </w:rPr>
              <w: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AFE77">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8E573">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0D17E">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C0971">
            <w:pPr>
              <w:jc w:val="center"/>
            </w:pPr>
            <w:r>
              <w:rPr>
                <w:rFonts w:ascii="宋体" w:hAnsi="宋体" w:eastAsia="宋体"/>
                <w:sz w:val="16"/>
              </w:rPr>
              <w:t>8.8</w:t>
            </w:r>
          </w:p>
        </w:tc>
      </w:tr>
      <w:tr w14:paraId="2EADD7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82436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F713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B16CA">
            <w:pPr>
              <w:jc w:val="center"/>
            </w:pPr>
            <w:r>
              <w:rPr>
                <w:rFonts w:ascii="宋体" w:hAnsi="宋体" w:eastAsia="宋体"/>
                <w:sz w:val="16"/>
              </w:rPr>
              <w:t>财政供养工资福利支出预算保障人数（人）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F2523">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9ED63">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AB0FA">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3A9A0">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9A639">
            <w:pPr>
              <w:jc w:val="center"/>
            </w:pPr>
            <w:r>
              <w:rPr>
                <w:rFonts w:ascii="宋体" w:hAnsi="宋体" w:eastAsia="宋体"/>
                <w:sz w:val="16"/>
              </w:rPr>
              <w:t>9</w:t>
            </w:r>
          </w:p>
        </w:tc>
      </w:tr>
      <w:tr w14:paraId="5A2AFD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2B33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EFD3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2E446">
            <w:pPr>
              <w:jc w:val="center"/>
            </w:pPr>
            <w:r>
              <w:rPr>
                <w:rFonts w:ascii="宋体" w:hAnsi="宋体" w:eastAsia="宋体"/>
                <w:sz w:val="16"/>
              </w:rPr>
              <w:t>预算支出标准（万元）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60FD4">
            <w:pPr>
              <w:jc w:val="center"/>
            </w:pPr>
            <w:r>
              <w:rPr>
                <w:rFonts w:ascii="宋体" w:hAnsi="宋体" w:eastAsia="宋体"/>
                <w:sz w:val="16"/>
              </w:rPr>
              <w:t>&lt;=526.58万元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8B140">
            <w:pPr>
              <w:jc w:val="center"/>
            </w:pPr>
            <w:r>
              <w:rPr>
                <w:rFonts w:ascii="宋体" w:hAnsi="宋体" w:eastAsia="宋体"/>
                <w:sz w:val="16"/>
              </w:rPr>
              <w:t>人员保障性资金支出控制数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3D7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D35CF">
            <w:pPr>
              <w:jc w:val="center"/>
            </w:pPr>
            <w:r>
              <w:rPr>
                <w:rFonts w:ascii="宋体" w:hAnsi="宋体" w:eastAsia="宋体"/>
                <w:sz w:val="16"/>
              </w:rPr>
              <w:t>=557.61万元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CB950">
            <w:pPr>
              <w:jc w:val="center"/>
            </w:pPr>
            <w:r>
              <w:rPr>
                <w:rFonts w:ascii="宋体" w:hAnsi="宋体" w:eastAsia="宋体"/>
                <w:sz w:val="16"/>
              </w:rPr>
              <w:t>9.44</w:t>
            </w:r>
          </w:p>
        </w:tc>
      </w:tr>
      <w:tr w14:paraId="0AB344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DEF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A51C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46CF7">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AD26E">
            <w:pPr>
              <w:jc w:val="center"/>
            </w:pPr>
            <w:r>
              <w:rPr>
                <w:rFonts w:ascii="宋体" w:hAnsi="宋体" w:eastAsia="宋体"/>
                <w:sz w:val="16"/>
              </w:rPr>
              <w:t>&lt;=6.68万元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B9177">
            <w:pPr>
              <w:jc w:val="center"/>
            </w:pPr>
            <w:r>
              <w:rPr>
                <w:rFonts w:ascii="宋体" w:hAnsi="宋体" w:eastAsia="宋体"/>
                <w:sz w:val="16"/>
              </w:rPr>
              <w:t>预算支出标准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6C4B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34F80">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B215C">
            <w:pPr>
              <w:jc w:val="center"/>
            </w:pPr>
            <w:r>
              <w:rPr>
                <w:rFonts w:ascii="宋体" w:hAnsi="宋体" w:eastAsia="宋体"/>
                <w:sz w:val="16"/>
              </w:rPr>
              <w:t>0</w:t>
            </w:r>
          </w:p>
        </w:tc>
      </w:tr>
      <w:tr w14:paraId="5CB736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B920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CF9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F29E9">
            <w:pPr>
              <w:jc w:val="center"/>
            </w:pPr>
            <w:r>
              <w:rPr>
                <w:rFonts w:ascii="宋体" w:hAnsi="宋体" w:eastAsia="宋体"/>
                <w:sz w:val="16"/>
              </w:rPr>
              <w:t>助学金支出控制数（万元）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F8AFD">
            <w:pPr>
              <w:jc w:val="center"/>
            </w:pPr>
            <w:r>
              <w:rPr>
                <w:rFonts w:ascii="宋体" w:hAnsi="宋体" w:eastAsia="宋体"/>
                <w:sz w:val="16"/>
              </w:rPr>
              <w:t>&lt;=3.16万元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0D0E4">
            <w:pPr>
              <w:jc w:val="center"/>
            </w:pPr>
            <w:r>
              <w:rPr>
                <w:rFonts w:ascii="宋体" w:hAnsi="宋体" w:eastAsia="宋体"/>
                <w:sz w:val="16"/>
              </w:rPr>
              <w:t>预算支出标准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0179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F8479">
            <w:pPr>
              <w:jc w:val="center"/>
            </w:pPr>
            <w:r>
              <w:rPr>
                <w:rFonts w:ascii="宋体" w:hAnsi="宋体" w:eastAsia="宋体"/>
                <w:sz w:val="16"/>
              </w:rPr>
              <w:t>=3.16万元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4A618">
            <w:pPr>
              <w:jc w:val="center"/>
            </w:pPr>
            <w:r>
              <w:rPr>
                <w:rFonts w:ascii="宋体" w:hAnsi="宋体" w:eastAsia="宋体"/>
                <w:sz w:val="16"/>
              </w:rPr>
              <w:t>10</w:t>
            </w:r>
          </w:p>
        </w:tc>
      </w:tr>
      <w:tr w14:paraId="27DE87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4448B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84B9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95446">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7271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73317">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7449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A7C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F8DE3">
            <w:pPr>
              <w:jc w:val="center"/>
            </w:pPr>
            <w:r>
              <w:rPr>
                <w:rFonts w:ascii="宋体" w:hAnsi="宋体" w:eastAsia="宋体"/>
                <w:sz w:val="16"/>
              </w:rPr>
              <w:t>8</w:t>
            </w:r>
          </w:p>
        </w:tc>
      </w:tr>
      <w:tr w14:paraId="77A7D8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5620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904C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698B6">
            <w:pPr>
              <w:jc w:val="center"/>
            </w:pPr>
            <w:r>
              <w:rPr>
                <w:rFonts w:ascii="宋体" w:hAnsi="宋体" w:eastAsia="宋体"/>
                <w:sz w:val="16"/>
              </w:rPr>
              <w:t>毕业生就业率（%）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8D67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0681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EC20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93695">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6A3B">
            <w:pPr>
              <w:jc w:val="center"/>
            </w:pPr>
            <w:r>
              <w:rPr>
                <w:rFonts w:ascii="宋体" w:hAnsi="宋体" w:eastAsia="宋体"/>
                <w:sz w:val="16"/>
              </w:rPr>
              <w:t>8</w:t>
            </w:r>
          </w:p>
        </w:tc>
      </w:tr>
      <w:tr w14:paraId="5BC3D8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379D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F1E5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27DFF">
            <w:pPr>
              <w:jc w:val="center"/>
            </w:pPr>
            <w:r>
              <w:rPr>
                <w:rFonts w:ascii="宋体" w:hAnsi="宋体" w:eastAsia="宋体"/>
                <w:sz w:val="16"/>
              </w:rPr>
              <w:t>初级技工培养率（%）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829E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8F7E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36CA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8B69F">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3ABA8">
            <w:pPr>
              <w:jc w:val="center"/>
            </w:pPr>
            <w:r>
              <w:rPr>
                <w:rFonts w:ascii="宋体" w:hAnsi="宋体" w:eastAsia="宋体"/>
                <w:sz w:val="16"/>
              </w:rPr>
              <w:t>8</w:t>
            </w:r>
          </w:p>
        </w:tc>
      </w:tr>
      <w:tr w14:paraId="39BC15E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1CEF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3FCC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814B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C082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332D4">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AE52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1DAF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6D43">
            <w:pPr>
              <w:jc w:val="center"/>
            </w:pPr>
            <w:r>
              <w:rPr>
                <w:rFonts w:ascii="宋体" w:hAnsi="宋体" w:eastAsia="宋体"/>
                <w:sz w:val="16"/>
              </w:rPr>
              <w:t>8</w:t>
            </w:r>
          </w:p>
        </w:tc>
      </w:tr>
      <w:tr w14:paraId="663B48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8595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59BB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F1333">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65E7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E1B5C">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766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EFD83">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D8987">
            <w:pPr>
              <w:jc w:val="center"/>
            </w:pPr>
            <w:r>
              <w:rPr>
                <w:rFonts w:ascii="宋体" w:hAnsi="宋体" w:eastAsia="宋体"/>
                <w:sz w:val="16"/>
              </w:rPr>
              <w:t>5</w:t>
            </w:r>
          </w:p>
        </w:tc>
      </w:tr>
      <w:tr w14:paraId="759E29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6B61D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27BF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2C970">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77F3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2338A">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7351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9AF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EA5CD">
            <w:pPr>
              <w:jc w:val="center"/>
            </w:pPr>
            <w:r>
              <w:rPr>
                <w:rFonts w:ascii="宋体" w:hAnsi="宋体" w:eastAsia="宋体"/>
                <w:sz w:val="16"/>
              </w:rPr>
              <w:t>5</w:t>
            </w:r>
          </w:p>
        </w:tc>
      </w:tr>
    </w:tbl>
    <w:p w14:paraId="3B73D0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2563842">
        <w:tblPrEx>
          <w:tblCellMar>
            <w:top w:w="0" w:type="dxa"/>
            <w:left w:w="108" w:type="dxa"/>
            <w:bottom w:w="0" w:type="dxa"/>
            <w:right w:w="108" w:type="dxa"/>
          </w:tblCellMar>
        </w:tblPrEx>
        <w:tc>
          <w:tcPr>
            <w:tcW w:w="8848" w:type="dxa"/>
            <w:gridSpan w:val="14"/>
            <w:vAlign w:val="center"/>
          </w:tcPr>
          <w:p w14:paraId="2FB631C7">
            <w:pPr>
              <w:jc w:val="center"/>
            </w:pPr>
            <w:r>
              <w:rPr>
                <w:rFonts w:ascii="宋体" w:hAnsi="宋体" w:eastAsia="宋体"/>
                <w:sz w:val="24"/>
              </w:rPr>
              <w:t>项目支出绩效自评表</w:t>
            </w:r>
          </w:p>
        </w:tc>
      </w:tr>
      <w:tr w14:paraId="550CD0CE">
        <w:tblPrEx>
          <w:tblCellMar>
            <w:top w:w="0" w:type="dxa"/>
            <w:left w:w="108" w:type="dxa"/>
            <w:bottom w:w="0" w:type="dxa"/>
            <w:right w:w="108" w:type="dxa"/>
          </w:tblCellMar>
        </w:tblPrEx>
        <w:tc>
          <w:tcPr>
            <w:tcW w:w="8848" w:type="dxa"/>
            <w:gridSpan w:val="14"/>
            <w:vAlign w:val="center"/>
          </w:tcPr>
          <w:p w14:paraId="587D1E06">
            <w:pPr>
              <w:jc w:val="center"/>
            </w:pPr>
            <w:r>
              <w:rPr>
                <w:rFonts w:ascii="宋体" w:hAnsi="宋体" w:eastAsia="宋体"/>
                <w:sz w:val="24"/>
              </w:rPr>
              <w:t>(2024年度)</w:t>
            </w:r>
          </w:p>
        </w:tc>
      </w:tr>
      <w:tr w14:paraId="34FC3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BE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C3CDE">
            <w:pPr>
              <w:jc w:val="center"/>
            </w:pPr>
            <w:r>
              <w:rPr>
                <w:rFonts w:ascii="宋体" w:hAnsi="宋体" w:eastAsia="宋体"/>
                <w:sz w:val="16"/>
              </w:rPr>
              <w:t>2024年度技工学校国家助学金（县级）项目</w:t>
            </w:r>
          </w:p>
        </w:tc>
      </w:tr>
      <w:tr w14:paraId="41036A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6B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FE8CD">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9D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FBDB39">
            <w:pPr>
              <w:jc w:val="center"/>
            </w:pPr>
            <w:r>
              <w:rPr>
                <w:rFonts w:ascii="宋体" w:hAnsi="宋体" w:eastAsia="宋体"/>
                <w:sz w:val="16"/>
              </w:rPr>
              <w:t>阿克陶县技工学校</w:t>
            </w:r>
          </w:p>
        </w:tc>
      </w:tr>
      <w:tr w14:paraId="4914CF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D8C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790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EE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94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5C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F79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2D3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9F32">
            <w:pPr>
              <w:jc w:val="center"/>
            </w:pPr>
            <w:r>
              <w:rPr>
                <w:rFonts w:ascii="宋体" w:hAnsi="宋体" w:eastAsia="宋体"/>
                <w:sz w:val="16"/>
              </w:rPr>
              <w:t>得分</w:t>
            </w:r>
          </w:p>
        </w:tc>
      </w:tr>
      <w:tr w14:paraId="70748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42E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7C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9FFA">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8B79">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2CA7D">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53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60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69AF">
            <w:pPr>
              <w:jc w:val="center"/>
            </w:pPr>
            <w:r>
              <w:rPr>
                <w:rFonts w:ascii="宋体" w:hAnsi="宋体" w:eastAsia="宋体"/>
                <w:sz w:val="16"/>
              </w:rPr>
              <w:t>10.00分</w:t>
            </w:r>
          </w:p>
        </w:tc>
      </w:tr>
      <w:tr w14:paraId="1FDB9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4E8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142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B02E">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3C466">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AAAF4">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47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E8D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9E1B">
            <w:pPr>
              <w:jc w:val="center"/>
            </w:pPr>
            <w:r>
              <w:rPr>
                <w:rFonts w:ascii="宋体" w:hAnsi="宋体" w:eastAsia="宋体"/>
                <w:sz w:val="16"/>
              </w:rPr>
              <w:t>—</w:t>
            </w:r>
          </w:p>
        </w:tc>
      </w:tr>
      <w:tr w14:paraId="5489A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D2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252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9D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3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DA3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9A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BF3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B184">
            <w:pPr>
              <w:jc w:val="center"/>
            </w:pPr>
            <w:r>
              <w:rPr>
                <w:rFonts w:ascii="宋体" w:hAnsi="宋体" w:eastAsia="宋体"/>
                <w:sz w:val="16"/>
              </w:rPr>
              <w:t>—</w:t>
            </w:r>
          </w:p>
        </w:tc>
      </w:tr>
      <w:tr w14:paraId="237D2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E4D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DB6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00918">
            <w:pPr>
              <w:jc w:val="center"/>
            </w:pPr>
            <w:r>
              <w:rPr>
                <w:rFonts w:ascii="宋体" w:hAnsi="宋体" w:eastAsia="宋体"/>
                <w:sz w:val="16"/>
              </w:rPr>
              <w:t>实际完成情况</w:t>
            </w:r>
          </w:p>
        </w:tc>
      </w:tr>
      <w:tr w14:paraId="0D042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0DB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F17AD">
            <w:pPr>
              <w:jc w:val="both"/>
            </w:pPr>
            <w:r>
              <w:rPr>
                <w:rFonts w:ascii="宋体" w:hAnsi="宋体" w:eastAsia="宋体"/>
                <w:sz w:val="16"/>
              </w:rPr>
              <w:t>推动技工教育吸引力和提高人才培养质量，使毕业生就业率保持在95%以上，面向就业重点群体开展技能培训不低于1万人次，更好</w:t>
            </w:r>
            <w:r>
              <w:rPr>
                <w:rFonts w:hint="eastAsia" w:ascii="宋体" w:hAnsi="宋体"/>
                <w:sz w:val="16"/>
                <w:lang w:eastAsia="zh-CN"/>
              </w:rPr>
              <w:t>地</w:t>
            </w:r>
            <w:r>
              <w:rPr>
                <w:rFonts w:ascii="宋体" w:hAnsi="宋体" w:eastAsia="宋体"/>
                <w:sz w:val="16"/>
              </w:rPr>
              <w:t>服务就业创业和经济社会高质量发展需要。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A5B56">
            <w:pPr>
              <w:jc w:val="both"/>
            </w:pPr>
            <w:r>
              <w:rPr>
                <w:rFonts w:ascii="宋体" w:hAnsi="宋体" w:eastAsia="宋体"/>
                <w:sz w:val="16"/>
              </w:rPr>
              <w:t>目前我校学年制学生开展技能培训395人次，较好</w:t>
            </w:r>
            <w:r>
              <w:rPr>
                <w:rFonts w:hint="eastAsia" w:ascii="宋体" w:hAnsi="宋体"/>
                <w:sz w:val="16"/>
                <w:lang w:eastAsia="zh-CN"/>
              </w:rPr>
              <w:t>地</w:t>
            </w:r>
            <w:r>
              <w:rPr>
                <w:rFonts w:ascii="宋体" w:hAnsi="宋体" w:eastAsia="宋体"/>
                <w:sz w:val="16"/>
              </w:rPr>
              <w:t>服务就业创业和发</w:t>
            </w:r>
            <w:r>
              <w:rPr>
                <w:rFonts w:hint="eastAsia" w:ascii="宋体" w:hAnsi="宋体"/>
                <w:sz w:val="16"/>
                <w:lang w:eastAsia="zh-CN"/>
              </w:rPr>
              <w:t>展和</w:t>
            </w:r>
            <w:r>
              <w:rPr>
                <w:rFonts w:ascii="宋体" w:hAnsi="宋体" w:eastAsia="宋体"/>
                <w:sz w:val="16"/>
              </w:rPr>
              <w:t>社会高质量发展需要，此助学金3.16万元已全部发放完毕。</w:t>
            </w:r>
          </w:p>
        </w:tc>
      </w:tr>
      <w:tr w14:paraId="49021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BB2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83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68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5B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67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E4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D5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EC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CE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82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66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D6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B110">
            <w:pPr>
              <w:jc w:val="center"/>
            </w:pPr>
            <w:r>
              <w:rPr>
                <w:rFonts w:ascii="宋体" w:hAnsi="宋体" w:eastAsia="宋体"/>
                <w:sz w:val="16"/>
              </w:rPr>
              <w:t>偏差原因分析及改进措施</w:t>
            </w:r>
          </w:p>
        </w:tc>
      </w:tr>
      <w:tr w14:paraId="37EB49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E19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577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BE5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E1F0">
            <w:pPr>
              <w:jc w:val="center"/>
            </w:pPr>
            <w:r>
              <w:rPr>
                <w:rFonts w:ascii="宋体" w:hAnsi="宋体" w:eastAsia="宋体"/>
                <w:sz w:val="16"/>
              </w:rPr>
              <w:t>培训人员数量（人）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1390">
            <w:pPr>
              <w:jc w:val="center"/>
            </w:pPr>
            <w:r>
              <w:rPr>
                <w:rFonts w:ascii="宋体" w:hAnsi="宋体" w:eastAsia="宋体"/>
                <w:sz w:val="16"/>
              </w:rPr>
              <w:t>=395人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1B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83B1">
            <w:pPr>
              <w:jc w:val="center"/>
            </w:pPr>
            <w:r>
              <w:rPr>
                <w:rFonts w:ascii="宋体" w:hAnsi="宋体" w:eastAsia="宋体"/>
                <w:sz w:val="16"/>
              </w:rPr>
              <w:t>=620人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08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6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C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0B86">
            <w:pPr>
              <w:jc w:val="center"/>
            </w:pPr>
            <w:r>
              <w:rPr>
                <w:rFonts w:ascii="宋体" w:hAnsi="宋体" w:eastAsia="宋体"/>
                <w:sz w:val="16"/>
              </w:rPr>
              <w:t>=395人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F0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82F6">
            <w:pPr>
              <w:jc w:val="center"/>
            </w:pPr>
          </w:p>
        </w:tc>
      </w:tr>
      <w:tr w14:paraId="52094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88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62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0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5FE5">
            <w:pPr>
              <w:jc w:val="center"/>
            </w:pPr>
            <w:r>
              <w:rPr>
                <w:rFonts w:ascii="宋体" w:hAnsi="宋体" w:eastAsia="宋体"/>
                <w:sz w:val="16"/>
              </w:rPr>
              <w:t>学生培训批次（批次）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98EA">
            <w:pPr>
              <w:jc w:val="center"/>
            </w:pPr>
            <w:r>
              <w:rPr>
                <w:rFonts w:ascii="宋体" w:hAnsi="宋体" w:eastAsia="宋体"/>
                <w:sz w:val="16"/>
              </w:rPr>
              <w:t>=6批次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B4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A689">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D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E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1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7F44">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41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6E88">
            <w:pPr>
              <w:jc w:val="center"/>
            </w:pPr>
          </w:p>
        </w:tc>
      </w:tr>
      <w:tr w14:paraId="14841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55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71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5B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068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7D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9B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7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49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8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8B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3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DA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7300">
            <w:pPr>
              <w:jc w:val="center"/>
            </w:pPr>
          </w:p>
        </w:tc>
      </w:tr>
      <w:tr w14:paraId="33B06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0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A7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02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6BFF">
            <w:pPr>
              <w:jc w:val="center"/>
            </w:pPr>
            <w:r>
              <w:rPr>
                <w:rFonts w:ascii="宋体" w:hAnsi="宋体" w:eastAsia="宋体"/>
                <w:sz w:val="16"/>
              </w:rPr>
              <w:t>培训完成及时率（%）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92C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6A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6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3F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C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F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E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E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5BADC">
            <w:pPr>
              <w:jc w:val="center"/>
            </w:pPr>
          </w:p>
        </w:tc>
      </w:tr>
      <w:tr w14:paraId="5FB26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A2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63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EA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C7D0">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80D5">
            <w:pPr>
              <w:jc w:val="center"/>
            </w:pPr>
            <w:r>
              <w:rPr>
                <w:rFonts w:ascii="宋体" w:hAnsi="宋体" w:eastAsia="宋体"/>
                <w:sz w:val="16"/>
              </w:rPr>
              <w:t>=80元/人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71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9E1E">
            <w:pPr>
              <w:jc w:val="center"/>
            </w:pPr>
            <w:r>
              <w:rPr>
                <w:rFonts w:ascii="宋体" w:hAnsi="宋体" w:eastAsia="宋体"/>
                <w:sz w:val="16"/>
              </w:rPr>
              <w:t>=80元/人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0A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4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5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A977">
            <w:pPr>
              <w:jc w:val="center"/>
            </w:pPr>
            <w:r>
              <w:rPr>
                <w:rFonts w:ascii="宋体" w:hAnsi="宋体" w:eastAsia="宋体"/>
                <w:sz w:val="16"/>
              </w:rPr>
              <w:t>=80元/人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1B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8C66">
            <w:pPr>
              <w:jc w:val="center"/>
            </w:pPr>
          </w:p>
        </w:tc>
      </w:tr>
      <w:tr w14:paraId="702FB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AE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DF71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2C0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B82C">
            <w:pPr>
              <w:jc w:val="center"/>
            </w:pPr>
            <w:r>
              <w:rPr>
                <w:rFonts w:ascii="宋体" w:hAnsi="宋体" w:eastAsia="宋体"/>
                <w:sz w:val="16"/>
              </w:rPr>
              <w:t>受益学生人数（人）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92DC">
            <w:pPr>
              <w:jc w:val="center"/>
            </w:pPr>
            <w:r>
              <w:rPr>
                <w:rFonts w:ascii="宋体" w:hAnsi="宋体" w:eastAsia="宋体"/>
                <w:sz w:val="16"/>
              </w:rPr>
              <w:t>=395人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55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BC51">
            <w:pPr>
              <w:jc w:val="center"/>
            </w:pPr>
            <w:r>
              <w:rPr>
                <w:rFonts w:ascii="宋体" w:hAnsi="宋体" w:eastAsia="宋体"/>
                <w:sz w:val="16"/>
              </w:rPr>
              <w:t>=620人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2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59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7C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97B9">
            <w:pPr>
              <w:jc w:val="center"/>
            </w:pPr>
            <w:r>
              <w:rPr>
                <w:rFonts w:ascii="宋体" w:hAnsi="宋体" w:eastAsia="宋体"/>
                <w:sz w:val="16"/>
              </w:rPr>
              <w:t>=395人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38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F94D">
            <w:pPr>
              <w:jc w:val="center"/>
            </w:pPr>
          </w:p>
        </w:tc>
      </w:tr>
      <w:tr w14:paraId="5CC96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D7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22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B5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84CD">
            <w:pPr>
              <w:jc w:val="center"/>
            </w:pPr>
            <w:r>
              <w:rPr>
                <w:rFonts w:ascii="宋体" w:hAnsi="宋体" w:eastAsia="宋体"/>
                <w:sz w:val="16"/>
              </w:rPr>
              <w:t>提高少数民族双语教学水平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5E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6B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E2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C7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6A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C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8C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E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F8F4">
            <w:pPr>
              <w:jc w:val="center"/>
            </w:pPr>
          </w:p>
        </w:tc>
      </w:tr>
      <w:tr w14:paraId="4B0AC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F1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B4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A6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501D">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21E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4A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705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14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CD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E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AAE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12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8658B">
            <w:pPr>
              <w:jc w:val="center"/>
            </w:pPr>
          </w:p>
        </w:tc>
      </w:tr>
      <w:tr w14:paraId="2BBC2D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B20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3F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826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C05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21DC6F"/>
        </w:tc>
      </w:tr>
    </w:tbl>
    <w:p w14:paraId="665065CA">
      <w:r>
        <w:br w:type="page"/>
      </w:r>
    </w:p>
    <w:p w14:paraId="608B490C">
      <w:pPr>
        <w:spacing w:line="640" w:lineRule="exact"/>
        <w:ind w:firstLine="640"/>
        <w:jc w:val="both"/>
        <w:outlineLvl w:val="2"/>
      </w:pPr>
      <w:r>
        <w:rPr>
          <w:rFonts w:ascii="黑体" w:hAnsi="黑体" w:eastAsia="黑体"/>
          <w:sz w:val="32"/>
        </w:rPr>
        <w:t>十二、其他需说明的事项</w:t>
      </w:r>
    </w:p>
    <w:p w14:paraId="628E9F0A">
      <w:pPr>
        <w:spacing w:line="580" w:lineRule="exact"/>
        <w:ind w:firstLine="640"/>
        <w:jc w:val="both"/>
      </w:pPr>
      <w:r>
        <w:rPr>
          <w:rFonts w:ascii="仿宋_GB2312" w:hAnsi="仿宋_GB2312" w:eastAsia="仿宋_GB2312"/>
          <w:b w:val="0"/>
          <w:sz w:val="32"/>
        </w:rPr>
        <w:t>本单位无其他需说明的事项。</w:t>
      </w:r>
    </w:p>
    <w:p w14:paraId="41E53FB1">
      <w:r>
        <w:br w:type="page"/>
      </w:r>
    </w:p>
    <w:p w14:paraId="2D416628">
      <w:pPr>
        <w:spacing w:line="240" w:lineRule="auto"/>
        <w:jc w:val="center"/>
        <w:outlineLvl w:val="1"/>
      </w:pPr>
      <w:r>
        <w:rPr>
          <w:rFonts w:ascii="黑体" w:hAnsi="黑体" w:eastAsia="黑体"/>
          <w:sz w:val="32"/>
        </w:rPr>
        <w:t>第三部分 专业名词解释</w:t>
      </w:r>
    </w:p>
    <w:p w14:paraId="73DDDBA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05BF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C61FC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52FA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35C5A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EC162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34655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5AD06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8C591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184A6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3A236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3DEB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C532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53FF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7DB47B">
      <w:r>
        <w:br w:type="page"/>
      </w:r>
    </w:p>
    <w:p w14:paraId="734BBE3B">
      <w:pPr>
        <w:spacing w:line="240" w:lineRule="auto"/>
        <w:jc w:val="center"/>
        <w:outlineLvl w:val="1"/>
      </w:pPr>
      <w:r>
        <w:rPr>
          <w:rFonts w:ascii="黑体" w:hAnsi="黑体" w:eastAsia="黑体"/>
          <w:sz w:val="32"/>
        </w:rPr>
        <w:t>第四部分 部门决算报表（见附表）</w:t>
      </w:r>
    </w:p>
    <w:p w14:paraId="16EEC194">
      <w:pPr>
        <w:spacing w:line="240" w:lineRule="auto"/>
        <w:ind w:firstLine="640"/>
        <w:jc w:val="both"/>
      </w:pPr>
      <w:r>
        <w:rPr>
          <w:rFonts w:ascii="仿宋_GB2312" w:hAnsi="仿宋_GB2312" w:eastAsia="仿宋_GB2312"/>
          <w:b w:val="0"/>
          <w:sz w:val="32"/>
        </w:rPr>
        <w:t>一、《收入支出决算总表》</w:t>
      </w:r>
    </w:p>
    <w:p w14:paraId="5EB2E96F">
      <w:pPr>
        <w:spacing w:line="240" w:lineRule="auto"/>
        <w:ind w:firstLine="640"/>
        <w:jc w:val="both"/>
      </w:pPr>
      <w:r>
        <w:rPr>
          <w:rFonts w:ascii="仿宋_GB2312" w:hAnsi="仿宋_GB2312" w:eastAsia="仿宋_GB2312"/>
          <w:b w:val="0"/>
          <w:sz w:val="32"/>
        </w:rPr>
        <w:t>二、《收入决算表》</w:t>
      </w:r>
    </w:p>
    <w:p w14:paraId="6FD030ED">
      <w:pPr>
        <w:spacing w:line="240" w:lineRule="auto"/>
        <w:ind w:firstLine="640"/>
        <w:jc w:val="both"/>
      </w:pPr>
      <w:r>
        <w:rPr>
          <w:rFonts w:ascii="仿宋_GB2312" w:hAnsi="仿宋_GB2312" w:eastAsia="仿宋_GB2312"/>
          <w:b w:val="0"/>
          <w:sz w:val="32"/>
        </w:rPr>
        <w:t>三、《支出决算表》</w:t>
      </w:r>
    </w:p>
    <w:p w14:paraId="7963E545">
      <w:pPr>
        <w:spacing w:line="240" w:lineRule="auto"/>
        <w:ind w:firstLine="640"/>
        <w:jc w:val="both"/>
      </w:pPr>
      <w:r>
        <w:rPr>
          <w:rFonts w:ascii="仿宋_GB2312" w:hAnsi="仿宋_GB2312" w:eastAsia="仿宋_GB2312"/>
          <w:b w:val="0"/>
          <w:sz w:val="32"/>
        </w:rPr>
        <w:t>四、《财政拨款收入支出决算总表》</w:t>
      </w:r>
    </w:p>
    <w:p w14:paraId="1DBFEAB3">
      <w:pPr>
        <w:spacing w:line="240" w:lineRule="auto"/>
        <w:ind w:firstLine="640"/>
        <w:jc w:val="both"/>
      </w:pPr>
      <w:r>
        <w:rPr>
          <w:rFonts w:ascii="仿宋_GB2312" w:hAnsi="仿宋_GB2312" w:eastAsia="仿宋_GB2312"/>
          <w:b w:val="0"/>
          <w:sz w:val="32"/>
        </w:rPr>
        <w:t>五、《一般公共预算财政拨款支出决算表》</w:t>
      </w:r>
    </w:p>
    <w:p w14:paraId="781A9B1D">
      <w:pPr>
        <w:spacing w:line="240" w:lineRule="auto"/>
        <w:ind w:firstLine="640"/>
        <w:jc w:val="both"/>
      </w:pPr>
      <w:r>
        <w:rPr>
          <w:rFonts w:ascii="仿宋_GB2312" w:hAnsi="仿宋_GB2312" w:eastAsia="仿宋_GB2312"/>
          <w:b w:val="0"/>
          <w:sz w:val="32"/>
        </w:rPr>
        <w:t>六、《一般公共预算财政拨款基本支出决算表》</w:t>
      </w:r>
    </w:p>
    <w:p w14:paraId="794C8D1D">
      <w:pPr>
        <w:spacing w:line="240" w:lineRule="auto"/>
        <w:ind w:firstLine="640"/>
        <w:jc w:val="both"/>
      </w:pPr>
      <w:r>
        <w:rPr>
          <w:rFonts w:ascii="仿宋_GB2312" w:hAnsi="仿宋_GB2312" w:eastAsia="仿宋_GB2312"/>
          <w:b w:val="0"/>
          <w:sz w:val="32"/>
        </w:rPr>
        <w:t>七、《政府性基金预算财政拨款收入支出决算表》</w:t>
      </w:r>
    </w:p>
    <w:p w14:paraId="07171A51">
      <w:pPr>
        <w:spacing w:line="240" w:lineRule="auto"/>
        <w:ind w:firstLine="640"/>
        <w:jc w:val="both"/>
      </w:pPr>
      <w:r>
        <w:rPr>
          <w:rFonts w:ascii="仿宋_GB2312" w:hAnsi="仿宋_GB2312" w:eastAsia="仿宋_GB2312"/>
          <w:b w:val="0"/>
          <w:sz w:val="32"/>
        </w:rPr>
        <w:t>八、《国有资本经营预算财政拨款收入支出决算表》</w:t>
      </w:r>
    </w:p>
    <w:p w14:paraId="6A1EE98C">
      <w:pPr>
        <w:spacing w:line="240" w:lineRule="auto"/>
        <w:ind w:firstLine="640"/>
        <w:jc w:val="both"/>
      </w:pPr>
      <w:r>
        <w:rPr>
          <w:rFonts w:ascii="仿宋_GB2312" w:hAnsi="仿宋_GB2312" w:eastAsia="仿宋_GB2312"/>
          <w:b w:val="0"/>
          <w:sz w:val="32"/>
        </w:rPr>
        <w:t>九、《财政拨款“三公”经费支出决算表》</w:t>
      </w:r>
    </w:p>
    <w:p w14:paraId="610DAA8A">
      <w:pPr>
        <w:spacing w:line="240" w:lineRule="auto"/>
        <w:ind w:firstLine="640"/>
        <w:jc w:val="both"/>
      </w:pPr>
    </w:p>
    <w:p w14:paraId="62FAAEA0">
      <w:pPr>
        <w:spacing w:line="240" w:lineRule="auto"/>
        <w:ind w:firstLine="640"/>
        <w:jc w:val="both"/>
      </w:pPr>
    </w:p>
    <w:p w14:paraId="4474F27F">
      <w:pPr>
        <w:spacing w:line="240" w:lineRule="auto"/>
        <w:ind w:firstLine="640"/>
        <w:jc w:val="both"/>
      </w:pPr>
    </w:p>
    <w:p w14:paraId="44DD85B3">
      <w:pPr>
        <w:spacing w:line="240" w:lineRule="auto"/>
        <w:ind w:firstLine="640"/>
        <w:jc w:val="both"/>
      </w:pPr>
    </w:p>
    <w:p w14:paraId="33CE05A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BEA88D-B516-49E3-98E2-EE7AFFCFB7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1C510AF-26C5-4CDE-B03A-70F1FE9453A0}"/>
  </w:font>
  <w:font w:name="仿宋_GB2312">
    <w:panose1 w:val="02010609030101010101"/>
    <w:charset w:val="86"/>
    <w:family w:val="modern"/>
    <w:pitch w:val="default"/>
    <w:sig w:usb0="00000001" w:usb1="080E0000" w:usb2="00000000" w:usb3="00000000" w:csb0="00040000" w:csb1="00000000"/>
    <w:embedRegular r:id="rId3" w:fontKey="{3EA8B043-83E0-48ED-A086-3BF15D578F4F}"/>
  </w:font>
  <w:font w:name="楷体_GB2312">
    <w:panose1 w:val="02010609030101010101"/>
    <w:charset w:val="86"/>
    <w:family w:val="auto"/>
    <w:pitch w:val="default"/>
    <w:sig w:usb0="00000001" w:usb1="080E0000" w:usb2="00000000" w:usb3="00000000" w:csb0="00040000" w:csb1="00000000"/>
    <w:embedRegular r:id="rId4" w:fontKey="{73E6D0A7-AB80-46C9-A07E-8FCF90F92D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42753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C843D8"/>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7E630D"/>
    <w:rsid w:val="68DB0208"/>
    <w:rsid w:val="68DF36D5"/>
    <w:rsid w:val="69846A0E"/>
    <w:rsid w:val="69AD798C"/>
    <w:rsid w:val="6B68175F"/>
    <w:rsid w:val="6B8B5C99"/>
    <w:rsid w:val="6CA7198F"/>
    <w:rsid w:val="6D8919A8"/>
    <w:rsid w:val="6E0F7A08"/>
    <w:rsid w:val="6E801ABC"/>
    <w:rsid w:val="71473612"/>
    <w:rsid w:val="718F7F65"/>
    <w:rsid w:val="72B62B4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4658</Words>
  <Characters>5340</Characters>
  <Lines>0</Lines>
  <Paragraphs>0</Paragraphs>
  <TotalTime>4</TotalTime>
  <ScaleCrop>false</ScaleCrop>
  <LinksUpToDate>false</LinksUpToDate>
  <CharactersWithSpaces>5348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