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2024</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2024年县级房管所住房保障运行费</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阿克陶县房地产管理所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阿克陶县住房和城乡建设局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邓久龙</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2025年03月27日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（一）项目概况。包括项目背景、主要内容及实施情况、资金投入和使用情况等。</w:t>
        <w:br/>
        <w:t>该项资金用于2024年县级房管所住房保障运行费，通过该项目的实施逐步满足群众，提高干部工作的积极性。</w:t>
        <w:br/>
        <w:t>2.主要内容及实施情况</w:t>
        <w:br/>
        <w:t>（1）主要内容</w:t>
        <w:br/>
        <w:t>2024年县级房管所住房保障运行费项目资金6.4万元，实施地点分布在阿克陶县房地产管理所。</w:t>
        <w:br/>
        <w:t>（2）实施情况</w:t>
        <w:br/>
        <w:t>2024年县级房管所住房保障运行费项目资金6.4万元，实施地点分布在阿克陶县房地产管理所。用于完成购买办公用品3批，通过实施该项目保障单位正常运行及以便单位正常开展各项业务提供保障。</w:t>
        <w:br/>
        <w:t>3.项目实施主体</w:t>
        <w:br/>
        <w:t>该项目由阿克陶县房地产管理所实施，内设2个科室，分别是：业务办公室、财务室。</w:t>
        <w:br/>
        <w:t>主要职能：1、根据《中华人民共和国城市房地产管理法》，贯彻执行国家和省、市房产管理的方针、政策、法规。2、负责全县房产产籍登记造册管理；负责全县房产抵押登记管理，商品房银行按揭管理；商品房预售许可证的发放，商品房销售合同管理。3、负责全县房产交易市场管理；受理房产买卖、交换、赠与、租赁的申报，并进行审核、登记和鉴证等工作；监督房产交易行为，查处违法交易。4、负责全县房产中介服务管理（包括评估、咨询、经纪等中介服务）；对申报房产中介服务机构进行审批或办理报批手续；负责对房产中介人员的培训和考核；开展房产中介服务行业学术交流活动。5、负责管理全县物业管理工作；负责物业管理机构审批；负责对物业管理人员的培训和考核。6、负责集资房、经济适用房、解危解困房、安置房的使用，审查全县房产信息。7、负责出租房屋租赁登记备案工作；负责出租屋租赁登记的信息收集和档案管理，调解、处理出租屋租赁纠纷。8、负责直管公房（县政府授权管理的公房）的经营管理和维修养护；会同有关部门（单位）对直管公房进行新、旧建规划、建设和管理；指导监督其他房屋的管理；负责全县房屋测绘工作。</w:t>
        <w:br/>
        <w:t>编制人数7人，实有在职人数9人，其中：事业在职7人、离退休人员2人，自聘人员2人。</w:t>
        <w:br/>
        <w:t>4.资金投入和使用情况</w:t>
        <w:br/>
        <w:t>2024年县级房管所住房保障运行费项目资金6.4万元。其中：中央财政拨款0万元，自治区财政拨款0万元，本级财政拨款6.4万元，上年结余0万元。</w:t>
        <w:br/>
        <w:t>截至2024年12月31日，实际支出2万元，预算执行率31.25%。</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（二）项目绩效目标。包括总体目标和阶段性目标。</w:t>
        <w:br/>
        <w:t>1.项目绩效总目标：完成购买办公用品3批，通过实施该项目保障单位正常运行及以便单位正常开展各项业务提供保障，保障业务正常开展，确保房地产市场健康有序发展。</w:t>
        <w:br/>
        <w:t>2.阶段性目标：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（1）项目产出目标</w:t>
        <w:br/>
        <w:t>①数量指标</w:t>
        <w:br/>
        <w:t>“购置办公用品（批）”指标，预期指标值为=3批；</w:t>
        <w:br/>
        <w:t>②质量指标</w:t>
        <w:br/>
        <w:t>“购置质量合格率（%）”指标，预期指标值为=100%；</w:t>
        <w:br/>
        <w:t>“购置验收通过率（%）”指标，预期指标值为=100%；</w:t>
        <w:br/>
        <w:t>③时效指标</w:t>
        <w:br/>
        <w:t>“资金拨付及时率”指标，预期指标值为=100%；</w:t>
        <w:br/>
        <w:t>④成本指标</w:t>
        <w:br/>
        <w:t>①经济成本指标</w:t>
        <w:br/>
        <w:t>无</w:t>
        <w:br/>
        <w:t>②社会成本指标</w:t>
        <w:br/>
        <w:t>“单位购置办公用品成本（万元）”指标，预期指标值为=6.4万元；</w:t>
        <w:br/>
        <w:t>③生态环境成本</w:t>
        <w:br/>
        <w:t>无</w:t>
        <w:br/>
        <w:t>（2）项目效益效益目标</w:t>
        <w:br/>
        <w:t>①经济效益指标</w:t>
        <w:br/>
        <w:t>无</w:t>
        <w:br/>
        <w:t>②社会效益指标</w:t>
        <w:br/>
        <w:t></w:t>
        <w:br/>
        <w:t>“提升业务能力”指标，预期指标值为提升；</w:t>
        <w:br/>
        <w:t>“提升公共服务水平”指标，预期指标值为提升；</w:t>
        <w:br/>
        <w:t>③生态效益指标</w:t>
        <w:br/>
        <w:t>无</w:t>
        <w:br/>
        <w:t>（4）项目满意度指标</w:t>
        <w:br/>
        <w:t>①可持续影响</w:t>
        <w:br/>
        <w:t>无；</w:t>
        <w:br/>
        <w:t>②满意度指标</w:t>
        <w:br/>
        <w:t>“使用人员满意度（%）”指标，预期指标值为≥98%。</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w:t>
      </w:r>
      <w:r>
        <w:rPr>
          <w:rStyle w:val="17"/>
          <w:rFonts w:hint="eastAsia" w:ascii="楷体" w:hAnsi="楷体" w:eastAsia="楷体" w:cs="楷体"/>
          <w:bCs w:val="0"/>
          <w:spacing w:val="-4"/>
          <w:sz w:val="32"/>
          <w:szCs w:val="32"/>
          <w:lang w:eastAsia="zh-CN"/>
        </w:rPr>
        <w:t>和</w:t>
      </w:r>
      <w:r>
        <w:rPr>
          <w:rStyle w:val="17"/>
          <w:rFonts w:hint="eastAsia" w:ascii="楷体" w:hAnsi="楷体" w:eastAsia="楷体" w:cs="楷体"/>
          <w:bCs w:val="0"/>
          <w:spacing w:val="-4"/>
          <w:sz w:val="32"/>
          <w:szCs w:val="32"/>
        </w:rPr>
        <w:t>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（一）绩效评价目的、对象和范围。</w:t>
        <w:br/>
        <w:t>1.绩效评价目的</w:t>
        <w:b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（二）绩效评价原则、评价指标体系（附表说明）、评价方法、评价标准等。</w:t>
        <w:br/>
        <w:t>1.绩效评价原则</w:t>
        <w:br/>
        <w:t>本次评价坚持定量优先、定量与定性相结合的方式，始终遵循科学规范、公正公开、分级分类、绩效相关的基本原则。通过对2024年县级房管所住房保障运行费项目进行绩效评价，旨在了解项目资金使用和项目管理情况、取得的成绩及效益，进而分析在政策执行、预算资金安排、项目实施等方面存在的问题并提出针对性建议。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（三）绩效评价工作过程。</w:t>
        <w:br/>
        <w:t>本次评价成立了评价工作组，成员如下：</w:t>
        <w:br/>
        <w:t>本次评价设计了评价方案、评价指标体系，通过资料分析、调研、访谈满意度调查等方式形成评价结论，在与项目单位沟通后确定评价意见，并出具评价报告。</w:t>
        <w:br/>
        <w:t>第一阶段：前期准备。认真学习相关要求与规定，成立绩效评价工作组，作为绩效评价工作具体实施机构。成员构成如下：</w:t>
        <w:br/>
        <w:t>邓久龙任评价组组长，职务为中心主任，绩效评价工作职责为负责全盘工作。</w:t>
        <w:br/>
        <w:t>段续婕、帕夏古·吐尔逊、阿热孜古丽·图尔贡提任评价组成员，绩效评价工作职责为负责资料审核等工作。</w:t>
        <w:br/>
        <w:t>第二阶段：组织实施。经评价组通过实地调研等方式，采用综合分析法对项目的决策、管理、绩效进行的综合评价分析。</w:t>
        <w:br/>
        <w:t>第三阶段：分析评价。首先按照指标体系进行定量、定性分析。其次开展量化打分、综合评价工作，形成初步评价结论。最后归纳整体项目情况与存在问题，撰写部门绩效评价报告。</w:t>
        <w:br/>
        <w:t>第四阶段：撰写与提交评价报告</w:t>
        <w:br/>
        <w:t>项目撰写绩效评价报告，按照财政局大平台绩效系统中统一格式和文本框架撰写绩效评价报告。</w:t>
        <w:br/>
        <w:t>第五阶段：归集档案</w:t>
        <w:br/>
        <w:t>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　评价组对照项目绩效评价指标体系，从决策、过程、产出和效益四个维度，通过数据采集、实地调研和问卷访谈等方式，对“2024年县级房管所住房保障运行费”项目绩效进行客观公正的评价，本项目总得分为75分，绩效评级属于“中”。其中，决策类指标得分20分，过程类指标得分15分，产出类指标得分20分，效益类指标得分20分。</w:t>
        <w:br/>
        <w:t>（二）综合评价结论</w:t>
        <w:br/>
        <w:t>经评价，本项目达到了年初设立的绩效目标，在实施过程中取得了良好的成效，具体表现在：完成购买办公用品3批，通过实施该项目保障单位正常运行及以便单位正常开展各项业务提供保障。</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项目决策类指标包括项目立项、绩效目标和资金投入三方面的内容，由6个三级指标构成，权重分为 20 分，实际得分20分，得分率为100%。</w:t>
        <w:br/>
        <w:t>（1）立项依据充分性：结合阿克陶县房地产管理所组织实施。围绕阿克陶县房地产管理所年度工作重点和工作计划制定经费预算，根据评分标准，该指标不扣分，得3分。</w:t>
        <w:br/>
        <w:t>（2）立项程序规范性：根据决策依据编制工作计划和经费预算，经过与阿克陶县房地产管理所财经领导小组进行沟通、筛选确定经费预算计划，上局务会研究确定最终预算方案，根据评分标准，该指标不扣分，得2分。</w:t>
        <w:br/>
        <w:t>（3）绩效目标合理性：制定了实施方案，明确了总体思路及目标、并对任务进行了详细分解，对目标进行了细化，根据评分标准，该指标不扣分，得3分。</w:t>
        <w:br/>
        <w:t>（4）绩效指标明确性：将项目绩效目标细化分解为具体的绩效指标，根据评分标准，该指标不扣分，得2分。</w:t>
        <w:br/>
        <w:t>（5）预算编制科学性：预算编制经过预算标准下拨，实际完成内容与项目内容匹配，项目投资额与工作任务相匹配，根据评分标准，该指标不扣分，得5分。</w:t>
        <w:br/>
        <w:t>（6）资金分配合理性：资金分配与实际相适应，根据评分标准，该指标不扣分，得5分。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（二）项目过程情况。</w:t>
        <w:br/>
        <w:t>项目过程类指标包括资金管理和组织实施两方面的内容，由 5个三级指标构成，权重分为20分，实际得分15 分，得分率为75%。</w:t>
        <w:br/>
        <w:t>（1）资金到位率：该项目总投资6.4万元，县财政局实际下达经费6.4万元，其中当年财政拨款6.4万元，上年结转资金0万元，财政资金足额拨付到位，根据评分标准，该指标不扣分，得5分。</w:t>
        <w:br/>
        <w:t>（2）预算执行率：本项目申请预算金额为6.4万元，预算批复实际下达金额为6.4万元，截至 2024年 12 月 31日，资金执行2万元，资金执行率31.3%。项目资金支出总体未能够按照预算执行，根据评分标准，该指标扣5分，得0分。</w:t>
        <w:br/>
        <w:t>（3）资金使用合规性：符合预算批复规定用途，不存在截留、挤占、挪用、虚列支出等情况，未发现违规使用情况，根据评分标准，该指标不扣分，得5分。</w:t>
        <w:br/>
        <w:t>（4）管理制度健全性：财政资金进行严格管理，基本做到了专款专用，根据评分标准，该指标不扣分，得2分。</w:t>
        <w:br/>
        <w:t>（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（三）项目产出情况。</w:t>
        <w:br/>
        <w:t>项目产出类指标包括产出数量、产出质量、产出时效、产出成本四方面的内容，由4个三级指标构成，权重分为60分，实际得分30分，得分率为50%。</w:t>
        <w:br/>
        <w:t>（1）对于“产出数量”</w:t>
        <w:br/>
        <w:t>购置办公用品3批，与预期目标一致，根据评分标准，该指标不扣分，得10分。</w:t>
        <w:br/>
        <w:t>（2）对于“产出质量”：</w:t>
        <w:br/>
        <w:t>购置质量合格率100%，与预期目标一致，根据评分标准，该指标不扣分，得5分。</w:t>
        <w:br/>
        <w:t>购置验收通过率100%，与预期目标一致，根据评分标准，该指标不扣分，得5分。</w:t>
        <w:br/>
        <w:t>（3）对于“产出时效”：</w:t>
        <w:br/>
        <w:t>资金拨付及时率31.3%，与预期目标存在偏差，根据评分标准，该指标扣分，得0分。</w:t>
        <w:br/>
        <w:t>（4）对于“产出成本”：</w:t>
        <w:br/>
        <w:t>单位购置办公用品成本2万元，与预期目标存在偏差，根据评分标准，该指标扣10分，得0分。</w:t>
        <w:br/>
        <w:t>合计得20分。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w:t>
        <w:br/>
        <w:t>（四）项目效益情况。</w:t>
        <w:br/>
        <w:t>项目效益类指标包括项目效益1个方面的内容，由2个三级指标构成，权重分为20分，实际得分20分，得分率为100%。</w:t>
        <w:br/>
        <w:t>（1）实施效益指标：</w:t>
        <w:br/>
        <w:t>对于“社会经济效益指标”：</w:t>
        <w:br/>
        <w:t>提升业务能力，与预期指标一致，根据评分标准，该指标不扣分，得5分。</w:t>
        <w:br/>
        <w:t>提升公共服务水平，与预期指标一致，根据评分标准，该指标不扣分，得5分。</w:t>
        <w:br/>
        <w:t>实施效益指标合计得10分。</w:t>
      </w:r>
    </w:p>
    <w:p>
      <w:pPr>
        <w:spacing w:line="540" w:lineRule="exact"/>
        <w:ind w:firstLine="567"/>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（2）满意度指标：</w:t>
        <w:br/>
        <w:t>使用人员满意度100%，与预期指标一致，根据评分标准，该指标不扣分，得10分。</w:t>
        <w:br/>
        <w:t>合计得10分。</w:t>
      </w:r>
      <w:bookmarkStart w:id="0" w:name="_GoBack"/>
      <w:bookmarkEnd w:id="0"/>
    </w:p>
    <w:p>
      <w:pPr>
        <w:spacing w:line="570" w:lineRule="exact"/>
        <w:ind w:firstLine="624" w:firstLineChars="200"/>
        <w:rPr>
          <w:rStyle w:val="17"/>
          <w:rFonts w:hint="eastAsia" w:ascii="黑体" w:hAnsi="黑体" w:eastAsia="黑体" w:cs="黑体"/>
          <w:b w:val="0"/>
          <w:spacing w:val="-4"/>
          <w:sz w:val="32"/>
          <w:szCs w:val="32"/>
          <w:lang w:eastAsia="zh-CN"/>
        </w:rPr>
      </w:pPr>
      <w:r>
        <w:rPr>
          <w:rStyle w:val="17"/>
          <w:rFonts w:hint="eastAsia" w:ascii="黑体" w:hAnsi="黑体" w:eastAsia="黑体" w:cs="黑体"/>
          <w:b w:val="0"/>
          <w:spacing w:val="-4"/>
          <w:sz w:val="32"/>
          <w:szCs w:val="32"/>
        </w:rPr>
        <w:t>五、主要经验及做法、存在的问题及原因分析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2024年县级房管所住房保障运行费项目预算6.4万元，到位6.4万元，实际支出2万元，预算执行率为31.3%，项目绩效指标总体完成率为31.3%，预算执行进度与绩效指标有偏差。偏差率为68.7%，偏差原因：员工增强了节约意识，主动践行双面打印，办公用品消耗速度减缓，致使预算未完全使用。</w:t>
        <w:br/>
        <w:t>（一）主要经验及做法</w:t>
        <w:br/>
        <w:t>1．不断完善各项预算管理制度，根据新形势和新要求，结合不断出台的各项制度，制定相应的预算管理制度。强化预算管理，事前必编预算，控制经费使用，使用必问绩效，将绩效管理贯穿于预算编制、执行及决算等环节。</w:t>
        <w:br/>
        <w:t>2．加强宣传，加强对各项制度的执行力度，杜绝有令不行、有禁不止的情况发生。</w:t>
        <w:br/>
        <w:t>（二）存在问题及原因分析</w:t>
        <w:br/>
        <w:t>截止自评节点，本项目存在资金未全额发放，原因：员工增强了节约意识，主动践行双面打印，办公用品消耗速度减缓，致使预算未完全使用。</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1.绩效管理方面</w:t>
        <w:br/>
        <w:t>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br/>
        <w:t>2.资金管理方面</w:t>
        <w:br/>
        <w:t>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br/>
        <w:t>3.项目管理方面</w:t>
        <w:br/>
        <w:t>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无</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08877A58"/>
    <w:rsid w:val="2AE11386"/>
    <w:rsid w:val="2D4C6AD2"/>
    <w:rsid w:val="2D5A6638"/>
    <w:rsid w:val="2D9B5225"/>
    <w:rsid w:val="340D5924"/>
    <w:rsid w:val="43B04001"/>
    <w:rsid w:val="4609551D"/>
    <w:rsid w:val="4D2606A1"/>
    <w:rsid w:val="4DD42C22"/>
    <w:rsid w:val="503863D1"/>
    <w:rsid w:val="50796DE0"/>
    <w:rsid w:val="5DA70C36"/>
    <w:rsid w:val="6ACB5763"/>
    <w:rsid w:val="700D171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0</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2025-03-11T10:44:25Z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