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阿克陶县房地产管理所2024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07236ED">
      <w:r>
        <w:br w:type="page"/>
      </w:r>
    </w:p>
    <w:p w14:paraId="2D1FC7D0">
      <w:pPr>
        <w:spacing w:line="640" w:lineRule="exact"/>
        <w:jc w:val="center"/>
        <w:outlineLvl w:val="1"/>
      </w:pPr>
      <w:r>
        <w:rPr>
          <w:rFonts w:ascii="黑体" w:hAnsi="黑体" w:eastAsia="黑体"/>
          <w:sz w:val="32"/>
        </w:rPr>
        <w:t>第一部分 单位概况</w:t>
      </w:r>
    </w:p>
    <w:p w14:paraId="543B629F">
      <w:pPr>
        <w:spacing w:line="640" w:lineRule="exact"/>
        <w:ind w:firstLine="640"/>
        <w:jc w:val="both"/>
        <w:outlineLvl w:val="2"/>
      </w:pPr>
      <w:r>
        <w:rPr>
          <w:rFonts w:ascii="黑体" w:hAnsi="黑体" w:eastAsia="黑体"/>
          <w:sz w:val="32"/>
        </w:rPr>
        <w:t>一、主要职能</w:t>
      </w:r>
    </w:p>
    <w:p w14:paraId="173F6630">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贯彻执行国家、自治区有关房地产业的方针、政策</w:t>
      </w:r>
      <w:bookmarkStart w:id="0" w:name="_GoBack"/>
      <w:r>
        <w:rPr>
          <w:rFonts w:hint="eastAsia" w:ascii="仿宋_GB2312" w:hAnsi="仿宋_GB2312" w:eastAsia="仿宋_GB2312"/>
          <w:sz w:val="32"/>
          <w:lang w:eastAsia="zh-CN"/>
        </w:rPr>
        <w:t>、</w:t>
      </w:r>
      <w:bookmarkEnd w:id="0"/>
      <w:r>
        <w:rPr>
          <w:rFonts w:ascii="仿宋_GB2312" w:hAnsi="仿宋_GB2312" w:eastAsia="仿宋_GB2312"/>
          <w:sz w:val="32"/>
        </w:rPr>
        <w:t>法律、法规；参与拟订全县房产管理方面的规定和办法，并组织实施。</w:t>
      </w:r>
    </w:p>
    <w:p w14:paraId="24046B1A">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负责全县房地产业的行业管理；研究制定全县房地产业的发展战略和中长期规划；负责编制全县住宅建设的发展规划和年度计划并实施。</w:t>
      </w:r>
    </w:p>
    <w:p w14:paraId="251A56E2">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负责全县住房制度改革工作；研究拟订全县有关住房制度的具体政策和实施办法；负责全县房屋修缮管理工作。</w:t>
      </w:r>
    </w:p>
    <w:p w14:paraId="228E7072">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负责全县二手房房屋权属管理。</w:t>
      </w:r>
    </w:p>
    <w:p w14:paraId="78C41BDE">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负责全县房产交易市场管理；对房屋交易以及租赁、</w:t>
      </w:r>
      <w:r>
        <w:rPr>
          <w:rFonts w:hint="eastAsia" w:ascii="仿宋_GB2312" w:hAnsi="仿宋_GB2312" w:eastAsia="仿宋_GB2312"/>
          <w:sz w:val="32"/>
          <w:lang w:eastAsia="zh-CN"/>
        </w:rPr>
        <w:t>赠予</w:t>
      </w:r>
      <w:r>
        <w:rPr>
          <w:rFonts w:ascii="仿宋_GB2312" w:hAnsi="仿宋_GB2312" w:eastAsia="仿宋_GB2312"/>
          <w:sz w:val="32"/>
        </w:rPr>
        <w:t>、拍卖、置换等市场行为进行管理；负责房产中介服务机构的资质管理和经纪人的资质认证工作；负责全县房地产评估机构资质审定管理工作。</w:t>
      </w:r>
    </w:p>
    <w:p w14:paraId="7128C502">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负责管理全县物业；研究制定全县物业管理发展规划；负责物业管理企业的资质管理和企业等级评定及住宅小区达标验收工作；指导业主委员会的组建及备案工作。</w:t>
      </w:r>
    </w:p>
    <w:p w14:paraId="7E5135B8">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负责直管公房经营管理，编制直管公房修缮计划并负责实施；负责全县房屋共用部位、共用设施维修基金的建立，归集、管理及使用审批工作。负责全县保障性住房分配管理、租金的收缴、入住人员资格审核等工作。</w:t>
      </w:r>
    </w:p>
    <w:p w14:paraId="2E3CDDA6">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完成上级交办的其他工作。</w:t>
      </w:r>
    </w:p>
    <w:p w14:paraId="2DB350A0">
      <w:pPr>
        <w:spacing w:line="640" w:lineRule="exact"/>
        <w:ind w:firstLine="640"/>
        <w:jc w:val="both"/>
        <w:outlineLvl w:val="2"/>
      </w:pPr>
      <w:r>
        <w:rPr>
          <w:rFonts w:ascii="黑体" w:hAnsi="黑体" w:eastAsia="黑体"/>
          <w:sz w:val="32"/>
        </w:rPr>
        <w:t>二、机构设置及人员情况</w:t>
      </w:r>
    </w:p>
    <w:p w14:paraId="3C102246">
      <w:pPr>
        <w:spacing w:line="580" w:lineRule="exact"/>
        <w:ind w:firstLine="640"/>
        <w:jc w:val="both"/>
      </w:pPr>
      <w:r>
        <w:rPr>
          <w:rFonts w:ascii="仿宋_GB2312" w:hAnsi="仿宋_GB2312" w:eastAsia="仿宋_GB2312"/>
          <w:sz w:val="32"/>
        </w:rPr>
        <w:t>阿克陶县房地产管理所2024年度，实有人数11人，其中：在职人员9人，减少6人；离休人员0人，增加0人；退休人员2人,增加0人。</w:t>
      </w:r>
    </w:p>
    <w:p w14:paraId="71257E83">
      <w:pPr>
        <w:spacing w:line="580" w:lineRule="exact"/>
        <w:ind w:firstLine="640"/>
        <w:jc w:val="both"/>
      </w:pPr>
      <w:r>
        <w:rPr>
          <w:rFonts w:ascii="仿宋_GB2312" w:hAnsi="仿宋_GB2312" w:eastAsia="仿宋_GB2312"/>
          <w:sz w:val="32"/>
        </w:rPr>
        <w:t>阿克陶县房地产管理所无下属预算单位，下设2个科室，分别是：业务办公室、财务室。</w:t>
      </w:r>
    </w:p>
    <w:p w14:paraId="6C9EBF49">
      <w:r>
        <w:br w:type="page"/>
      </w:r>
    </w:p>
    <w:p w14:paraId="653E8253">
      <w:pPr>
        <w:spacing w:line="240" w:lineRule="auto"/>
        <w:jc w:val="center"/>
        <w:outlineLvl w:val="1"/>
      </w:pPr>
      <w:r>
        <w:rPr>
          <w:rFonts w:ascii="黑体" w:hAnsi="黑体" w:eastAsia="黑体"/>
          <w:sz w:val="32"/>
        </w:rPr>
        <w:t>第二部分 部门决算情况说明</w:t>
      </w:r>
    </w:p>
    <w:p w14:paraId="2BE1FDA8">
      <w:pPr>
        <w:spacing w:line="640" w:lineRule="exact"/>
        <w:ind w:firstLine="640"/>
        <w:jc w:val="both"/>
        <w:outlineLvl w:val="2"/>
      </w:pPr>
      <w:r>
        <w:rPr>
          <w:rFonts w:ascii="黑体" w:hAnsi="黑体" w:eastAsia="黑体"/>
          <w:sz w:val="32"/>
        </w:rPr>
        <w:t>一、收入支出决算总体情况说明</w:t>
      </w:r>
    </w:p>
    <w:p w14:paraId="590BF80A">
      <w:pPr>
        <w:spacing w:line="580" w:lineRule="exact"/>
        <w:ind w:firstLine="640"/>
        <w:jc w:val="both"/>
      </w:pPr>
      <w:r>
        <w:rPr>
          <w:rFonts w:ascii="仿宋_GB2312" w:hAnsi="仿宋_GB2312" w:eastAsia="仿宋_GB2312"/>
          <w:b/>
          <w:sz w:val="32"/>
        </w:rPr>
        <w:t>2024年度收入总计269.86万元，</w:t>
      </w:r>
      <w:r>
        <w:rPr>
          <w:rFonts w:ascii="仿宋_GB2312" w:hAnsi="仿宋_GB2312" w:eastAsia="仿宋_GB2312"/>
          <w:b w:val="0"/>
          <w:sz w:val="32"/>
        </w:rPr>
        <w:t>其中：本年收入合计247.60万元，使用非财政拨款结余（含专用结余）0.00万元，年初结转和结余22.26万元。</w:t>
      </w:r>
    </w:p>
    <w:p w14:paraId="3228BC4F">
      <w:pPr>
        <w:spacing w:line="580" w:lineRule="exact"/>
        <w:ind w:firstLine="640"/>
        <w:jc w:val="both"/>
      </w:pPr>
      <w:r>
        <w:rPr>
          <w:rFonts w:ascii="仿宋_GB2312" w:hAnsi="仿宋_GB2312" w:eastAsia="仿宋_GB2312"/>
          <w:b/>
          <w:sz w:val="32"/>
        </w:rPr>
        <w:t>2024年度支出总计269.86万元，</w:t>
      </w:r>
      <w:r>
        <w:rPr>
          <w:rFonts w:ascii="仿宋_GB2312" w:hAnsi="仿宋_GB2312" w:eastAsia="仿宋_GB2312"/>
          <w:b w:val="0"/>
          <w:sz w:val="32"/>
        </w:rPr>
        <w:t>其中：本年支出合计243.09万元，结余分配0.00万元，年末结转和结余26.77万元。</w:t>
      </w:r>
    </w:p>
    <w:p w14:paraId="67883174">
      <w:pPr>
        <w:spacing w:line="580" w:lineRule="exact"/>
        <w:ind w:firstLine="640"/>
        <w:jc w:val="both"/>
      </w:pPr>
      <w:r>
        <w:rPr>
          <w:rFonts w:ascii="仿宋_GB2312" w:hAnsi="仿宋_GB2312" w:eastAsia="仿宋_GB2312"/>
          <w:b w:val="0"/>
          <w:sz w:val="32"/>
        </w:rPr>
        <w:t>收入支出总体与上年相比，减少29.22万元，下降9.77%，主要原因是：本年在职人员减少，相关人员经费较上年减少。</w:t>
      </w:r>
    </w:p>
    <w:p w14:paraId="72A5DD4D">
      <w:pPr>
        <w:spacing w:line="640" w:lineRule="exact"/>
        <w:ind w:firstLine="640"/>
        <w:jc w:val="both"/>
        <w:outlineLvl w:val="2"/>
      </w:pPr>
      <w:r>
        <w:rPr>
          <w:rFonts w:ascii="黑体" w:hAnsi="黑体" w:eastAsia="黑体"/>
          <w:sz w:val="32"/>
        </w:rPr>
        <w:t>二、收入决算情况说明</w:t>
      </w:r>
    </w:p>
    <w:p w14:paraId="5A7ACC73">
      <w:pPr>
        <w:spacing w:line="580" w:lineRule="exact"/>
        <w:ind w:firstLine="640"/>
        <w:jc w:val="both"/>
      </w:pPr>
      <w:r>
        <w:rPr>
          <w:rFonts w:ascii="仿宋_GB2312" w:hAnsi="仿宋_GB2312" w:eastAsia="仿宋_GB2312"/>
          <w:b/>
          <w:sz w:val="32"/>
        </w:rPr>
        <w:t>本年收入247.60万元，</w:t>
      </w:r>
      <w:r>
        <w:rPr>
          <w:rFonts w:ascii="仿宋_GB2312" w:hAnsi="仿宋_GB2312" w:eastAsia="仿宋_GB2312"/>
          <w:b w:val="0"/>
          <w:sz w:val="32"/>
        </w:rPr>
        <w:t>其中：财政拨款收入242.98万元，占98.13%；上级补助收入0.00万元，占0.00%；事业收入0.00万元，占0.00%；经营收入0.00万元，占0.00%；附属单位上缴收入0.00万元，占0.00%；其他收入4.63万元，占1.87%。</w:t>
      </w:r>
    </w:p>
    <w:p w14:paraId="1B8FC3FD">
      <w:pPr>
        <w:spacing w:line="640" w:lineRule="exact"/>
        <w:ind w:firstLine="640"/>
        <w:jc w:val="both"/>
        <w:outlineLvl w:val="2"/>
      </w:pPr>
      <w:r>
        <w:rPr>
          <w:rFonts w:ascii="黑体" w:hAnsi="黑体" w:eastAsia="黑体"/>
          <w:sz w:val="32"/>
        </w:rPr>
        <w:t>三、支出决算情况说明</w:t>
      </w:r>
    </w:p>
    <w:p w14:paraId="33334452">
      <w:pPr>
        <w:spacing w:line="580" w:lineRule="exact"/>
        <w:ind w:firstLine="640"/>
        <w:jc w:val="both"/>
      </w:pPr>
      <w:r>
        <w:rPr>
          <w:rFonts w:ascii="仿宋_GB2312" w:hAnsi="仿宋_GB2312" w:eastAsia="仿宋_GB2312"/>
          <w:b/>
          <w:sz w:val="32"/>
        </w:rPr>
        <w:t>本年支出243.09万元，</w:t>
      </w:r>
      <w:r>
        <w:rPr>
          <w:rFonts w:ascii="仿宋_GB2312" w:hAnsi="仿宋_GB2312" w:eastAsia="仿宋_GB2312"/>
          <w:b w:val="0"/>
          <w:sz w:val="32"/>
        </w:rPr>
        <w:t>其中：基本支出180.97万元，占74.45%；项目支出62.12万元，占25.55%；上缴上级支出0.00万元，占0.00%；经营支出0.00万元，占0.00%；对附属单位补助支出0.00万元，占0.00%。</w:t>
      </w:r>
    </w:p>
    <w:p w14:paraId="16760934">
      <w:pPr>
        <w:spacing w:line="640" w:lineRule="exact"/>
        <w:ind w:firstLine="640"/>
        <w:jc w:val="both"/>
        <w:outlineLvl w:val="2"/>
      </w:pPr>
      <w:r>
        <w:rPr>
          <w:rFonts w:ascii="黑体" w:hAnsi="黑体" w:eastAsia="黑体"/>
          <w:sz w:val="32"/>
        </w:rPr>
        <w:t>四、财政拨款收入支出决算总体情况说明</w:t>
      </w:r>
    </w:p>
    <w:p w14:paraId="1F9C92BE">
      <w:pPr>
        <w:spacing w:line="580" w:lineRule="exact"/>
        <w:ind w:firstLine="640"/>
        <w:jc w:val="both"/>
      </w:pPr>
      <w:r>
        <w:rPr>
          <w:rFonts w:ascii="仿宋_GB2312" w:hAnsi="仿宋_GB2312" w:eastAsia="仿宋_GB2312"/>
          <w:b/>
          <w:sz w:val="32"/>
        </w:rPr>
        <w:t>2024年度财政拨款收入总计242.98万元，</w:t>
      </w:r>
      <w:r>
        <w:rPr>
          <w:rFonts w:ascii="仿宋_GB2312" w:hAnsi="仿宋_GB2312" w:eastAsia="仿宋_GB2312"/>
          <w:b w:val="0"/>
          <w:sz w:val="32"/>
        </w:rPr>
        <w:t>其中：年初财政拨款结转和结余0.00万元，本年财政拨款收入242.98万元。</w:t>
      </w:r>
      <w:r>
        <w:rPr>
          <w:rFonts w:ascii="仿宋_GB2312" w:hAnsi="仿宋_GB2312" w:eastAsia="仿宋_GB2312"/>
          <w:b/>
          <w:sz w:val="32"/>
        </w:rPr>
        <w:t>财政拨款支出总计242.98万元，</w:t>
      </w:r>
      <w:r>
        <w:rPr>
          <w:rFonts w:ascii="仿宋_GB2312" w:hAnsi="仿宋_GB2312" w:eastAsia="仿宋_GB2312"/>
          <w:b w:val="0"/>
          <w:sz w:val="32"/>
        </w:rPr>
        <w:t>其中：年末财政拨款结转和结余0.00万元，本年财政拨款支出242.98万元。</w:t>
      </w:r>
    </w:p>
    <w:p w14:paraId="17B0E13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减少33.39万元，下降12.08%，主要原因是：本年在职人员减少，相关人员经费较上年减少。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年初预算数270.94万元，决算数242.98万元，预决算差异率-10.32%，主要原因是：本年在职人员减少，年中调减人员经费，导致预决算存在差异。</w:t>
      </w:r>
    </w:p>
    <w:p w14:paraId="24049B9F">
      <w:pPr>
        <w:spacing w:line="640" w:lineRule="exact"/>
        <w:ind w:firstLine="640"/>
        <w:jc w:val="both"/>
        <w:outlineLvl w:val="2"/>
      </w:pPr>
      <w:r>
        <w:rPr>
          <w:rFonts w:ascii="黑体" w:hAnsi="黑体" w:eastAsia="黑体"/>
          <w:sz w:val="32"/>
        </w:rPr>
        <w:t>五、一般公共预算财政拨款支出决算情况说明</w:t>
      </w:r>
    </w:p>
    <w:p w14:paraId="670A4265">
      <w:pPr>
        <w:spacing w:line="640" w:lineRule="exact"/>
        <w:ind w:firstLine="640"/>
        <w:jc w:val="both"/>
        <w:outlineLvl w:val="3"/>
      </w:pPr>
      <w:r>
        <w:rPr>
          <w:rFonts w:ascii="楷体_GB2312" w:hAnsi="楷体_GB2312" w:eastAsia="楷体_GB2312"/>
          <w:b/>
          <w:sz w:val="32"/>
        </w:rPr>
        <w:t>（一）一般公共预算财政拨款支出决算总体情况</w:t>
      </w:r>
    </w:p>
    <w:p w14:paraId="77E93141">
      <w:pPr>
        <w:spacing w:line="580" w:lineRule="exact"/>
        <w:ind w:firstLine="640"/>
        <w:jc w:val="both"/>
      </w:pPr>
      <w:r>
        <w:rPr>
          <w:rFonts w:ascii="仿宋_GB2312" w:hAnsi="仿宋_GB2312" w:eastAsia="仿宋_GB2312"/>
          <w:b/>
          <w:sz w:val="32"/>
        </w:rPr>
        <w:t>2024年度一般公共预算财政拨款支出242.98万元，</w:t>
      </w:r>
      <w:r>
        <w:rPr>
          <w:rFonts w:ascii="仿宋_GB2312" w:hAnsi="仿宋_GB2312" w:eastAsia="仿宋_GB2312"/>
          <w:b w:val="0"/>
          <w:sz w:val="32"/>
        </w:rPr>
        <w:t>占本年支出合计的99.95%。</w:t>
      </w:r>
      <w:r>
        <w:rPr>
          <w:rFonts w:ascii="仿宋_GB2312" w:hAnsi="仿宋_GB2312" w:eastAsia="仿宋_GB2312"/>
          <w:b/>
          <w:sz w:val="32"/>
        </w:rPr>
        <w:t>与上年相比，</w:t>
      </w:r>
      <w:r>
        <w:rPr>
          <w:rFonts w:ascii="仿宋_GB2312" w:hAnsi="仿宋_GB2312" w:eastAsia="仿宋_GB2312"/>
          <w:b w:val="0"/>
          <w:sz w:val="32"/>
        </w:rPr>
        <w:t>减少33.39万元，下降12.08%，主要原因是：本年在职人员减少，相关人员经费较上年减少。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年初预算数270.94万元，决算数242.98万元，预决算差异率-10.32%，主要原因是：本年在职人员减少，年中调减人员经费，导致预决算存在差异。</w:t>
      </w:r>
    </w:p>
    <w:p w14:paraId="34B0D4E1">
      <w:pPr>
        <w:spacing w:line="640" w:lineRule="exact"/>
        <w:ind w:firstLine="640"/>
        <w:jc w:val="both"/>
        <w:outlineLvl w:val="3"/>
      </w:pPr>
      <w:r>
        <w:rPr>
          <w:rFonts w:ascii="楷体_GB2312" w:hAnsi="楷体_GB2312" w:eastAsia="楷体_GB2312"/>
          <w:b/>
          <w:sz w:val="32"/>
        </w:rPr>
        <w:t>（二）一般公共预算财政拨款支出决算结构情况</w:t>
      </w:r>
    </w:p>
    <w:p w14:paraId="47D69D43">
      <w:pPr>
        <w:spacing w:line="580" w:lineRule="exact"/>
        <w:ind w:firstLine="640"/>
        <w:jc w:val="both"/>
      </w:pPr>
      <w:r>
        <w:rPr>
          <w:rFonts w:ascii="仿宋_GB2312" w:hAnsi="仿宋_GB2312" w:eastAsia="仿宋_GB2312"/>
          <w:b w:val="0"/>
          <w:sz w:val="32"/>
        </w:rPr>
        <w:t>1.社会保障和就业支出(类)21.75万元,占8.95%。</w:t>
      </w:r>
    </w:p>
    <w:p w14:paraId="2E7F4913">
      <w:pPr>
        <w:spacing w:line="580" w:lineRule="exact"/>
        <w:ind w:firstLine="640"/>
        <w:jc w:val="both"/>
      </w:pPr>
      <w:r>
        <w:rPr>
          <w:rFonts w:ascii="仿宋_GB2312" w:hAnsi="仿宋_GB2312" w:eastAsia="仿宋_GB2312"/>
          <w:b w:val="0"/>
          <w:sz w:val="32"/>
        </w:rPr>
        <w:t>2.卫生健康支出(类)6.87万元,占2.83%。</w:t>
      </w:r>
    </w:p>
    <w:p w14:paraId="26B953F0">
      <w:pPr>
        <w:spacing w:line="580" w:lineRule="exact"/>
        <w:ind w:firstLine="640"/>
        <w:jc w:val="both"/>
      </w:pPr>
      <w:r>
        <w:rPr>
          <w:rFonts w:ascii="仿宋_GB2312" w:hAnsi="仿宋_GB2312" w:eastAsia="仿宋_GB2312"/>
          <w:b w:val="0"/>
          <w:sz w:val="32"/>
        </w:rPr>
        <w:t>3.城乡社区支出(类)199.46万元,占82.09%。</w:t>
      </w:r>
    </w:p>
    <w:p w14:paraId="4C93C1EE">
      <w:pPr>
        <w:spacing w:line="580" w:lineRule="exact"/>
        <w:ind w:firstLine="640"/>
        <w:jc w:val="both"/>
      </w:pPr>
      <w:r>
        <w:rPr>
          <w:rFonts w:ascii="仿宋_GB2312" w:hAnsi="仿宋_GB2312" w:eastAsia="仿宋_GB2312"/>
          <w:b w:val="0"/>
          <w:sz w:val="32"/>
        </w:rPr>
        <w:t>4.住房保障支出(类)14.91万元,占6.14%。</w:t>
      </w:r>
    </w:p>
    <w:p w14:paraId="78CCB2D7">
      <w:pPr>
        <w:spacing w:line="640" w:lineRule="exact"/>
        <w:ind w:firstLine="640"/>
        <w:jc w:val="both"/>
        <w:outlineLvl w:val="3"/>
      </w:pPr>
      <w:r>
        <w:rPr>
          <w:rFonts w:ascii="楷体_GB2312" w:hAnsi="楷体_GB2312" w:eastAsia="楷体_GB2312"/>
          <w:b/>
          <w:sz w:val="32"/>
        </w:rPr>
        <w:t>（三）一般公共预算财政拨款支出决算具体情况</w:t>
      </w:r>
    </w:p>
    <w:p w14:paraId="270F12D1">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1.社会保障和就业支出(类)行政事业单位养老支出(款)事业单位离退休(项):支出决算数为2.60万元，比上年决算增加0.42万元，增长19.27%,主要原因是：2024年调高退休人员基础性绩效奖标准，退休经费增加。</w:t>
      </w:r>
    </w:p>
    <w:p w14:paraId="701752DB">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19.15万元，比上年决算减少5.98万元，下降23.80%,主要原因是：在职人员减少，机关事业单位基本养老保险缴费支出减少。</w:t>
      </w:r>
    </w:p>
    <w:p w14:paraId="59865E02">
      <w:pPr>
        <w:spacing w:line="580" w:lineRule="exact"/>
        <w:ind w:firstLine="640"/>
        <w:jc w:val="both"/>
      </w:pPr>
      <w:r>
        <w:rPr>
          <w:rFonts w:ascii="仿宋_GB2312" w:hAnsi="仿宋_GB2312" w:eastAsia="仿宋_GB2312"/>
          <w:b w:val="0"/>
          <w:sz w:val="32"/>
        </w:rPr>
        <w:t>3.卫生健康支出(类)行政事业单位医疗(款)事业单位医疗(项):支出决算数为6.87万元，比上年决算减少2.00万元，下降22.55%,主要原因是：在职人员减少，事业单位医疗缴费支出减少。</w:t>
      </w:r>
    </w:p>
    <w:p w14:paraId="53AA4C02">
      <w:pPr>
        <w:spacing w:line="580" w:lineRule="exact"/>
        <w:ind w:firstLine="640"/>
        <w:jc w:val="both"/>
      </w:pPr>
      <w:r>
        <w:rPr>
          <w:rFonts w:ascii="仿宋_GB2312" w:hAnsi="仿宋_GB2312" w:eastAsia="仿宋_GB2312"/>
          <w:b w:val="0"/>
          <w:sz w:val="32"/>
        </w:rPr>
        <w:t>4.城乡社区支出(类)城乡社区管理事务(款)住宅建设与房地产市场监管(项):支出决算数为197.46万元，比上年决算减少23.09万元，下降10.47%,主要原因是：在职人员减少，工资</w:t>
      </w:r>
      <w:r>
        <w:rPr>
          <w:rFonts w:hint="eastAsia" w:ascii="仿宋_GB2312" w:hAnsi="仿宋_GB2312" w:eastAsia="仿宋_GB2312"/>
          <w:b w:val="0"/>
          <w:sz w:val="32"/>
          <w:lang w:val="en-US" w:eastAsia="zh-CN"/>
        </w:rPr>
        <w:t>福利</w:t>
      </w:r>
      <w:r>
        <w:rPr>
          <w:rFonts w:ascii="仿宋_GB2312" w:hAnsi="仿宋_GB2312" w:eastAsia="仿宋_GB2312"/>
          <w:b w:val="0"/>
          <w:sz w:val="32"/>
        </w:rPr>
        <w:t>支出减少。</w:t>
      </w:r>
    </w:p>
    <w:p w14:paraId="09D3CDA7">
      <w:pPr>
        <w:spacing w:line="580" w:lineRule="exact"/>
        <w:ind w:firstLine="640"/>
        <w:jc w:val="both"/>
      </w:pPr>
      <w:r>
        <w:rPr>
          <w:rFonts w:ascii="仿宋_GB2312" w:hAnsi="仿宋_GB2312" w:eastAsia="仿宋_GB2312"/>
          <w:b w:val="0"/>
          <w:sz w:val="32"/>
        </w:rPr>
        <w:t>5.城乡社区支出(类)城乡社区管理事务(款)其他城乡社区管理事务支出(项):支出决算数为2.00万元，比上年决算增加2.00万元，增长100.00%,主要原因是：业务量增加，办公经费支出增加。</w:t>
      </w:r>
    </w:p>
    <w:p w14:paraId="309E98EF">
      <w:pPr>
        <w:spacing w:line="580" w:lineRule="exact"/>
        <w:ind w:firstLine="640"/>
        <w:jc w:val="both"/>
      </w:pPr>
      <w:r>
        <w:rPr>
          <w:rFonts w:ascii="仿宋_GB2312" w:hAnsi="仿宋_GB2312" w:eastAsia="仿宋_GB2312"/>
          <w:b w:val="0"/>
          <w:sz w:val="32"/>
        </w:rPr>
        <w:t>6.住房保障支出(类)住房改革支出(款)住房公积金(项):支出决算数为14.91万元，比上年决算减少4.74万元，下降24.12%,主要原因是：在职人员减少，住房公积金支出减少。</w:t>
      </w:r>
    </w:p>
    <w:p w14:paraId="70ED8105">
      <w:pPr>
        <w:spacing w:line="640" w:lineRule="exact"/>
        <w:ind w:firstLine="640"/>
        <w:jc w:val="both"/>
        <w:outlineLvl w:val="2"/>
      </w:pPr>
      <w:r>
        <w:rPr>
          <w:rFonts w:ascii="黑体" w:hAnsi="黑体" w:eastAsia="黑体"/>
          <w:sz w:val="32"/>
        </w:rPr>
        <w:t>六、一般公共预算财政拨款基本支出决算情况说明</w:t>
      </w:r>
    </w:p>
    <w:p w14:paraId="15BD0F31">
      <w:pPr>
        <w:spacing w:line="580" w:lineRule="exact"/>
        <w:ind w:firstLine="640"/>
        <w:jc w:val="both"/>
      </w:pPr>
      <w:r>
        <w:rPr>
          <w:rFonts w:ascii="仿宋_GB2312" w:hAnsi="仿宋_GB2312" w:eastAsia="仿宋_GB2312"/>
          <w:b w:val="0"/>
          <w:sz w:val="32"/>
        </w:rPr>
        <w:t>2024年度一般公共预算财政拨款基本支出180.86万元，其中：</w:t>
      </w:r>
      <w:r>
        <w:rPr>
          <w:rFonts w:ascii="仿宋_GB2312" w:hAnsi="仿宋_GB2312" w:eastAsia="仿宋_GB2312"/>
          <w:b/>
          <w:sz w:val="32"/>
        </w:rPr>
        <w:t>人员经费179.67万元，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14:paraId="0E06403C">
      <w:pPr>
        <w:spacing w:line="580" w:lineRule="exact"/>
        <w:ind w:firstLine="640"/>
        <w:jc w:val="both"/>
      </w:pPr>
      <w:r>
        <w:rPr>
          <w:rFonts w:ascii="仿宋_GB2312" w:hAnsi="仿宋_GB2312" w:eastAsia="仿宋_GB2312"/>
          <w:b/>
          <w:sz w:val="32"/>
        </w:rPr>
        <w:t>公用经费1.19万元，</w:t>
      </w:r>
      <w:r>
        <w:rPr>
          <w:rFonts w:ascii="仿宋_GB2312" w:hAnsi="仿宋_GB2312" w:eastAsia="仿宋_GB2312"/>
          <w:b w:val="0"/>
          <w:sz w:val="32"/>
        </w:rPr>
        <w:t>包括：办公费、水费、邮电费。</w:t>
      </w:r>
    </w:p>
    <w:p w14:paraId="1D75D3B9">
      <w:pPr>
        <w:spacing w:line="640" w:lineRule="exact"/>
        <w:ind w:firstLine="640"/>
        <w:jc w:val="both"/>
        <w:outlineLvl w:val="2"/>
      </w:pPr>
      <w:r>
        <w:rPr>
          <w:rFonts w:ascii="黑体" w:hAnsi="黑体" w:eastAsia="黑体"/>
          <w:sz w:val="32"/>
        </w:rPr>
        <w:t>七、政府性基金预算财政拨款收入支出决算情况说明</w:t>
      </w:r>
    </w:p>
    <w:p w14:paraId="7356C13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23A73F1">
      <w:pPr>
        <w:spacing w:line="640" w:lineRule="exact"/>
        <w:ind w:firstLine="640"/>
        <w:jc w:val="both"/>
        <w:outlineLvl w:val="2"/>
      </w:pPr>
      <w:r>
        <w:rPr>
          <w:rFonts w:ascii="黑体" w:hAnsi="黑体" w:eastAsia="黑体"/>
          <w:sz w:val="32"/>
        </w:rPr>
        <w:t>八、国有资本经营预算财政拨款收入支出决算情况说明</w:t>
      </w:r>
    </w:p>
    <w:p w14:paraId="78C4A8E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CD4BA0A">
      <w:pPr>
        <w:spacing w:line="640" w:lineRule="exact"/>
        <w:ind w:firstLine="640"/>
        <w:jc w:val="both"/>
        <w:outlineLvl w:val="2"/>
      </w:pPr>
      <w:r>
        <w:rPr>
          <w:rFonts w:ascii="黑体" w:hAnsi="黑体" w:eastAsia="黑体"/>
          <w:sz w:val="32"/>
        </w:rPr>
        <w:t>九、财政拨款“三公”经费支出决算情况说明</w:t>
      </w:r>
    </w:p>
    <w:p w14:paraId="2AC9A37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5252319">
      <w:pPr>
        <w:spacing w:line="580" w:lineRule="exact"/>
        <w:ind w:firstLine="640"/>
        <w:jc w:val="both"/>
      </w:pPr>
      <w:r>
        <w:rPr>
          <w:rFonts w:ascii="仿宋_GB2312" w:hAnsi="仿宋_GB2312" w:eastAsia="仿宋_GB2312"/>
          <w:b/>
          <w:sz w:val="32"/>
        </w:rPr>
        <w:t>具体情况如下：</w:t>
      </w:r>
    </w:p>
    <w:p w14:paraId="4AA05B2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EF1EA2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71A649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CF36C1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76BD446">
      <w:pPr>
        <w:spacing w:line="640" w:lineRule="exact"/>
        <w:ind w:firstLine="640"/>
        <w:jc w:val="both"/>
        <w:outlineLvl w:val="2"/>
      </w:pPr>
      <w:r>
        <w:rPr>
          <w:rFonts w:ascii="黑体" w:hAnsi="黑体" w:eastAsia="黑体"/>
          <w:sz w:val="32"/>
        </w:rPr>
        <w:t>十、其他重要事项的情况说明</w:t>
      </w:r>
    </w:p>
    <w:p w14:paraId="2A231DF4">
      <w:pPr>
        <w:spacing w:line="640" w:lineRule="exact"/>
        <w:ind w:firstLine="640"/>
        <w:jc w:val="both"/>
        <w:outlineLvl w:val="3"/>
      </w:pPr>
      <w:r>
        <w:rPr>
          <w:rFonts w:ascii="楷体_GB2312" w:hAnsi="楷体_GB2312" w:eastAsia="楷体_GB2312"/>
          <w:b/>
          <w:sz w:val="32"/>
        </w:rPr>
        <w:t>（一）机关运行经费及公用经费支出情况</w:t>
      </w:r>
    </w:p>
    <w:p w14:paraId="358A07FC">
      <w:pPr>
        <w:spacing w:line="580" w:lineRule="exact"/>
        <w:ind w:firstLine="640"/>
        <w:jc w:val="both"/>
      </w:pPr>
      <w:r>
        <w:rPr>
          <w:rFonts w:ascii="仿宋_GB2312" w:hAnsi="仿宋_GB2312" w:eastAsia="仿宋_GB2312"/>
          <w:b w:val="0"/>
          <w:sz w:val="32"/>
        </w:rPr>
        <w:t>2024年度阿克陶县房地产管理所（事业单位）公用经费支出1.19万元，比上年减少8.06万元，下降87.14%，主要原因是：厉行节俭，办公经费减少，导致公用经费减少。</w:t>
      </w:r>
    </w:p>
    <w:p w14:paraId="4AEC78FC">
      <w:pPr>
        <w:spacing w:line="640" w:lineRule="exact"/>
        <w:ind w:firstLine="640"/>
        <w:jc w:val="both"/>
        <w:outlineLvl w:val="3"/>
      </w:pPr>
      <w:r>
        <w:rPr>
          <w:rFonts w:ascii="楷体_GB2312" w:hAnsi="楷体_GB2312" w:eastAsia="楷体_GB2312"/>
          <w:b/>
          <w:sz w:val="32"/>
        </w:rPr>
        <w:t>（二）政府采购情况</w:t>
      </w:r>
    </w:p>
    <w:p w14:paraId="1AC6C30F">
      <w:pPr>
        <w:spacing w:line="580" w:lineRule="exact"/>
        <w:ind w:firstLine="640"/>
        <w:jc w:val="both"/>
      </w:pPr>
      <w:r>
        <w:rPr>
          <w:rFonts w:ascii="仿宋_GB2312" w:hAnsi="仿宋_GB2312" w:eastAsia="仿宋_GB2312"/>
          <w:b w:val="0"/>
          <w:sz w:val="32"/>
        </w:rPr>
        <w:t>2024年度政府采购支出总额0.45万元，其中：政府采购货物支出0.45万元、政府采购工程支出0.00万元、政府采购服务支出0.00万元。</w:t>
      </w:r>
    </w:p>
    <w:p w14:paraId="5EA129C3">
      <w:pPr>
        <w:spacing w:line="580" w:lineRule="exact"/>
        <w:ind w:firstLine="640"/>
        <w:jc w:val="both"/>
      </w:pPr>
      <w:r>
        <w:rPr>
          <w:rFonts w:ascii="仿宋_GB2312" w:hAnsi="仿宋_GB2312" w:eastAsia="仿宋_GB2312"/>
          <w:b w:val="0"/>
          <w:sz w:val="32"/>
        </w:rPr>
        <w:t>授予中小企业合同金额0.45万元，占政府采购支出总额的100.00%，其中：授予小微企业合同金额0.45万元，占政府采购支出总额的100.00%。</w:t>
      </w:r>
    </w:p>
    <w:p w14:paraId="4859E71E">
      <w:pPr>
        <w:spacing w:line="640" w:lineRule="exact"/>
        <w:ind w:firstLine="640"/>
        <w:jc w:val="both"/>
        <w:outlineLvl w:val="3"/>
      </w:pPr>
      <w:r>
        <w:rPr>
          <w:rFonts w:ascii="楷体_GB2312" w:hAnsi="楷体_GB2312" w:eastAsia="楷体_GB2312"/>
          <w:b/>
          <w:sz w:val="32"/>
        </w:rPr>
        <w:t>（三）国有资产占用情况说明</w:t>
      </w:r>
    </w:p>
    <w:p w14:paraId="627E60A9">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B90A860">
      <w:pPr>
        <w:spacing w:line="640" w:lineRule="exact"/>
        <w:ind w:firstLine="640"/>
        <w:jc w:val="both"/>
        <w:outlineLvl w:val="2"/>
      </w:pPr>
      <w:r>
        <w:rPr>
          <w:rFonts w:ascii="黑体" w:hAnsi="黑体" w:eastAsia="黑体"/>
          <w:sz w:val="32"/>
        </w:rPr>
        <w:t>十一、预算绩效的情况说明</w:t>
      </w:r>
    </w:p>
    <w:p w14:paraId="7E9AF0A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269.86万元，实际执行总额243.09万元；预算绩效评价项目1个，全年预算数6.40万元，全年执行数2.00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14:paraId="71ECF7EA">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A77C251">
        <w:tblPrEx>
          <w:tblCellMar>
            <w:top w:w="0" w:type="dxa"/>
            <w:left w:w="108" w:type="dxa"/>
            <w:bottom w:w="0" w:type="dxa"/>
            <w:right w:w="108" w:type="dxa"/>
          </w:tblCellMar>
        </w:tblPrEx>
        <w:tc>
          <w:tcPr>
            <w:tcW w:w="8840" w:type="dxa"/>
            <w:gridSpan w:val="8"/>
            <w:vAlign w:val="center"/>
          </w:tcPr>
          <w:p w14:paraId="637745BC">
            <w:pPr>
              <w:jc w:val="center"/>
            </w:pPr>
            <w:r>
              <w:rPr>
                <w:rFonts w:ascii="宋体" w:hAnsi="宋体" w:eastAsia="宋体"/>
                <w:sz w:val="24"/>
              </w:rPr>
              <w:t>单位整体支出绩效自评表</w:t>
            </w:r>
          </w:p>
        </w:tc>
      </w:tr>
      <w:tr w14:paraId="49DF2BF0">
        <w:tblPrEx>
          <w:tblCellMar>
            <w:top w:w="0" w:type="dxa"/>
            <w:left w:w="108" w:type="dxa"/>
            <w:bottom w:w="0" w:type="dxa"/>
            <w:right w:w="108" w:type="dxa"/>
          </w:tblCellMar>
        </w:tblPrEx>
        <w:tc>
          <w:tcPr>
            <w:tcW w:w="8840" w:type="dxa"/>
            <w:gridSpan w:val="8"/>
            <w:vAlign w:val="center"/>
          </w:tcPr>
          <w:p w14:paraId="28049AF1">
            <w:pPr>
              <w:jc w:val="center"/>
            </w:pPr>
            <w:r>
              <w:rPr>
                <w:rFonts w:ascii="宋体" w:hAnsi="宋体" w:eastAsia="宋体"/>
                <w:sz w:val="24"/>
              </w:rPr>
              <w:t>（2024年度）</w:t>
            </w:r>
          </w:p>
        </w:tc>
      </w:tr>
      <w:tr w14:paraId="20B8BE0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086085">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9402CF">
            <w:pPr>
              <w:jc w:val="center"/>
            </w:pPr>
            <w:r>
              <w:rPr>
                <w:rFonts w:ascii="宋体" w:hAnsi="宋体" w:eastAsia="宋体"/>
                <w:sz w:val="16"/>
              </w:rPr>
              <w:t>阿克陶县房地产管理所</w:t>
            </w:r>
          </w:p>
        </w:tc>
      </w:tr>
      <w:tr w14:paraId="072BFB6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4DDE22">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46405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1C434B">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224A74">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122C13">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91DDD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52F10B">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7824B0">
            <w:pPr>
              <w:jc w:val="center"/>
            </w:pPr>
            <w:r>
              <w:rPr>
                <w:rFonts w:ascii="宋体" w:hAnsi="宋体" w:eastAsia="宋体"/>
                <w:sz w:val="16"/>
              </w:rPr>
              <w:t>得分</w:t>
            </w:r>
          </w:p>
        </w:tc>
      </w:tr>
      <w:tr w14:paraId="54C7272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BFF4D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571CC6">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1FF57C">
            <w:pPr>
              <w:jc w:val="center"/>
            </w:pPr>
            <w:r>
              <w:rPr>
                <w:rFonts w:ascii="宋体" w:hAnsi="宋体" w:eastAsia="宋体"/>
                <w:sz w:val="16"/>
              </w:rPr>
              <w:t>270.94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6B6BA9">
            <w:pPr>
              <w:jc w:val="center"/>
            </w:pPr>
            <w:r>
              <w:rPr>
                <w:rFonts w:ascii="宋体" w:hAnsi="宋体" w:eastAsia="宋体"/>
                <w:sz w:val="16"/>
              </w:rPr>
              <w:t>269.86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781FDE">
            <w:pPr>
              <w:jc w:val="center"/>
            </w:pPr>
            <w:r>
              <w:rPr>
                <w:rFonts w:ascii="宋体" w:hAnsi="宋体" w:eastAsia="宋体"/>
                <w:sz w:val="16"/>
              </w:rPr>
              <w:t>243.09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92CC4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8AE6F3">
            <w:pPr>
              <w:jc w:val="center"/>
            </w:pPr>
            <w:r>
              <w:rPr>
                <w:rFonts w:ascii="宋体" w:hAnsi="宋体" w:eastAsia="宋体"/>
                <w:sz w:val="16"/>
              </w:rPr>
              <w:t>90.08%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88BC88">
            <w:pPr>
              <w:jc w:val="center"/>
            </w:pPr>
            <w:r>
              <w:rPr>
                <w:rFonts w:ascii="宋体" w:hAnsi="宋体" w:eastAsia="宋体"/>
                <w:sz w:val="16"/>
              </w:rPr>
              <w:t>9.01</w:t>
            </w:r>
          </w:p>
        </w:tc>
      </w:tr>
      <w:tr w14:paraId="4D33A47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52F7D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7415BD">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A4F00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25842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891B6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7B07E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49770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EE446D">
            <w:pPr>
              <w:jc w:val="center"/>
            </w:pPr>
            <w:r>
              <w:rPr>
                <w:rFonts w:ascii="宋体" w:hAnsi="宋体" w:eastAsia="宋体"/>
                <w:sz w:val="16"/>
              </w:rPr>
              <w:t>—</w:t>
            </w:r>
          </w:p>
        </w:tc>
      </w:tr>
      <w:tr w14:paraId="45DD9D9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D3070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99F9BF">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B9C154">
            <w:pPr>
              <w:jc w:val="center"/>
            </w:pPr>
            <w:r>
              <w:rPr>
                <w:rFonts w:ascii="宋体" w:hAnsi="宋体" w:eastAsia="宋体"/>
                <w:sz w:val="16"/>
              </w:rPr>
              <w:t>270.94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248D2D">
            <w:pPr>
              <w:jc w:val="center"/>
            </w:pPr>
            <w:r>
              <w:rPr>
                <w:rFonts w:ascii="宋体" w:hAnsi="宋体" w:eastAsia="宋体"/>
                <w:sz w:val="16"/>
              </w:rPr>
              <w:t>269.86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D2FF48">
            <w:pPr>
              <w:jc w:val="center"/>
            </w:pPr>
            <w:r>
              <w:rPr>
                <w:rFonts w:ascii="宋体" w:hAnsi="宋体" w:eastAsia="宋体"/>
                <w:sz w:val="16"/>
              </w:rPr>
              <w:t>243.09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7C843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7C706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AB1235">
            <w:pPr>
              <w:jc w:val="center"/>
            </w:pPr>
            <w:r>
              <w:rPr>
                <w:rFonts w:ascii="宋体" w:hAnsi="宋体" w:eastAsia="宋体"/>
                <w:sz w:val="16"/>
              </w:rPr>
              <w:t>—</w:t>
            </w:r>
          </w:p>
        </w:tc>
      </w:tr>
      <w:tr w14:paraId="42707CD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70304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B48ADD">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349CC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8F496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DE7D9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5B5C6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A5605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2A8C19">
            <w:pPr>
              <w:jc w:val="center"/>
            </w:pPr>
            <w:r>
              <w:rPr>
                <w:rFonts w:ascii="宋体" w:hAnsi="宋体" w:eastAsia="宋体"/>
                <w:sz w:val="16"/>
              </w:rPr>
              <w:t>—</w:t>
            </w:r>
          </w:p>
        </w:tc>
      </w:tr>
      <w:tr w14:paraId="747F9F7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038C56">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E2D52A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1F42397">
            <w:pPr>
              <w:jc w:val="center"/>
            </w:pPr>
            <w:r>
              <w:rPr>
                <w:rFonts w:ascii="宋体" w:hAnsi="宋体" w:eastAsia="宋体"/>
                <w:sz w:val="16"/>
              </w:rPr>
              <w:t>实际完成情况</w:t>
            </w:r>
          </w:p>
        </w:tc>
      </w:tr>
      <w:tr w14:paraId="6727FEF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E45CB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77EBAC">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等公用保障性经费按照财政安排和相关工作要求及时支出。</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C86F56D">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等公用保障性经费按照财政安排和相关工作要求及时支出。</w:t>
            </w:r>
          </w:p>
        </w:tc>
      </w:tr>
      <w:tr w14:paraId="6B657F5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83C727">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373876">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926C79">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0EE93F">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9C083D">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67494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1159D7">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E7C74C">
            <w:pPr>
              <w:jc w:val="center"/>
            </w:pPr>
            <w:r>
              <w:rPr>
                <w:rFonts w:ascii="宋体" w:hAnsi="宋体" w:eastAsia="宋体"/>
                <w:sz w:val="16"/>
              </w:rPr>
              <w:t>得分</w:t>
            </w:r>
          </w:p>
        </w:tc>
      </w:tr>
      <w:tr w14:paraId="76D9A68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899B25">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D76A2B">
            <w:pPr>
              <w:jc w:val="center"/>
            </w:pPr>
            <w:r>
              <w:rPr>
                <w:rFonts w:ascii="宋体" w:hAnsi="宋体" w:eastAsia="宋体"/>
                <w:sz w:val="16"/>
              </w:rPr>
              <w:tab/>
            </w: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D64B57">
            <w:pPr>
              <w:jc w:val="center"/>
            </w:pPr>
            <w:r>
              <w:rPr>
                <w:rFonts w:ascii="宋体" w:hAnsi="宋体" w:eastAsia="宋体"/>
                <w:sz w:val="16"/>
              </w:rPr>
              <w:t>人员工资福利支出预算保障在职人员人数（人)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54CA19">
            <w:pPr>
              <w:jc w:val="center"/>
            </w:pPr>
            <w:r>
              <w:rPr>
                <w:rFonts w:ascii="宋体" w:hAnsi="宋体" w:eastAsia="宋体"/>
                <w:sz w:val="16"/>
              </w:rPr>
              <w:t>&gt;=18人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380F60">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1577B6">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BCFA08">
            <w:pPr>
              <w:jc w:val="center"/>
            </w:pPr>
            <w:r>
              <w:rPr>
                <w:rFonts w:ascii="宋体" w:hAnsi="宋体" w:eastAsia="宋体"/>
                <w:sz w:val="16"/>
              </w:rPr>
              <w:t>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1308CC">
            <w:pPr>
              <w:jc w:val="center"/>
            </w:pPr>
            <w:r>
              <w:rPr>
                <w:rFonts w:ascii="宋体" w:hAnsi="宋体" w:eastAsia="宋体"/>
                <w:sz w:val="16"/>
              </w:rPr>
              <w:t>4</w:t>
            </w:r>
          </w:p>
        </w:tc>
      </w:tr>
      <w:tr w14:paraId="6C72C00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6DDB50"/>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C5B41D">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04AFB3">
            <w:pPr>
              <w:jc w:val="center"/>
            </w:pPr>
            <w:r>
              <w:rPr>
                <w:rFonts w:ascii="宋体" w:hAnsi="宋体" w:eastAsia="宋体"/>
                <w:sz w:val="16"/>
              </w:rPr>
              <w:t>人员工资福利支出预算保障退休人员人数（人）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1E47AA">
            <w:pPr>
              <w:jc w:val="center"/>
            </w:pPr>
            <w:r>
              <w:rPr>
                <w:rFonts w:ascii="宋体" w:hAnsi="宋体" w:eastAsia="宋体"/>
                <w:sz w:val="16"/>
              </w:rPr>
              <w:t>&gt;=2人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9DFD16">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95E24C">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956493">
            <w:pPr>
              <w:jc w:val="center"/>
            </w:pPr>
            <w:r>
              <w:rPr>
                <w:rFonts w:ascii="宋体" w:hAnsi="宋体" w:eastAsia="宋体"/>
                <w:sz w:val="16"/>
              </w:rPr>
              <w:t>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45E63F">
            <w:pPr>
              <w:jc w:val="center"/>
            </w:pPr>
            <w:r>
              <w:rPr>
                <w:rFonts w:ascii="宋体" w:hAnsi="宋体" w:eastAsia="宋体"/>
                <w:sz w:val="16"/>
              </w:rPr>
              <w:t>8</w:t>
            </w:r>
          </w:p>
        </w:tc>
      </w:tr>
      <w:tr w14:paraId="30AC419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CCAC6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80819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24AF4A">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0BD835">
            <w:pPr>
              <w:jc w:val="center"/>
            </w:pPr>
            <w:r>
              <w:rPr>
                <w:rFonts w:ascii="宋体" w:hAnsi="宋体" w:eastAsia="宋体"/>
                <w:sz w:val="16"/>
              </w:rPr>
              <w:t>&lt;=259.23万元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6DA4D3">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D9233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F64AA9">
            <w:pPr>
              <w:jc w:val="center"/>
            </w:pPr>
            <w:r>
              <w:rPr>
                <w:rFonts w:ascii="宋体" w:hAnsi="宋体" w:eastAsia="宋体"/>
                <w:sz w:val="16"/>
              </w:rPr>
              <w:t>179.67万元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A8BB78">
            <w:pPr>
              <w:jc w:val="center"/>
            </w:pPr>
            <w:r>
              <w:rPr>
                <w:rFonts w:ascii="宋体" w:hAnsi="宋体" w:eastAsia="宋体"/>
                <w:sz w:val="16"/>
              </w:rPr>
              <w:t>6.93</w:t>
            </w:r>
          </w:p>
        </w:tc>
      </w:tr>
      <w:tr w14:paraId="0B8AE13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7BE4C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AF8F0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F64754">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919992">
            <w:pPr>
              <w:jc w:val="center"/>
            </w:pPr>
            <w:r>
              <w:rPr>
                <w:rFonts w:ascii="宋体" w:hAnsi="宋体" w:eastAsia="宋体"/>
                <w:sz w:val="16"/>
              </w:rPr>
              <w:t>&lt;=5.31万元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CB7ACC">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F4B65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37D425">
            <w:pPr>
              <w:jc w:val="center"/>
            </w:pPr>
            <w:r>
              <w:rPr>
                <w:rFonts w:ascii="宋体" w:hAnsi="宋体" w:eastAsia="宋体"/>
                <w:sz w:val="16"/>
              </w:rPr>
              <w:t>1.31万元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D143A6">
            <w:pPr>
              <w:jc w:val="center"/>
            </w:pPr>
            <w:r>
              <w:rPr>
                <w:rFonts w:ascii="宋体" w:hAnsi="宋体" w:eastAsia="宋体"/>
                <w:sz w:val="16"/>
              </w:rPr>
              <w:t>2.47</w:t>
            </w:r>
          </w:p>
        </w:tc>
      </w:tr>
      <w:tr w14:paraId="7DEC79A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ACCB7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2359A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C20A11">
            <w:pPr>
              <w:jc w:val="center"/>
            </w:pPr>
            <w:r>
              <w:rPr>
                <w:rFonts w:ascii="宋体" w:hAnsi="宋体" w:eastAsia="宋体"/>
                <w:sz w:val="16"/>
              </w:rPr>
              <w:t>住房</w:t>
            </w:r>
            <w:r>
              <w:rPr>
                <w:rFonts w:hint="eastAsia" w:ascii="宋体" w:hAnsi="宋体"/>
                <w:sz w:val="16"/>
                <w:lang w:eastAsia="zh-CN"/>
              </w:rPr>
              <w:t>保障</w:t>
            </w:r>
            <w:r>
              <w:rPr>
                <w:rFonts w:ascii="宋体" w:hAnsi="宋体" w:eastAsia="宋体"/>
                <w:sz w:val="16"/>
              </w:rPr>
              <w:t>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8BAE83">
            <w:pPr>
              <w:jc w:val="center"/>
            </w:pPr>
            <w:r>
              <w:rPr>
                <w:rFonts w:ascii="宋体" w:hAnsi="宋体" w:eastAsia="宋体"/>
                <w:sz w:val="16"/>
              </w:rPr>
              <w:t>&lt;=6.40万元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BAA356">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5121E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1F17EA">
            <w:pPr>
              <w:jc w:val="center"/>
            </w:pPr>
            <w:r>
              <w:rPr>
                <w:rFonts w:ascii="宋体" w:hAnsi="宋体" w:eastAsia="宋体"/>
                <w:sz w:val="16"/>
              </w:rPr>
              <w:t>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1F0DB2">
            <w:pPr>
              <w:jc w:val="center"/>
            </w:pPr>
            <w:r>
              <w:rPr>
                <w:rFonts w:ascii="宋体" w:hAnsi="宋体" w:eastAsia="宋体"/>
                <w:sz w:val="16"/>
              </w:rPr>
              <w:t>3.13</w:t>
            </w:r>
          </w:p>
        </w:tc>
      </w:tr>
      <w:tr w14:paraId="5031A85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BF7810">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3F6A10">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EC0115">
            <w:pPr>
              <w:jc w:val="center"/>
            </w:pPr>
            <w:r>
              <w:rPr>
                <w:rFonts w:ascii="宋体" w:hAnsi="宋体" w:eastAsia="宋体"/>
                <w:sz w:val="16"/>
              </w:rPr>
              <w:t>房地产监督管理覆盖率（%）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B6296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AFEBA9">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833616">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42891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543CDB">
            <w:pPr>
              <w:jc w:val="center"/>
            </w:pPr>
            <w:r>
              <w:rPr>
                <w:rFonts w:ascii="宋体" w:hAnsi="宋体" w:eastAsia="宋体"/>
                <w:sz w:val="16"/>
              </w:rPr>
              <w:t>8</w:t>
            </w:r>
          </w:p>
        </w:tc>
      </w:tr>
      <w:tr w14:paraId="007B810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EB75C8">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BF07C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1CE7F7">
            <w:pPr>
              <w:jc w:val="center"/>
            </w:pPr>
            <w:r>
              <w:rPr>
                <w:rFonts w:ascii="宋体" w:hAnsi="宋体" w:eastAsia="宋体"/>
                <w:sz w:val="16"/>
              </w:rPr>
              <w:t>保障小区物业覆盖数量（个）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6D59C0">
            <w:pPr>
              <w:jc w:val="center"/>
            </w:pPr>
            <w:r>
              <w:rPr>
                <w:rFonts w:ascii="宋体" w:hAnsi="宋体" w:eastAsia="宋体"/>
                <w:sz w:val="16"/>
              </w:rPr>
              <w:t>&gt;=23个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634FE7">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80F559">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A4FA32">
            <w:pPr>
              <w:jc w:val="center"/>
            </w:pPr>
            <w:r>
              <w:rPr>
                <w:rFonts w:ascii="宋体" w:hAnsi="宋体" w:eastAsia="宋体"/>
                <w:sz w:val="16"/>
              </w:rPr>
              <w:t>23个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2AF540">
            <w:pPr>
              <w:jc w:val="center"/>
            </w:pPr>
            <w:r>
              <w:rPr>
                <w:rFonts w:ascii="宋体" w:hAnsi="宋体" w:eastAsia="宋体"/>
                <w:sz w:val="16"/>
              </w:rPr>
              <w:t>6</w:t>
            </w:r>
          </w:p>
        </w:tc>
      </w:tr>
      <w:tr w14:paraId="305DBE2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13D09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FF33A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C108F9">
            <w:pPr>
              <w:jc w:val="center"/>
            </w:pPr>
            <w:r>
              <w:rPr>
                <w:rFonts w:ascii="宋体" w:hAnsi="宋体" w:eastAsia="宋体"/>
                <w:sz w:val="16"/>
              </w:rPr>
              <w:t>保障单位正常运转期限（个）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70B482">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9878DA">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799273">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19DC1F">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C58D47">
            <w:pPr>
              <w:jc w:val="center"/>
            </w:pPr>
            <w:r>
              <w:rPr>
                <w:rFonts w:ascii="宋体" w:hAnsi="宋体" w:eastAsia="宋体"/>
                <w:sz w:val="16"/>
              </w:rPr>
              <w:t>5</w:t>
            </w:r>
          </w:p>
        </w:tc>
      </w:tr>
      <w:tr w14:paraId="2DDE79E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5FCCA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4488BD">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683076">
            <w:pPr>
              <w:jc w:val="center"/>
            </w:pPr>
            <w:r>
              <w:rPr>
                <w:rFonts w:ascii="宋体" w:hAnsi="宋体" w:eastAsia="宋体"/>
                <w:sz w:val="16"/>
              </w:rPr>
              <w:t>保障单位预算项目（个）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3E1B94">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16210C">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B5C074">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B23988">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4824D5">
            <w:pPr>
              <w:jc w:val="center"/>
            </w:pPr>
            <w:r>
              <w:rPr>
                <w:rFonts w:ascii="宋体" w:hAnsi="宋体" w:eastAsia="宋体"/>
                <w:sz w:val="16"/>
              </w:rPr>
              <w:t>5</w:t>
            </w:r>
          </w:p>
        </w:tc>
      </w:tr>
      <w:tr w14:paraId="4F884BA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3EFBA4">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47C162">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48CE96">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C100E8">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505D56">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84155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3DA058">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F31620">
            <w:pPr>
              <w:jc w:val="center"/>
            </w:pPr>
            <w:r>
              <w:rPr>
                <w:rFonts w:ascii="宋体" w:hAnsi="宋体" w:eastAsia="宋体"/>
                <w:sz w:val="16"/>
              </w:rPr>
              <w:t>10</w:t>
            </w:r>
          </w:p>
        </w:tc>
      </w:tr>
      <w:tr w14:paraId="1B44FD9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275470">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A9353C">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B86647">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9CE41E">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8E92F3">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3CD1FB">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3C4C8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D6B511">
            <w:pPr>
              <w:jc w:val="center"/>
            </w:pPr>
            <w:r>
              <w:rPr>
                <w:rFonts w:ascii="宋体" w:hAnsi="宋体" w:eastAsia="宋体"/>
                <w:sz w:val="16"/>
              </w:rPr>
              <w:t>5</w:t>
            </w:r>
          </w:p>
        </w:tc>
      </w:tr>
      <w:tr w14:paraId="60E5F8E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F3764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406DF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6C3F51">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17E8EA">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F130E3">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61E108">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14E52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D05D50">
            <w:pPr>
              <w:jc w:val="center"/>
            </w:pPr>
            <w:r>
              <w:rPr>
                <w:rFonts w:ascii="宋体" w:hAnsi="宋体" w:eastAsia="宋体"/>
                <w:sz w:val="16"/>
              </w:rPr>
              <w:t>5</w:t>
            </w:r>
          </w:p>
        </w:tc>
      </w:tr>
    </w:tbl>
    <w:p w14:paraId="64C44BF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647C4CC3">
        <w:tblPrEx>
          <w:tblCellMar>
            <w:top w:w="0" w:type="dxa"/>
            <w:left w:w="108" w:type="dxa"/>
            <w:bottom w:w="0" w:type="dxa"/>
            <w:right w:w="108" w:type="dxa"/>
          </w:tblCellMar>
        </w:tblPrEx>
        <w:tc>
          <w:tcPr>
            <w:tcW w:w="8848" w:type="dxa"/>
            <w:gridSpan w:val="14"/>
            <w:vAlign w:val="center"/>
          </w:tcPr>
          <w:p w14:paraId="42969F1D">
            <w:pPr>
              <w:jc w:val="center"/>
            </w:pPr>
            <w:r>
              <w:rPr>
                <w:rFonts w:ascii="宋体" w:hAnsi="宋体" w:eastAsia="宋体"/>
                <w:sz w:val="24"/>
              </w:rPr>
              <w:t>项目支出绩效自评表</w:t>
            </w:r>
          </w:p>
        </w:tc>
      </w:tr>
      <w:tr w14:paraId="4D586209">
        <w:tblPrEx>
          <w:tblCellMar>
            <w:top w:w="0" w:type="dxa"/>
            <w:left w:w="108" w:type="dxa"/>
            <w:bottom w:w="0" w:type="dxa"/>
            <w:right w:w="108" w:type="dxa"/>
          </w:tblCellMar>
        </w:tblPrEx>
        <w:tc>
          <w:tcPr>
            <w:tcW w:w="8848" w:type="dxa"/>
            <w:gridSpan w:val="14"/>
            <w:vAlign w:val="center"/>
          </w:tcPr>
          <w:p w14:paraId="1AC53FB3">
            <w:pPr>
              <w:jc w:val="center"/>
            </w:pPr>
            <w:r>
              <w:rPr>
                <w:rFonts w:ascii="宋体" w:hAnsi="宋体" w:eastAsia="宋体"/>
                <w:sz w:val="24"/>
              </w:rPr>
              <w:t>(2024年度)</w:t>
            </w:r>
          </w:p>
        </w:tc>
      </w:tr>
      <w:tr w14:paraId="138C43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4118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8DE30B">
            <w:pPr>
              <w:jc w:val="center"/>
            </w:pPr>
            <w:r>
              <w:rPr>
                <w:rFonts w:ascii="宋体" w:hAnsi="宋体" w:eastAsia="宋体"/>
                <w:sz w:val="16"/>
              </w:rPr>
              <w:t>2024年县级房管所住房保障运行费</w:t>
            </w:r>
          </w:p>
        </w:tc>
      </w:tr>
      <w:tr w14:paraId="5D3D5D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42F1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D90198">
            <w:pPr>
              <w:jc w:val="center"/>
            </w:pPr>
            <w:r>
              <w:rPr>
                <w:rFonts w:ascii="宋体" w:hAnsi="宋体" w:eastAsia="宋体"/>
                <w:sz w:val="16"/>
              </w:rPr>
              <w:t>阿克陶县住房和城乡建设局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5CF8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2BEE42">
            <w:pPr>
              <w:jc w:val="center"/>
            </w:pPr>
            <w:r>
              <w:rPr>
                <w:rFonts w:ascii="宋体" w:hAnsi="宋体" w:eastAsia="宋体"/>
                <w:sz w:val="16"/>
              </w:rPr>
              <w:t>阿克陶县房地产管理所</w:t>
            </w:r>
          </w:p>
        </w:tc>
      </w:tr>
      <w:tr w14:paraId="0D9E7D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A3909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D07D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497C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2B38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633F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2F7C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24B0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FABB3">
            <w:pPr>
              <w:jc w:val="center"/>
            </w:pPr>
            <w:r>
              <w:rPr>
                <w:rFonts w:ascii="宋体" w:hAnsi="宋体" w:eastAsia="宋体"/>
                <w:sz w:val="16"/>
              </w:rPr>
              <w:t>得分</w:t>
            </w:r>
          </w:p>
        </w:tc>
      </w:tr>
      <w:tr w14:paraId="32D25A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C85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5A6F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75242">
            <w:pPr>
              <w:jc w:val="center"/>
            </w:pPr>
            <w:r>
              <w:rPr>
                <w:rFonts w:ascii="宋体" w:hAnsi="宋体" w:eastAsia="宋体"/>
                <w:sz w:val="16"/>
              </w:rPr>
              <w:t>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9B07E">
            <w:pPr>
              <w:jc w:val="center"/>
            </w:pPr>
            <w:r>
              <w:rPr>
                <w:rFonts w:ascii="宋体" w:hAnsi="宋体" w:eastAsia="宋体"/>
                <w:sz w:val="16"/>
              </w:rPr>
              <w:t>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676B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A59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61911">
            <w:pPr>
              <w:jc w:val="center"/>
            </w:pPr>
            <w:r>
              <w:rPr>
                <w:rFonts w:ascii="宋体" w:hAnsi="宋体" w:eastAsia="宋体"/>
                <w:sz w:val="16"/>
              </w:rPr>
              <w:t>31.3%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F8D65">
            <w:pPr>
              <w:jc w:val="center"/>
            </w:pPr>
            <w:r>
              <w:rPr>
                <w:rFonts w:ascii="宋体" w:hAnsi="宋体" w:eastAsia="宋体"/>
                <w:sz w:val="16"/>
              </w:rPr>
              <w:t>0.00分</w:t>
            </w:r>
          </w:p>
        </w:tc>
      </w:tr>
      <w:tr w14:paraId="41BC03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66D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15A0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1D5A3">
            <w:pPr>
              <w:jc w:val="center"/>
            </w:pPr>
            <w:r>
              <w:rPr>
                <w:rFonts w:ascii="宋体" w:hAnsi="宋体" w:eastAsia="宋体"/>
                <w:sz w:val="16"/>
              </w:rPr>
              <w:t>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65197">
            <w:pPr>
              <w:jc w:val="center"/>
            </w:pPr>
            <w:r>
              <w:rPr>
                <w:rFonts w:ascii="宋体" w:hAnsi="宋体" w:eastAsia="宋体"/>
                <w:sz w:val="16"/>
              </w:rPr>
              <w:t>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42A0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AA1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F93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8DD03">
            <w:pPr>
              <w:jc w:val="center"/>
            </w:pPr>
            <w:r>
              <w:rPr>
                <w:rFonts w:ascii="宋体" w:hAnsi="宋体" w:eastAsia="宋体"/>
                <w:sz w:val="16"/>
              </w:rPr>
              <w:t>—</w:t>
            </w:r>
          </w:p>
        </w:tc>
      </w:tr>
      <w:tr w14:paraId="0BE034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669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13A7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A1B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2DC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8D7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E778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28A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72D57">
            <w:pPr>
              <w:jc w:val="center"/>
            </w:pPr>
            <w:r>
              <w:rPr>
                <w:rFonts w:ascii="宋体" w:hAnsi="宋体" w:eastAsia="宋体"/>
                <w:sz w:val="16"/>
              </w:rPr>
              <w:t>—</w:t>
            </w:r>
          </w:p>
        </w:tc>
      </w:tr>
      <w:tr w14:paraId="58F2595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DD6BC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B9252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A74761">
            <w:pPr>
              <w:jc w:val="center"/>
            </w:pPr>
            <w:r>
              <w:rPr>
                <w:rFonts w:ascii="宋体" w:hAnsi="宋体" w:eastAsia="宋体"/>
                <w:sz w:val="16"/>
              </w:rPr>
              <w:t>实际完成情况</w:t>
            </w:r>
          </w:p>
        </w:tc>
      </w:tr>
      <w:tr w14:paraId="5D4269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D425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310190">
            <w:pPr>
              <w:jc w:val="both"/>
            </w:pPr>
            <w:r>
              <w:rPr>
                <w:rFonts w:ascii="宋体" w:hAnsi="宋体" w:eastAsia="宋体"/>
                <w:sz w:val="16"/>
              </w:rPr>
              <w:t>资金用于购买办公用品3批，通过实施该项目保障单位正常运行及以便单位正常开展各项业务提供保障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4C1AB9">
            <w:pPr>
              <w:jc w:val="both"/>
            </w:pPr>
            <w:r>
              <w:rPr>
                <w:rFonts w:ascii="宋体" w:hAnsi="宋体" w:eastAsia="宋体"/>
                <w:sz w:val="16"/>
              </w:rPr>
              <w:t>完成购买办公用品3批，通过实施该项目保障单位正常运行及以便单位正常开展各项业务提供保障</w:t>
            </w:r>
          </w:p>
        </w:tc>
      </w:tr>
      <w:tr w14:paraId="358E11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C428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40B6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AC29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DC0D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C005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FD2E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F3A8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3ED5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CDEA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B197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06BE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0E0C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BB591">
            <w:pPr>
              <w:jc w:val="center"/>
            </w:pPr>
            <w:r>
              <w:rPr>
                <w:rFonts w:ascii="宋体" w:hAnsi="宋体" w:eastAsia="宋体"/>
                <w:sz w:val="16"/>
              </w:rPr>
              <w:t>偏差原因分析及改进措施</w:t>
            </w:r>
          </w:p>
        </w:tc>
      </w:tr>
      <w:tr w14:paraId="302229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113F3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E3C06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923D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A0959">
            <w:pPr>
              <w:jc w:val="center"/>
            </w:pPr>
            <w:r>
              <w:rPr>
                <w:rFonts w:ascii="宋体" w:hAnsi="宋体" w:eastAsia="宋体"/>
                <w:sz w:val="16"/>
              </w:rPr>
              <w:t>购置办公用品（批）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D116F">
            <w:pPr>
              <w:jc w:val="center"/>
            </w:pPr>
            <w:r>
              <w:rPr>
                <w:rFonts w:ascii="宋体" w:hAnsi="宋体" w:eastAsia="宋体"/>
                <w:sz w:val="16"/>
              </w:rPr>
              <w:t>=3批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8BFA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6E8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2A1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FDA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051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1D2ED">
            <w:pPr>
              <w:jc w:val="center"/>
            </w:pPr>
            <w:r>
              <w:rPr>
                <w:rFonts w:ascii="宋体" w:hAnsi="宋体" w:eastAsia="宋体"/>
                <w:sz w:val="16"/>
              </w:rPr>
              <w:t>=3批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45D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0E4BA">
            <w:pPr>
              <w:jc w:val="center"/>
            </w:pPr>
          </w:p>
        </w:tc>
      </w:tr>
      <w:tr w14:paraId="6D4780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EDD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A9FB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37545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F53A7">
            <w:pPr>
              <w:jc w:val="center"/>
            </w:pPr>
            <w:r>
              <w:rPr>
                <w:rFonts w:ascii="宋体" w:hAnsi="宋体" w:eastAsia="宋体"/>
                <w:sz w:val="16"/>
              </w:rPr>
              <w:t>购置质量合格率（%）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5FB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F55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ED0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589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7B1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0A0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13F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773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2A5B4">
            <w:pPr>
              <w:jc w:val="center"/>
            </w:pPr>
          </w:p>
        </w:tc>
      </w:tr>
      <w:tr w14:paraId="2ACBE2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48B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64D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F25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228F8">
            <w:pPr>
              <w:jc w:val="center"/>
            </w:pPr>
            <w:r>
              <w:rPr>
                <w:rFonts w:ascii="宋体" w:hAnsi="宋体" w:eastAsia="宋体"/>
                <w:sz w:val="16"/>
              </w:rPr>
              <w:t>购置验收通过率（%）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598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F28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973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6CC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231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EC0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40F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6A8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0C006">
            <w:pPr>
              <w:jc w:val="center"/>
            </w:pPr>
          </w:p>
        </w:tc>
      </w:tr>
      <w:tr w14:paraId="0EDC71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BD8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EBE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A480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5BD5A">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1FF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383D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C52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967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389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DB7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B88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456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AC177">
            <w:pPr>
              <w:jc w:val="center"/>
            </w:pPr>
            <w:r>
              <w:rPr>
                <w:rFonts w:ascii="宋体" w:hAnsi="宋体" w:eastAsia="宋体"/>
                <w:sz w:val="16"/>
              </w:rPr>
              <w:t>员工增强了节约意识，主动践行双面打印，办公用品消耗速度减缓，致使预算未完全使用</w:t>
            </w:r>
          </w:p>
        </w:tc>
      </w:tr>
      <w:tr w14:paraId="16EF4A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D8E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FFED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00B38">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D689C">
            <w:pPr>
              <w:jc w:val="center"/>
            </w:pPr>
            <w:r>
              <w:rPr>
                <w:rFonts w:ascii="宋体" w:hAnsi="宋体" w:eastAsia="宋体"/>
                <w:sz w:val="16"/>
              </w:rPr>
              <w:t>单位购置办公用品成本（万元）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B1623">
            <w:pPr>
              <w:jc w:val="center"/>
            </w:pPr>
            <w:r>
              <w:rPr>
                <w:rFonts w:ascii="宋体" w:hAnsi="宋体" w:eastAsia="宋体"/>
                <w:sz w:val="16"/>
              </w:rPr>
              <w:t>&lt;=6.40万元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97A8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198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4D4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415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469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7CD52">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7D8A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281FA">
            <w:pPr>
              <w:jc w:val="center"/>
            </w:pPr>
            <w:r>
              <w:rPr>
                <w:rFonts w:ascii="宋体" w:hAnsi="宋体" w:eastAsia="宋体"/>
                <w:sz w:val="16"/>
              </w:rPr>
              <w:t>员工增强了节约意识，主动践行双面打印，办公用品消耗速度减缓，致使预算未完全使用</w:t>
            </w:r>
          </w:p>
        </w:tc>
      </w:tr>
      <w:tr w14:paraId="58D5CE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59DA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45DFD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E0BB5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46694">
            <w:pPr>
              <w:jc w:val="center"/>
            </w:pPr>
            <w:r>
              <w:rPr>
                <w:rFonts w:ascii="宋体" w:hAnsi="宋体" w:eastAsia="宋体"/>
                <w:sz w:val="16"/>
              </w:rPr>
              <w:t>提升业务能力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8EE7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03C7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8A7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55F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A15A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3D2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5819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214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F663F">
            <w:pPr>
              <w:jc w:val="center"/>
            </w:pPr>
          </w:p>
        </w:tc>
      </w:tr>
      <w:tr w14:paraId="76EF10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A43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250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E40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4D79C">
            <w:pPr>
              <w:jc w:val="center"/>
            </w:pPr>
            <w:r>
              <w:rPr>
                <w:rFonts w:ascii="宋体" w:hAnsi="宋体" w:eastAsia="宋体"/>
                <w:sz w:val="16"/>
              </w:rPr>
              <w:t>提升公共服务水平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F09B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387B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EB6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FA7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AA77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8BF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2A06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9E9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47194">
            <w:pPr>
              <w:jc w:val="center"/>
            </w:pPr>
          </w:p>
        </w:tc>
      </w:tr>
      <w:tr w14:paraId="42E767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098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3371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F752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5D053">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E29A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592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E19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977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7A81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52F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8A344">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881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A7848">
            <w:pPr>
              <w:jc w:val="center"/>
            </w:pPr>
          </w:p>
        </w:tc>
      </w:tr>
      <w:tr w14:paraId="16C9F1D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2799D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FA7D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62008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146E6">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73B8514"/>
        </w:tc>
      </w:tr>
    </w:tbl>
    <w:p w14:paraId="1BE2CB24">
      <w:r>
        <w:br w:type="page"/>
      </w:r>
    </w:p>
    <w:p w14:paraId="2047AC3E">
      <w:pPr>
        <w:spacing w:line="640" w:lineRule="exact"/>
        <w:ind w:firstLine="640"/>
        <w:jc w:val="both"/>
        <w:outlineLvl w:val="2"/>
      </w:pPr>
      <w:r>
        <w:rPr>
          <w:rFonts w:ascii="黑体" w:hAnsi="黑体" w:eastAsia="黑体"/>
          <w:sz w:val="32"/>
        </w:rPr>
        <w:t>十二、其他需说明的事项</w:t>
      </w:r>
    </w:p>
    <w:p w14:paraId="06AA140D">
      <w:pPr>
        <w:spacing w:line="580" w:lineRule="exact"/>
        <w:ind w:firstLine="640"/>
        <w:jc w:val="both"/>
      </w:pPr>
      <w:r>
        <w:rPr>
          <w:rFonts w:ascii="仿宋_GB2312" w:hAnsi="仿宋_GB2312" w:eastAsia="仿宋_GB2312"/>
          <w:b w:val="0"/>
          <w:sz w:val="32"/>
        </w:rPr>
        <w:t>本单位无其他需说明的事项。</w:t>
      </w:r>
    </w:p>
    <w:p w14:paraId="1D54D1B2">
      <w:r>
        <w:br w:type="page"/>
      </w:r>
    </w:p>
    <w:p w14:paraId="5415CF3E">
      <w:pPr>
        <w:spacing w:line="240" w:lineRule="auto"/>
        <w:jc w:val="center"/>
        <w:outlineLvl w:val="1"/>
      </w:pPr>
      <w:r>
        <w:rPr>
          <w:rFonts w:ascii="黑体" w:hAnsi="黑体" w:eastAsia="黑体"/>
          <w:sz w:val="32"/>
        </w:rPr>
        <w:t>第三部分 专业名词解释</w:t>
      </w:r>
    </w:p>
    <w:p w14:paraId="6B3BA84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2A718F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248964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195FFB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B94A35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26BBB0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D5CD3E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B80C70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BF5E54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4BDB2F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B3F6F4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E796E9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1CB451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35CAC2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9C27EAC">
      <w:r>
        <w:br w:type="page"/>
      </w:r>
    </w:p>
    <w:p w14:paraId="20B6DE2A">
      <w:pPr>
        <w:spacing w:line="240" w:lineRule="auto"/>
        <w:jc w:val="center"/>
        <w:outlineLvl w:val="1"/>
      </w:pPr>
      <w:r>
        <w:rPr>
          <w:rFonts w:ascii="黑体" w:hAnsi="黑体" w:eastAsia="黑体"/>
          <w:sz w:val="32"/>
        </w:rPr>
        <w:t>第四部分 部门决算报表（见附表）</w:t>
      </w:r>
    </w:p>
    <w:p w14:paraId="04D02F27">
      <w:pPr>
        <w:spacing w:line="240" w:lineRule="auto"/>
        <w:ind w:firstLine="640"/>
        <w:jc w:val="both"/>
      </w:pPr>
      <w:r>
        <w:rPr>
          <w:rFonts w:ascii="仿宋_GB2312" w:hAnsi="仿宋_GB2312" w:eastAsia="仿宋_GB2312"/>
          <w:b w:val="0"/>
          <w:sz w:val="32"/>
        </w:rPr>
        <w:t>一、《收入支出决算总表》</w:t>
      </w:r>
    </w:p>
    <w:p w14:paraId="300D8435">
      <w:pPr>
        <w:spacing w:line="240" w:lineRule="auto"/>
        <w:ind w:firstLine="640"/>
        <w:jc w:val="both"/>
      </w:pPr>
      <w:r>
        <w:rPr>
          <w:rFonts w:ascii="仿宋_GB2312" w:hAnsi="仿宋_GB2312" w:eastAsia="仿宋_GB2312"/>
          <w:b w:val="0"/>
          <w:sz w:val="32"/>
        </w:rPr>
        <w:t>二、《收入决算表》</w:t>
      </w:r>
    </w:p>
    <w:p w14:paraId="53E87270">
      <w:pPr>
        <w:spacing w:line="240" w:lineRule="auto"/>
        <w:ind w:firstLine="640"/>
        <w:jc w:val="both"/>
      </w:pPr>
      <w:r>
        <w:rPr>
          <w:rFonts w:ascii="仿宋_GB2312" w:hAnsi="仿宋_GB2312" w:eastAsia="仿宋_GB2312"/>
          <w:b w:val="0"/>
          <w:sz w:val="32"/>
        </w:rPr>
        <w:t>三、《支出决算表》</w:t>
      </w:r>
    </w:p>
    <w:p w14:paraId="77E4D3BF">
      <w:pPr>
        <w:spacing w:line="240" w:lineRule="auto"/>
        <w:ind w:firstLine="640"/>
        <w:jc w:val="both"/>
      </w:pPr>
      <w:r>
        <w:rPr>
          <w:rFonts w:ascii="仿宋_GB2312" w:hAnsi="仿宋_GB2312" w:eastAsia="仿宋_GB2312"/>
          <w:b w:val="0"/>
          <w:sz w:val="32"/>
        </w:rPr>
        <w:t>四、《财政拨款收入支出决算总表》</w:t>
      </w:r>
    </w:p>
    <w:p w14:paraId="26B9DF2B">
      <w:pPr>
        <w:spacing w:line="240" w:lineRule="auto"/>
        <w:ind w:firstLine="640"/>
        <w:jc w:val="both"/>
      </w:pPr>
      <w:r>
        <w:rPr>
          <w:rFonts w:ascii="仿宋_GB2312" w:hAnsi="仿宋_GB2312" w:eastAsia="仿宋_GB2312"/>
          <w:b w:val="0"/>
          <w:sz w:val="32"/>
        </w:rPr>
        <w:t>五、《一般公共预算财政拨款支出决算表》</w:t>
      </w:r>
    </w:p>
    <w:p w14:paraId="7CE460C3">
      <w:pPr>
        <w:spacing w:line="240" w:lineRule="auto"/>
        <w:ind w:firstLine="640"/>
        <w:jc w:val="both"/>
      </w:pPr>
      <w:r>
        <w:rPr>
          <w:rFonts w:ascii="仿宋_GB2312" w:hAnsi="仿宋_GB2312" w:eastAsia="仿宋_GB2312"/>
          <w:b w:val="0"/>
          <w:sz w:val="32"/>
        </w:rPr>
        <w:t>六、《一般公共预算财政拨款基本支出决算表》</w:t>
      </w:r>
    </w:p>
    <w:p w14:paraId="29CE325C">
      <w:pPr>
        <w:spacing w:line="240" w:lineRule="auto"/>
        <w:ind w:firstLine="640"/>
        <w:jc w:val="both"/>
      </w:pPr>
      <w:r>
        <w:rPr>
          <w:rFonts w:ascii="仿宋_GB2312" w:hAnsi="仿宋_GB2312" w:eastAsia="仿宋_GB2312"/>
          <w:b w:val="0"/>
          <w:sz w:val="32"/>
        </w:rPr>
        <w:t>七、《政府性基金预算财政拨款收入支出决算表》</w:t>
      </w:r>
    </w:p>
    <w:p w14:paraId="0474267D">
      <w:pPr>
        <w:spacing w:line="240" w:lineRule="auto"/>
        <w:ind w:firstLine="640"/>
        <w:jc w:val="both"/>
      </w:pPr>
      <w:r>
        <w:rPr>
          <w:rFonts w:ascii="仿宋_GB2312" w:hAnsi="仿宋_GB2312" w:eastAsia="仿宋_GB2312"/>
          <w:b w:val="0"/>
          <w:sz w:val="32"/>
        </w:rPr>
        <w:t>八、《国有资本经营预算财政拨款收入支出决算表》</w:t>
      </w:r>
    </w:p>
    <w:p w14:paraId="57E95B8B">
      <w:pPr>
        <w:spacing w:line="240" w:lineRule="auto"/>
        <w:ind w:firstLine="640"/>
        <w:jc w:val="both"/>
      </w:pPr>
      <w:r>
        <w:rPr>
          <w:rFonts w:ascii="仿宋_GB2312" w:hAnsi="仿宋_GB2312" w:eastAsia="仿宋_GB2312"/>
          <w:b w:val="0"/>
          <w:sz w:val="32"/>
        </w:rPr>
        <w:t>九、《财政拨款“三公”经费支出决算表》</w:t>
      </w:r>
    </w:p>
    <w:p w14:paraId="630177B1">
      <w:pPr>
        <w:spacing w:line="240" w:lineRule="auto"/>
        <w:ind w:firstLine="640"/>
        <w:jc w:val="both"/>
      </w:pPr>
    </w:p>
    <w:p w14:paraId="5CE2F324">
      <w:pPr>
        <w:spacing w:line="240" w:lineRule="auto"/>
        <w:ind w:firstLine="640"/>
        <w:jc w:val="both"/>
      </w:pPr>
    </w:p>
    <w:p w14:paraId="769E5918">
      <w:pPr>
        <w:spacing w:line="240" w:lineRule="auto"/>
        <w:ind w:firstLine="640"/>
        <w:jc w:val="both"/>
      </w:pPr>
    </w:p>
    <w:p w14:paraId="6AF02FB2">
      <w:pPr>
        <w:spacing w:line="240" w:lineRule="auto"/>
        <w:ind w:firstLine="640"/>
        <w:jc w:val="both"/>
      </w:pPr>
    </w:p>
    <w:p w14:paraId="693CA5B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929A98A-E885-40AF-A9D2-2CEE750D2AE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DAABEB4D-3813-4E60-96BA-71ABD319EA21}"/>
  </w:font>
  <w:font w:name="楷体_GB2312">
    <w:panose1 w:val="02010609030101010101"/>
    <w:charset w:val="86"/>
    <w:family w:val="auto"/>
    <w:pitch w:val="default"/>
    <w:sig w:usb0="00000001" w:usb1="080E0000" w:usb2="00000000" w:usb3="00000000" w:csb0="00040000" w:csb1="00000000"/>
    <w:embedRegular r:id="rId3" w:fontKey="{358C3679-8228-4F5D-9085-95FF0C757937}"/>
  </w:font>
  <w:font w:name="方正小标宋_GBK">
    <w:panose1 w:val="02000000000000000000"/>
    <w:charset w:val="86"/>
    <w:family w:val="script"/>
    <w:pitch w:val="default"/>
    <w:sig w:usb0="A00002BF" w:usb1="38CF7CFA" w:usb2="00082016" w:usb3="00000000" w:csb0="00040001" w:csb1="00000000"/>
    <w:embedRegular r:id="rId4" w:fontKey="{123A9557-4B31-4F47-9FB6-D2BF5E876B5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6FC226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BA7C6B"/>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4531</Words>
  <Characters>5160</Characters>
  <Lines>0</Lines>
  <Paragraphs>0</Paragraphs>
  <TotalTime>17</TotalTime>
  <ScaleCrop>false</ScaleCrop>
  <LinksUpToDate>false</LinksUpToDate>
  <CharactersWithSpaces>5168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eyJoZGlkIjoiNTBiYjFiYzY0OWM2ODlhYjA1NDAwODJkOGMwZGNkYTMiLCJ1c2VySWQiOiIyNTk4NTcxMjUifQ==</vt:lpwstr>
  </property>
</Properties>
</file>