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3B90C9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阿克陶县工商业联合会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B82256">
      <w:r>
        <w:br w:type="page"/>
      </w:r>
    </w:p>
    <w:p w14:paraId="6959359B">
      <w:pPr>
        <w:spacing w:line="640" w:lineRule="exact"/>
        <w:jc w:val="center"/>
        <w:outlineLvl w:val="1"/>
      </w:pPr>
      <w:r>
        <w:rPr>
          <w:rFonts w:ascii="黑体" w:hAnsi="黑体" w:eastAsia="黑体"/>
          <w:sz w:val="32"/>
        </w:rPr>
        <w:t>第一部分 单位概况</w:t>
      </w:r>
    </w:p>
    <w:p w14:paraId="7E2955FB">
      <w:pPr>
        <w:spacing w:line="640" w:lineRule="exact"/>
        <w:ind w:firstLine="640"/>
        <w:jc w:val="both"/>
        <w:outlineLvl w:val="2"/>
      </w:pPr>
      <w:r>
        <w:rPr>
          <w:rFonts w:ascii="黑体" w:hAnsi="黑体" w:eastAsia="黑体"/>
          <w:sz w:val="32"/>
        </w:rPr>
        <w:t>一、主要职能</w:t>
      </w:r>
    </w:p>
    <w:p w14:paraId="3A10E80C">
      <w:pPr>
        <w:spacing w:line="580" w:lineRule="exact"/>
        <w:ind w:firstLine="640"/>
        <w:jc w:val="both"/>
      </w:pPr>
      <w:r>
        <w:rPr>
          <w:rFonts w:ascii="仿宋_GB2312" w:hAnsi="仿宋_GB2312" w:eastAsia="仿宋_GB2312"/>
          <w:sz w:val="32"/>
        </w:rPr>
        <w:t>工商联是中国共产党领导下的以统战性为主，兼有经济性、民间性的人民团体和民间商会。其主要职责是。</w:t>
      </w:r>
    </w:p>
    <w:p w14:paraId="04D6742A">
      <w:pPr>
        <w:spacing w:line="580" w:lineRule="exact"/>
        <w:ind w:firstLine="640"/>
        <w:jc w:val="both"/>
      </w:pPr>
      <w:r>
        <w:rPr>
          <w:rFonts w:ascii="仿宋_GB2312" w:hAnsi="仿宋_GB2312" w:eastAsia="仿宋_GB2312"/>
          <w:sz w:val="32"/>
        </w:rPr>
        <w:t>1.组织、宣传贯彻落实党委和政府关于发展非公经济的方针政策，调查了解本县非公经济发展情况，掌握分析非公经济人士的思想状态，向县委、县政府。</w:t>
      </w:r>
    </w:p>
    <w:p w14:paraId="257B3C18">
      <w:pPr>
        <w:spacing w:line="580" w:lineRule="exact"/>
        <w:ind w:firstLine="640"/>
        <w:jc w:val="both"/>
      </w:pPr>
      <w:r>
        <w:rPr>
          <w:rFonts w:ascii="仿宋_GB2312" w:hAnsi="仿宋_GB2312" w:eastAsia="仿宋_GB2312"/>
          <w:sz w:val="32"/>
        </w:rPr>
        <w:t>反映情况，并提出</w:t>
      </w:r>
      <w:r>
        <w:rPr>
          <w:rFonts w:hint="eastAsia" w:ascii="仿宋_GB2312" w:hAnsi="仿宋_GB2312" w:eastAsia="仿宋_GB2312"/>
          <w:sz w:val="32"/>
          <w:lang w:eastAsia="zh-CN"/>
        </w:rPr>
        <w:t>建议</w:t>
      </w:r>
      <w:r>
        <w:rPr>
          <w:rFonts w:ascii="仿宋_GB2312" w:hAnsi="仿宋_GB2312" w:eastAsia="仿宋_GB2312"/>
          <w:sz w:val="32"/>
        </w:rPr>
        <w:t>和意见。</w:t>
      </w:r>
    </w:p>
    <w:p w14:paraId="1348A913">
      <w:pPr>
        <w:spacing w:line="580" w:lineRule="exact"/>
        <w:ind w:firstLine="640"/>
        <w:jc w:val="both"/>
      </w:pPr>
      <w:r>
        <w:rPr>
          <w:rFonts w:ascii="仿宋_GB2312" w:hAnsi="仿宋_GB2312" w:eastAsia="仿宋_GB2312"/>
          <w:sz w:val="32"/>
        </w:rPr>
        <w:t>2.参与我县政治、经济、社会生活中的重要问题的政治协商、参政议政、发挥民主监督的作用。</w:t>
      </w:r>
    </w:p>
    <w:p w14:paraId="00F511EA">
      <w:pPr>
        <w:spacing w:line="580" w:lineRule="exact"/>
        <w:ind w:firstLine="640"/>
        <w:jc w:val="both"/>
      </w:pPr>
      <w:r>
        <w:rPr>
          <w:rFonts w:ascii="仿宋_GB2312" w:hAnsi="仿宋_GB2312" w:eastAsia="仿宋_GB2312"/>
          <w:sz w:val="32"/>
        </w:rPr>
        <w:t>3.积极引导非公经济人士参加国家建设，推动社会主义市场经济体制逐步完善，促进社会全面发展。</w:t>
      </w:r>
    </w:p>
    <w:p w14:paraId="024EF999">
      <w:pPr>
        <w:spacing w:line="580" w:lineRule="exact"/>
        <w:ind w:firstLine="640"/>
        <w:jc w:val="both"/>
      </w:pPr>
      <w:r>
        <w:rPr>
          <w:rFonts w:ascii="仿宋_GB2312" w:hAnsi="仿宋_GB2312" w:eastAsia="仿宋_GB2312"/>
          <w:sz w:val="32"/>
        </w:rPr>
        <w:t>4.会同有关部门做好培养选拔、推荐工商界代表人士政治安排工作，加强工商界人士思想政治教育，</w:t>
      </w:r>
      <w:r>
        <w:rPr>
          <w:rFonts w:hint="eastAsia" w:ascii="仿宋_GB2312" w:hAnsi="仿宋_GB2312" w:eastAsia="仿宋_GB2312"/>
          <w:sz w:val="32"/>
          <w:lang w:eastAsia="zh-CN"/>
        </w:rPr>
        <w:t>增强</w:t>
      </w:r>
      <w:r>
        <w:rPr>
          <w:rFonts w:ascii="仿宋_GB2312" w:hAnsi="仿宋_GB2312" w:eastAsia="仿宋_GB2312"/>
          <w:sz w:val="32"/>
        </w:rPr>
        <w:t>爱国敬业、守法意识。</w:t>
      </w:r>
    </w:p>
    <w:p w14:paraId="4DF1929B">
      <w:pPr>
        <w:spacing w:line="580" w:lineRule="exact"/>
        <w:ind w:firstLine="640"/>
        <w:jc w:val="both"/>
      </w:pPr>
      <w:r>
        <w:rPr>
          <w:rFonts w:ascii="仿宋_GB2312" w:hAnsi="仿宋_GB2312" w:eastAsia="仿宋_GB2312"/>
          <w:sz w:val="32"/>
        </w:rPr>
        <w:t>5.代表并维护会员的合法权益，反映会员的意见，要求和建议。</w:t>
      </w:r>
    </w:p>
    <w:p w14:paraId="4FE58519">
      <w:pPr>
        <w:spacing w:line="580" w:lineRule="exact"/>
        <w:ind w:firstLine="640"/>
        <w:jc w:val="both"/>
      </w:pPr>
      <w:r>
        <w:rPr>
          <w:rFonts w:ascii="仿宋_GB2312" w:hAnsi="仿宋_GB2312" w:eastAsia="仿宋_GB2312"/>
          <w:sz w:val="32"/>
        </w:rPr>
        <w:t>6.引导会员走共同富裕之路，积极参与社会公益事业活动。</w:t>
      </w:r>
    </w:p>
    <w:p w14:paraId="3AD2B404">
      <w:pPr>
        <w:spacing w:line="580" w:lineRule="exact"/>
        <w:ind w:firstLine="640"/>
        <w:jc w:val="both"/>
      </w:pPr>
      <w:r>
        <w:rPr>
          <w:rFonts w:ascii="仿宋_GB2312" w:hAnsi="仿宋_GB2312" w:eastAsia="仿宋_GB2312"/>
          <w:sz w:val="32"/>
        </w:rPr>
        <w:t>7.为会员提供信息、科技、管理、法律、会计、审计、融资、咨询等服务。</w:t>
      </w:r>
    </w:p>
    <w:p w14:paraId="6B43801E">
      <w:pPr>
        <w:spacing w:line="580" w:lineRule="exact"/>
        <w:ind w:firstLine="640"/>
        <w:jc w:val="both"/>
      </w:pPr>
      <w:r>
        <w:rPr>
          <w:rFonts w:ascii="仿宋_GB2312" w:hAnsi="仿宋_GB2312" w:eastAsia="仿宋_GB2312"/>
          <w:sz w:val="32"/>
        </w:rPr>
        <w:t>8.组织开展工商界的专业培训，帮助会员改进经营管理、照章纳税、提高生产技术和产品质量。</w:t>
      </w:r>
    </w:p>
    <w:p w14:paraId="2917DE74">
      <w:pPr>
        <w:spacing w:line="580" w:lineRule="exact"/>
        <w:ind w:firstLine="640"/>
        <w:jc w:val="both"/>
      </w:pPr>
      <w:r>
        <w:rPr>
          <w:rFonts w:ascii="仿宋_GB2312" w:hAnsi="仿宋_GB2312" w:eastAsia="仿宋_GB2312"/>
          <w:sz w:val="32"/>
        </w:rPr>
        <w:t>9.组织会员举办和参加各种对内外展销会、交易会、组织会员出国、出境考察访问、帮助会员开拓国内、国际市场。</w:t>
      </w:r>
    </w:p>
    <w:p w14:paraId="36F060D1">
      <w:pPr>
        <w:spacing w:line="580" w:lineRule="exact"/>
        <w:ind w:firstLine="640"/>
        <w:jc w:val="both"/>
      </w:pPr>
      <w:r>
        <w:rPr>
          <w:rFonts w:ascii="仿宋_GB2312" w:hAnsi="仿宋_GB2312" w:eastAsia="仿宋_GB2312"/>
          <w:sz w:val="32"/>
        </w:rPr>
        <w:t>10.增进与香港特区及台湾、澳门地区和世界各国社团及工商经济界人士的联系和友谊，促进经济、技术和贸易合作的发展，协助引进资金、技术人才。</w:t>
      </w:r>
    </w:p>
    <w:p w14:paraId="5AF5735F">
      <w:pPr>
        <w:spacing w:line="580" w:lineRule="exact"/>
        <w:ind w:firstLine="640"/>
        <w:jc w:val="both"/>
      </w:pPr>
      <w:r>
        <w:rPr>
          <w:rFonts w:ascii="仿宋_GB2312" w:hAnsi="仿宋_GB2312" w:eastAsia="仿宋_GB2312"/>
          <w:sz w:val="32"/>
        </w:rPr>
        <w:t>11.办好会办企业、事业；为会员提供相关证明、协调关系，</w:t>
      </w:r>
      <w:r>
        <w:rPr>
          <w:rFonts w:hint="eastAsia" w:ascii="仿宋_GB2312" w:hAnsi="仿宋_GB2312" w:eastAsia="仿宋_GB2312"/>
          <w:sz w:val="32"/>
          <w:lang w:eastAsia="zh-CN"/>
        </w:rPr>
        <w:t>调解</w:t>
      </w:r>
      <w:r>
        <w:rPr>
          <w:rFonts w:ascii="仿宋_GB2312" w:hAnsi="仿宋_GB2312" w:eastAsia="仿宋_GB2312"/>
          <w:sz w:val="32"/>
        </w:rPr>
        <w:t>经济</w:t>
      </w:r>
      <w:r>
        <w:rPr>
          <w:rFonts w:hint="eastAsia" w:ascii="仿宋_GB2312" w:hAnsi="仿宋_GB2312" w:eastAsia="仿宋_GB2312"/>
          <w:sz w:val="32"/>
          <w:lang w:eastAsia="zh-CN"/>
        </w:rPr>
        <w:t>纠纷</w:t>
      </w:r>
      <w:r>
        <w:rPr>
          <w:rFonts w:ascii="仿宋_GB2312" w:hAnsi="仿宋_GB2312" w:eastAsia="仿宋_GB2312"/>
          <w:sz w:val="32"/>
        </w:rPr>
        <w:t>。</w:t>
      </w:r>
    </w:p>
    <w:p w14:paraId="27FF8773">
      <w:pPr>
        <w:spacing w:line="640" w:lineRule="exact"/>
        <w:ind w:firstLine="640"/>
        <w:jc w:val="both"/>
        <w:outlineLvl w:val="2"/>
      </w:pPr>
      <w:r>
        <w:rPr>
          <w:rFonts w:ascii="黑体" w:hAnsi="黑体" w:eastAsia="黑体"/>
          <w:sz w:val="32"/>
        </w:rPr>
        <w:t>二、机构设置及人员情况</w:t>
      </w:r>
    </w:p>
    <w:p w14:paraId="650FCB37">
      <w:pPr>
        <w:spacing w:line="580" w:lineRule="exact"/>
        <w:ind w:firstLine="640"/>
        <w:jc w:val="both"/>
      </w:pPr>
      <w:r>
        <w:rPr>
          <w:rFonts w:ascii="仿宋_GB2312" w:hAnsi="仿宋_GB2312" w:eastAsia="仿宋_GB2312"/>
          <w:sz w:val="32"/>
        </w:rPr>
        <w:t>阿克陶县工商业联合会2024年度，实有人数5人，其中：在职人员3人，减少1人；离休人员0人，增加0人；退休人员2人,增加1人。</w:t>
      </w:r>
    </w:p>
    <w:p w14:paraId="7C168419">
      <w:pPr>
        <w:spacing w:line="580" w:lineRule="exact"/>
        <w:ind w:firstLine="640"/>
        <w:jc w:val="both"/>
      </w:pPr>
      <w:r>
        <w:rPr>
          <w:rFonts w:ascii="仿宋_GB2312" w:hAnsi="仿宋_GB2312" w:eastAsia="仿宋_GB2312"/>
          <w:sz w:val="32"/>
        </w:rPr>
        <w:t>阿克陶县工商业联合会无下属预算单位，下设2个科室，分别是：办公室、财务室。</w:t>
      </w:r>
    </w:p>
    <w:p w14:paraId="15E5959F">
      <w:r>
        <w:br w:type="page"/>
      </w:r>
    </w:p>
    <w:p w14:paraId="25ADE57C">
      <w:pPr>
        <w:spacing w:line="240" w:lineRule="auto"/>
        <w:jc w:val="center"/>
        <w:outlineLvl w:val="1"/>
      </w:pPr>
      <w:r>
        <w:rPr>
          <w:rFonts w:ascii="黑体" w:hAnsi="黑体" w:eastAsia="黑体"/>
          <w:sz w:val="32"/>
        </w:rPr>
        <w:t>第二部分 部门决算情况说明</w:t>
      </w:r>
    </w:p>
    <w:p w14:paraId="535470B2">
      <w:pPr>
        <w:spacing w:line="640" w:lineRule="exact"/>
        <w:ind w:firstLine="640"/>
        <w:jc w:val="both"/>
        <w:outlineLvl w:val="2"/>
      </w:pPr>
      <w:r>
        <w:rPr>
          <w:rFonts w:ascii="黑体" w:hAnsi="黑体" w:eastAsia="黑体"/>
          <w:sz w:val="32"/>
        </w:rPr>
        <w:t>一、收入支出决算总体情况说明</w:t>
      </w:r>
    </w:p>
    <w:p w14:paraId="2A428455">
      <w:pPr>
        <w:spacing w:line="580" w:lineRule="exact"/>
        <w:ind w:firstLine="640"/>
        <w:jc w:val="both"/>
      </w:pPr>
      <w:r>
        <w:rPr>
          <w:rFonts w:ascii="仿宋_GB2312" w:hAnsi="仿宋_GB2312" w:eastAsia="仿宋_GB2312"/>
          <w:b/>
          <w:sz w:val="32"/>
        </w:rPr>
        <w:t>2024年度收入总计102.33万元，</w:t>
      </w:r>
      <w:r>
        <w:rPr>
          <w:rFonts w:ascii="仿宋_GB2312" w:hAnsi="仿宋_GB2312" w:eastAsia="仿宋_GB2312"/>
          <w:b w:val="0"/>
          <w:sz w:val="32"/>
        </w:rPr>
        <w:t>其中：本年收入合计98.41万元，使用非财政拨款结余（含专用结余）0.00万元，年初结转和结余3.92万元。</w:t>
      </w:r>
    </w:p>
    <w:p w14:paraId="18C1C460">
      <w:pPr>
        <w:spacing w:line="580" w:lineRule="exact"/>
        <w:ind w:firstLine="640"/>
        <w:jc w:val="both"/>
      </w:pPr>
      <w:r>
        <w:rPr>
          <w:rFonts w:ascii="仿宋_GB2312" w:hAnsi="仿宋_GB2312" w:eastAsia="仿宋_GB2312"/>
          <w:b/>
          <w:sz w:val="32"/>
        </w:rPr>
        <w:t>2024年度支出总计102.33万元，</w:t>
      </w:r>
      <w:r>
        <w:rPr>
          <w:rFonts w:ascii="仿宋_GB2312" w:hAnsi="仿宋_GB2312" w:eastAsia="仿宋_GB2312"/>
          <w:b w:val="0"/>
          <w:sz w:val="32"/>
        </w:rPr>
        <w:t>其中：本年支出合计99.70万元，结余分配0.00万元，年末结转和结余2.63万元。</w:t>
      </w:r>
    </w:p>
    <w:p w14:paraId="71F86111">
      <w:pPr>
        <w:spacing w:line="580" w:lineRule="exact"/>
        <w:ind w:firstLine="640"/>
        <w:jc w:val="both"/>
      </w:pPr>
      <w:r>
        <w:rPr>
          <w:rFonts w:ascii="仿宋_GB2312" w:hAnsi="仿宋_GB2312" w:eastAsia="仿宋_GB2312"/>
          <w:b w:val="0"/>
          <w:sz w:val="32"/>
        </w:rPr>
        <w:t>收入支出总体与上年相比，增加7.28万元，增长7.66%，主要原因是：</w:t>
      </w:r>
      <w:r>
        <w:rPr>
          <w:rFonts w:hint="eastAsia" w:ascii="仿宋_GB2312" w:hAnsi="仿宋_GB2312" w:eastAsia="仿宋_GB2312"/>
          <w:b w:val="0"/>
          <w:sz w:val="32"/>
          <w:lang w:eastAsia="zh-CN"/>
        </w:rPr>
        <w:t>本</w:t>
      </w:r>
      <w:r>
        <w:rPr>
          <w:rFonts w:ascii="仿宋_GB2312" w:hAnsi="仿宋_GB2312" w:eastAsia="仿宋_GB2312"/>
          <w:b w:val="0"/>
          <w:sz w:val="32"/>
        </w:rPr>
        <w:t>年在职人员社保、公积金基数调增，人员经费增加。</w:t>
      </w:r>
    </w:p>
    <w:p w14:paraId="75ABA133">
      <w:pPr>
        <w:spacing w:line="640" w:lineRule="exact"/>
        <w:ind w:firstLine="640"/>
        <w:jc w:val="both"/>
        <w:outlineLvl w:val="2"/>
      </w:pPr>
      <w:r>
        <w:rPr>
          <w:rFonts w:ascii="黑体" w:hAnsi="黑体" w:eastAsia="黑体"/>
          <w:sz w:val="32"/>
        </w:rPr>
        <w:t>二、收入决算情况说明</w:t>
      </w:r>
    </w:p>
    <w:p w14:paraId="76688A68">
      <w:pPr>
        <w:spacing w:line="580" w:lineRule="exact"/>
        <w:ind w:firstLine="640"/>
        <w:jc w:val="both"/>
      </w:pPr>
      <w:r>
        <w:rPr>
          <w:rFonts w:ascii="仿宋_GB2312" w:hAnsi="仿宋_GB2312" w:eastAsia="仿宋_GB2312"/>
          <w:b/>
          <w:sz w:val="32"/>
        </w:rPr>
        <w:t>本年收入98.41万元，</w:t>
      </w:r>
      <w:r>
        <w:rPr>
          <w:rFonts w:ascii="仿宋_GB2312" w:hAnsi="仿宋_GB2312" w:eastAsia="仿宋_GB2312"/>
          <w:b w:val="0"/>
          <w:sz w:val="32"/>
        </w:rPr>
        <w:t>其中：财政拨款收入98.41万元，占100.00%；上级补助收入0.00万元，占0.00%；事业收入0.00万元，占0.00%；经营收入0.00万元，占0.00%；附属单位上缴收入0.00万元，占0.00%；其他收入0.00万元，占0.00%。</w:t>
      </w:r>
    </w:p>
    <w:p w14:paraId="5DA94B38">
      <w:pPr>
        <w:spacing w:line="640" w:lineRule="exact"/>
        <w:ind w:firstLine="640"/>
        <w:jc w:val="both"/>
        <w:outlineLvl w:val="2"/>
      </w:pPr>
      <w:r>
        <w:rPr>
          <w:rFonts w:ascii="黑体" w:hAnsi="黑体" w:eastAsia="黑体"/>
          <w:sz w:val="32"/>
        </w:rPr>
        <w:t>三、支出决算情况说明</w:t>
      </w:r>
    </w:p>
    <w:p w14:paraId="79BB1E48">
      <w:pPr>
        <w:spacing w:line="580" w:lineRule="exact"/>
        <w:ind w:firstLine="640"/>
        <w:jc w:val="both"/>
      </w:pPr>
      <w:r>
        <w:rPr>
          <w:rFonts w:ascii="仿宋_GB2312" w:hAnsi="仿宋_GB2312" w:eastAsia="仿宋_GB2312"/>
          <w:b/>
          <w:sz w:val="32"/>
        </w:rPr>
        <w:t>本年支出99.70万元，</w:t>
      </w:r>
      <w:r>
        <w:rPr>
          <w:rFonts w:ascii="仿宋_GB2312" w:hAnsi="仿宋_GB2312" w:eastAsia="仿宋_GB2312"/>
          <w:b w:val="0"/>
          <w:sz w:val="32"/>
        </w:rPr>
        <w:t>其中：基本支出98.41万元，占98.71%；项目支出1.29万元，占1.29%；上缴上级支出0.00万元，占0.00%；经营支出0.00万元，占0.00%；对附属单位补助支出0.00万元，占0.00%。</w:t>
      </w:r>
    </w:p>
    <w:p w14:paraId="2754DE6C">
      <w:pPr>
        <w:spacing w:line="640" w:lineRule="exact"/>
        <w:ind w:firstLine="640"/>
        <w:jc w:val="both"/>
        <w:outlineLvl w:val="2"/>
      </w:pPr>
      <w:r>
        <w:rPr>
          <w:rFonts w:ascii="黑体" w:hAnsi="黑体" w:eastAsia="黑体"/>
          <w:sz w:val="32"/>
        </w:rPr>
        <w:t>四、财政拨款收入支出决算总体情况说明</w:t>
      </w:r>
    </w:p>
    <w:p w14:paraId="7F0C3BBC">
      <w:pPr>
        <w:spacing w:line="580" w:lineRule="exact"/>
        <w:ind w:firstLine="640"/>
        <w:jc w:val="both"/>
      </w:pPr>
      <w:r>
        <w:rPr>
          <w:rFonts w:ascii="仿宋_GB2312" w:hAnsi="仿宋_GB2312" w:eastAsia="仿宋_GB2312"/>
          <w:b/>
          <w:sz w:val="32"/>
        </w:rPr>
        <w:t>2024年度财政拨款收入总计98.41万元，</w:t>
      </w:r>
      <w:r>
        <w:rPr>
          <w:rFonts w:ascii="仿宋_GB2312" w:hAnsi="仿宋_GB2312" w:eastAsia="仿宋_GB2312"/>
          <w:b w:val="0"/>
          <w:sz w:val="32"/>
        </w:rPr>
        <w:t>其中：年初财政拨款结转和结余0.00万元，本年财政拨款收入98.41万元。</w:t>
      </w:r>
      <w:r>
        <w:rPr>
          <w:rFonts w:ascii="仿宋_GB2312" w:hAnsi="仿宋_GB2312" w:eastAsia="仿宋_GB2312"/>
          <w:b/>
          <w:sz w:val="32"/>
        </w:rPr>
        <w:t>财政拨款支出总计98.41万元，</w:t>
      </w:r>
      <w:r>
        <w:rPr>
          <w:rFonts w:ascii="仿宋_GB2312" w:hAnsi="仿宋_GB2312" w:eastAsia="仿宋_GB2312"/>
          <w:b w:val="0"/>
          <w:sz w:val="32"/>
        </w:rPr>
        <w:t>其中：年末财政拨款结转和结余0.00万元，本年财政拨款支出98.41万元。</w:t>
      </w:r>
    </w:p>
    <w:p w14:paraId="54CE89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增加7.46万元，增长8.20%，主要原因是：本年在职人员社保、公积金基数调增，人员经费增加。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年初预算数97.31万元，决算数98.41万元，预决算差异率1.13%，主要原因是：年中追加人员工资、社保、公积金基数调增部分资金，导致预决算存在差异。</w:t>
      </w:r>
    </w:p>
    <w:p w14:paraId="21B1584D">
      <w:pPr>
        <w:spacing w:line="640" w:lineRule="exact"/>
        <w:ind w:firstLine="640"/>
        <w:jc w:val="both"/>
        <w:outlineLvl w:val="2"/>
      </w:pPr>
      <w:r>
        <w:rPr>
          <w:rFonts w:ascii="黑体" w:hAnsi="黑体" w:eastAsia="黑体"/>
          <w:sz w:val="32"/>
        </w:rPr>
        <w:t>五、一般公共预算财政拨款支出决算情况说明</w:t>
      </w:r>
    </w:p>
    <w:p w14:paraId="2616B334">
      <w:pPr>
        <w:spacing w:line="640" w:lineRule="exact"/>
        <w:ind w:firstLine="640"/>
        <w:jc w:val="both"/>
        <w:outlineLvl w:val="3"/>
      </w:pPr>
      <w:r>
        <w:rPr>
          <w:rFonts w:ascii="楷体_GB2312" w:hAnsi="楷体_GB2312" w:eastAsia="楷体_GB2312"/>
          <w:b/>
          <w:sz w:val="32"/>
        </w:rPr>
        <w:t>（一）一般公共预算财政拨款支出决算总体情况</w:t>
      </w:r>
    </w:p>
    <w:p w14:paraId="2445613C">
      <w:pPr>
        <w:spacing w:line="580" w:lineRule="exact"/>
        <w:ind w:firstLine="640"/>
        <w:jc w:val="both"/>
      </w:pPr>
      <w:r>
        <w:rPr>
          <w:rFonts w:ascii="仿宋_GB2312" w:hAnsi="仿宋_GB2312" w:eastAsia="仿宋_GB2312"/>
          <w:b/>
          <w:sz w:val="32"/>
        </w:rPr>
        <w:t>2024年度一般公共预算财政拨款支出98.41万元，</w:t>
      </w:r>
      <w:r>
        <w:rPr>
          <w:rFonts w:ascii="仿宋_GB2312" w:hAnsi="仿宋_GB2312" w:eastAsia="仿宋_GB2312"/>
          <w:b w:val="0"/>
          <w:sz w:val="32"/>
        </w:rPr>
        <w:t>占本年支出合计的98.71%。</w:t>
      </w:r>
      <w:r>
        <w:rPr>
          <w:rFonts w:ascii="仿宋_GB2312" w:hAnsi="仿宋_GB2312" w:eastAsia="仿宋_GB2312"/>
          <w:b/>
          <w:sz w:val="32"/>
        </w:rPr>
        <w:t>与上年相比，</w:t>
      </w:r>
      <w:r>
        <w:rPr>
          <w:rFonts w:ascii="仿宋_GB2312" w:hAnsi="仿宋_GB2312" w:eastAsia="仿宋_GB2312"/>
          <w:b w:val="0"/>
          <w:sz w:val="32"/>
        </w:rPr>
        <w:t>增加7.46万元，增长8.20%，主要原因是：本年在职人员社保、公积金基数调增，人员经费增加。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年初预算数97.31万元，决算数98.41万元，预决算差异率1.13%，主要原因是：年中追加人员工资、社保、公积金基数调增部分资金，导致预决算存在差异。</w:t>
      </w:r>
    </w:p>
    <w:p w14:paraId="0D8E75EB">
      <w:pPr>
        <w:spacing w:line="640" w:lineRule="exact"/>
        <w:ind w:firstLine="640"/>
        <w:jc w:val="both"/>
        <w:outlineLvl w:val="3"/>
      </w:pPr>
      <w:r>
        <w:rPr>
          <w:rFonts w:ascii="楷体_GB2312" w:hAnsi="楷体_GB2312" w:eastAsia="楷体_GB2312"/>
          <w:b/>
          <w:sz w:val="32"/>
        </w:rPr>
        <w:t>（二）一般公共预算财政拨款支出决算结构情况</w:t>
      </w:r>
    </w:p>
    <w:p w14:paraId="36AEEAC8">
      <w:pPr>
        <w:spacing w:line="580" w:lineRule="exact"/>
        <w:ind w:firstLine="640"/>
        <w:jc w:val="both"/>
      </w:pPr>
      <w:r>
        <w:rPr>
          <w:rFonts w:ascii="仿宋_GB2312" w:hAnsi="仿宋_GB2312" w:eastAsia="仿宋_GB2312"/>
          <w:b w:val="0"/>
          <w:sz w:val="32"/>
        </w:rPr>
        <w:t>1.一般公共服务支出(类)66.23万元,占67.30%。</w:t>
      </w:r>
    </w:p>
    <w:p w14:paraId="287A93C4">
      <w:pPr>
        <w:spacing w:line="580" w:lineRule="exact"/>
        <w:ind w:firstLine="640"/>
        <w:jc w:val="both"/>
      </w:pPr>
      <w:r>
        <w:rPr>
          <w:rFonts w:ascii="仿宋_GB2312" w:hAnsi="仿宋_GB2312" w:eastAsia="仿宋_GB2312"/>
          <w:b w:val="0"/>
          <w:sz w:val="32"/>
        </w:rPr>
        <w:t>2.社会保障和就业支出(类)21.00万元,占21.34%。</w:t>
      </w:r>
    </w:p>
    <w:p w14:paraId="063AE8BF">
      <w:pPr>
        <w:spacing w:line="580" w:lineRule="exact"/>
        <w:ind w:firstLine="640"/>
        <w:jc w:val="both"/>
      </w:pPr>
      <w:r>
        <w:rPr>
          <w:rFonts w:ascii="仿宋_GB2312" w:hAnsi="仿宋_GB2312" w:eastAsia="仿宋_GB2312"/>
          <w:b w:val="0"/>
          <w:sz w:val="32"/>
        </w:rPr>
        <w:t>3.卫生健康支出(类)4.20万元,占4.27%。</w:t>
      </w:r>
    </w:p>
    <w:p w14:paraId="1E05D395">
      <w:pPr>
        <w:spacing w:line="580" w:lineRule="exact"/>
        <w:ind w:firstLine="640"/>
        <w:jc w:val="both"/>
      </w:pPr>
      <w:r>
        <w:rPr>
          <w:rFonts w:ascii="仿宋_GB2312" w:hAnsi="仿宋_GB2312" w:eastAsia="仿宋_GB2312"/>
          <w:b w:val="0"/>
          <w:sz w:val="32"/>
        </w:rPr>
        <w:t>4.住房保障支出(类)6.98万元,占7.09%。</w:t>
      </w:r>
    </w:p>
    <w:p w14:paraId="6B542E93">
      <w:pPr>
        <w:spacing w:line="640" w:lineRule="exact"/>
        <w:ind w:firstLine="640"/>
        <w:jc w:val="both"/>
        <w:outlineLvl w:val="3"/>
      </w:pPr>
      <w:r>
        <w:rPr>
          <w:rFonts w:ascii="楷体_GB2312" w:hAnsi="楷体_GB2312" w:eastAsia="楷体_GB2312"/>
          <w:b/>
          <w:sz w:val="32"/>
        </w:rPr>
        <w:t>（三）一般公共预算财政拨款支出决算具体情况</w:t>
      </w:r>
    </w:p>
    <w:p w14:paraId="79D92AE3">
      <w:pPr>
        <w:spacing w:line="580" w:lineRule="exact"/>
        <w:ind w:firstLine="640"/>
        <w:jc w:val="both"/>
      </w:pPr>
      <w:r>
        <w:rPr>
          <w:rFonts w:ascii="仿宋_GB2312" w:hAnsi="仿宋_GB2312" w:eastAsia="仿宋_GB2312"/>
          <w:b w:val="0"/>
          <w:sz w:val="32"/>
        </w:rPr>
        <w:t>1.一般公共服务支出(类)民主党派及工商联事务(款)行政运行(项):支出决算数为66.23万元，比上年决算减少4.12万元，下降5.86%,主要原因是：本年在职人员减少，相应人员经费较上年减少。</w:t>
      </w:r>
    </w:p>
    <w:p w14:paraId="016DE52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2.社会保障和就业支出(类)行政事业单位养老支出(款)行政单位离退休(项):支出决算数为1.69万元，比上年决算增加0.39万元，增长30.00%,主要原因是：本年退休人员增加，退休费支出增加。</w:t>
      </w:r>
    </w:p>
    <w:p w14:paraId="389B743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8.99万元，比上年决算增加0.84万元，增长10.31%,主要原因是：本年在职人员工资基数调增，养老缴费基数上涨，相应支出增加。</w:t>
      </w:r>
    </w:p>
    <w:p w14:paraId="65C0EA5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4.社会保障和就业支出(类)行政事业单位养老支出(款)机关事业单位职业年金缴费支出(项):支出决算数为10.32万元，比上年决算增加10.32万元，增长100.00%,主要原因是：本年新增退休人员，职业年金缴费支出增加。</w:t>
      </w:r>
    </w:p>
    <w:p w14:paraId="0562D543">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5.卫生健康支出(类)行政事业单位医疗(款)行政单位医疗(项):支出决算数为4.20万元，比上年决算减少0.48万元，下降10.26%,主要原因是：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行政单位医疗</w:t>
      </w:r>
      <w:r>
        <w:rPr>
          <w:rFonts w:hint="eastAsia" w:ascii="仿宋_GB2312" w:hAnsi="仿宋_GB2312" w:eastAsia="仿宋_GB2312"/>
          <w:b w:val="0"/>
          <w:sz w:val="32"/>
          <w:lang w:val="en-US" w:eastAsia="zh-CN"/>
        </w:rPr>
        <w:t>支出减少。</w:t>
      </w:r>
    </w:p>
    <w:p w14:paraId="1E0D08AD">
      <w:pPr>
        <w:spacing w:line="580" w:lineRule="exact"/>
        <w:ind w:firstLine="640"/>
        <w:jc w:val="both"/>
      </w:pPr>
      <w:r>
        <w:rPr>
          <w:rFonts w:ascii="仿宋_GB2312" w:hAnsi="仿宋_GB2312" w:eastAsia="仿宋_GB2312"/>
          <w:b w:val="0"/>
          <w:sz w:val="32"/>
        </w:rPr>
        <w:t>6.住房保障支出(类)住房改革支出(款)住房公积金(项):支出决算数为6.98万元，比上年决算增加0.50万元，增长7.72%,主要原因是：本年在职人员工资基数调增，公积金缴费基数上涨，相应支出增加。</w:t>
      </w:r>
    </w:p>
    <w:p w14:paraId="2D4A6325">
      <w:pPr>
        <w:spacing w:line="640" w:lineRule="exact"/>
        <w:ind w:firstLine="640"/>
        <w:jc w:val="both"/>
        <w:outlineLvl w:val="2"/>
      </w:pPr>
      <w:r>
        <w:rPr>
          <w:rFonts w:ascii="黑体" w:hAnsi="黑体" w:eastAsia="黑体"/>
          <w:sz w:val="32"/>
        </w:rPr>
        <w:t>六、一般公共预算财政拨款基本支出决算情况说明</w:t>
      </w:r>
    </w:p>
    <w:p w14:paraId="04694993">
      <w:pPr>
        <w:spacing w:line="580" w:lineRule="exact"/>
        <w:ind w:firstLine="640"/>
        <w:jc w:val="both"/>
      </w:pPr>
      <w:r>
        <w:rPr>
          <w:rFonts w:ascii="仿宋_GB2312" w:hAnsi="仿宋_GB2312" w:eastAsia="仿宋_GB2312"/>
          <w:b w:val="0"/>
          <w:sz w:val="32"/>
        </w:rPr>
        <w:t>2024年度一般公共预算财政拨款基本支出98.41万元，其中：</w:t>
      </w:r>
      <w:r>
        <w:rPr>
          <w:rFonts w:ascii="仿宋_GB2312" w:hAnsi="仿宋_GB2312" w:eastAsia="仿宋_GB2312"/>
          <w:b/>
          <w:sz w:val="32"/>
        </w:rPr>
        <w:t>人员经费96.61万元，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6B7818F4">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包括：办公费、差旅费、其他交通费用。</w:t>
      </w:r>
    </w:p>
    <w:p w14:paraId="77DE7F1C">
      <w:pPr>
        <w:spacing w:line="640" w:lineRule="exact"/>
        <w:ind w:firstLine="640"/>
        <w:jc w:val="both"/>
        <w:outlineLvl w:val="2"/>
      </w:pPr>
      <w:r>
        <w:rPr>
          <w:rFonts w:ascii="黑体" w:hAnsi="黑体" w:eastAsia="黑体"/>
          <w:sz w:val="32"/>
        </w:rPr>
        <w:t>七、政府性基金预算财政拨款收入支出决算情况说明</w:t>
      </w:r>
    </w:p>
    <w:p w14:paraId="3454C53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D5BD9B">
      <w:pPr>
        <w:spacing w:line="640" w:lineRule="exact"/>
        <w:ind w:firstLine="640"/>
        <w:jc w:val="both"/>
        <w:outlineLvl w:val="2"/>
      </w:pPr>
      <w:r>
        <w:rPr>
          <w:rFonts w:ascii="黑体" w:hAnsi="黑体" w:eastAsia="黑体"/>
          <w:sz w:val="32"/>
        </w:rPr>
        <w:t>八、国有资本经营预算财政拨款收入支出决算情况说明</w:t>
      </w:r>
    </w:p>
    <w:p w14:paraId="42E2CE6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5C9C3D">
      <w:pPr>
        <w:spacing w:line="640" w:lineRule="exact"/>
        <w:ind w:firstLine="640"/>
        <w:jc w:val="both"/>
        <w:outlineLvl w:val="2"/>
      </w:pPr>
      <w:r>
        <w:rPr>
          <w:rFonts w:ascii="黑体" w:hAnsi="黑体" w:eastAsia="黑体"/>
          <w:sz w:val="32"/>
        </w:rPr>
        <w:t>九、财政拨款“三公”经费支出决算情况说明</w:t>
      </w:r>
    </w:p>
    <w:p w14:paraId="264B867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1963202">
      <w:pPr>
        <w:spacing w:line="580" w:lineRule="exact"/>
        <w:ind w:firstLine="640"/>
        <w:jc w:val="both"/>
      </w:pPr>
      <w:r>
        <w:rPr>
          <w:rFonts w:ascii="仿宋_GB2312" w:hAnsi="仿宋_GB2312" w:eastAsia="仿宋_GB2312"/>
          <w:b/>
          <w:sz w:val="32"/>
        </w:rPr>
        <w:t>具体情况如下：</w:t>
      </w:r>
    </w:p>
    <w:p w14:paraId="364438C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39BA1D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7EC88CB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E5ED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D12E204">
      <w:pPr>
        <w:spacing w:line="640" w:lineRule="exact"/>
        <w:ind w:firstLine="640"/>
        <w:jc w:val="both"/>
        <w:outlineLvl w:val="2"/>
      </w:pPr>
      <w:r>
        <w:rPr>
          <w:rFonts w:ascii="黑体" w:hAnsi="黑体" w:eastAsia="黑体"/>
          <w:sz w:val="32"/>
        </w:rPr>
        <w:t>十、其他重要事项的情况说明</w:t>
      </w:r>
    </w:p>
    <w:p w14:paraId="3BA94145">
      <w:pPr>
        <w:spacing w:line="640" w:lineRule="exact"/>
        <w:ind w:firstLine="640"/>
        <w:jc w:val="both"/>
        <w:outlineLvl w:val="3"/>
      </w:pPr>
      <w:r>
        <w:rPr>
          <w:rFonts w:ascii="楷体_GB2312" w:hAnsi="楷体_GB2312" w:eastAsia="楷体_GB2312"/>
          <w:b/>
          <w:sz w:val="32"/>
        </w:rPr>
        <w:t>（一）机关运行经费及公用经费支出情况</w:t>
      </w:r>
    </w:p>
    <w:p w14:paraId="1C80AE61">
      <w:pPr>
        <w:spacing w:line="580" w:lineRule="exact"/>
        <w:ind w:firstLine="640"/>
        <w:jc w:val="both"/>
      </w:pPr>
      <w:r>
        <w:rPr>
          <w:rFonts w:ascii="仿宋_GB2312" w:hAnsi="仿宋_GB2312" w:eastAsia="仿宋_GB2312"/>
          <w:b w:val="0"/>
          <w:sz w:val="32"/>
        </w:rPr>
        <w:t>2024年度阿克陶县工商业联合会（行政单位和参照公务员法管理事业单位）机关运行经费支出1.80万元，比上年增加0.88万元，增长95.65%，主要原因是：本年更新、维护补充办公用品，导致机关运行经费较上年增加。</w:t>
      </w:r>
    </w:p>
    <w:p w14:paraId="17C143FA">
      <w:pPr>
        <w:spacing w:line="640" w:lineRule="exact"/>
        <w:ind w:firstLine="640"/>
        <w:jc w:val="both"/>
        <w:outlineLvl w:val="3"/>
      </w:pPr>
      <w:r>
        <w:rPr>
          <w:rFonts w:ascii="楷体_GB2312" w:hAnsi="楷体_GB2312" w:eastAsia="楷体_GB2312"/>
          <w:b/>
          <w:sz w:val="32"/>
        </w:rPr>
        <w:t>（二）政府采购情况</w:t>
      </w:r>
    </w:p>
    <w:p w14:paraId="1849DA84">
      <w:pPr>
        <w:spacing w:line="580" w:lineRule="exact"/>
        <w:ind w:firstLine="640"/>
        <w:jc w:val="both"/>
      </w:pPr>
      <w:r>
        <w:rPr>
          <w:rFonts w:ascii="仿宋_GB2312" w:hAnsi="仿宋_GB2312" w:eastAsia="仿宋_GB2312"/>
          <w:b w:val="0"/>
          <w:sz w:val="32"/>
        </w:rPr>
        <w:t>2024年度政府采购支出总额1.53万元，其中：政府采购货物支出1.17万元、政府采购工程支出0.00万元、政府采购服务支出0.36万元。</w:t>
      </w:r>
    </w:p>
    <w:p w14:paraId="089CE012">
      <w:pPr>
        <w:spacing w:line="580" w:lineRule="exact"/>
        <w:ind w:firstLine="640"/>
        <w:jc w:val="both"/>
      </w:pPr>
      <w:r>
        <w:rPr>
          <w:rFonts w:ascii="仿宋_GB2312" w:hAnsi="仿宋_GB2312" w:eastAsia="仿宋_GB2312"/>
          <w:b w:val="0"/>
          <w:sz w:val="32"/>
        </w:rPr>
        <w:t>授予中小企业合同金额1.53万元，占政府采购支出总额的100.00%，其中：授予小微企业合同金额1.17万元，占政府采购支出总额的76.47%。</w:t>
      </w:r>
    </w:p>
    <w:p w14:paraId="38D7C1D3">
      <w:pPr>
        <w:spacing w:line="640" w:lineRule="exact"/>
        <w:ind w:firstLine="640"/>
        <w:jc w:val="both"/>
        <w:outlineLvl w:val="3"/>
      </w:pPr>
      <w:r>
        <w:rPr>
          <w:rFonts w:ascii="楷体_GB2312" w:hAnsi="楷体_GB2312" w:eastAsia="楷体_GB2312"/>
          <w:b/>
          <w:sz w:val="32"/>
        </w:rPr>
        <w:t>（三）国有资产占用情况说明</w:t>
      </w:r>
    </w:p>
    <w:p w14:paraId="1A3B6F5D">
      <w:pPr>
        <w:spacing w:line="580" w:lineRule="exact"/>
        <w:ind w:firstLine="640"/>
        <w:jc w:val="both"/>
      </w:pPr>
      <w:r>
        <w:rPr>
          <w:rFonts w:ascii="仿宋_GB2312" w:hAnsi="仿宋_GB2312" w:eastAsia="仿宋_GB2312"/>
          <w:b w:val="0"/>
          <w:sz w:val="32"/>
        </w:rPr>
        <w:t>截至2024年12月31日，房屋0.00平方米，价值0.00万元。车辆1辆，价值11.38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业务用车。单价100万元（含）以上设备（不含车辆）0台（套）。</w:t>
      </w:r>
    </w:p>
    <w:p w14:paraId="6F515D80">
      <w:pPr>
        <w:spacing w:line="640" w:lineRule="exact"/>
        <w:ind w:firstLine="640"/>
        <w:jc w:val="both"/>
        <w:outlineLvl w:val="2"/>
      </w:pPr>
      <w:r>
        <w:rPr>
          <w:rFonts w:ascii="黑体" w:hAnsi="黑体" w:eastAsia="黑体"/>
          <w:sz w:val="32"/>
        </w:rPr>
        <w:t>十一、预算绩效的情况说明</w:t>
      </w:r>
    </w:p>
    <w:p w14:paraId="2ECF4F6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102.33万元，实际执行总额99.70万元；预算绩效评价项目1个，全年预算数2.00万元，全年执行数0.00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二是完善相关制度，推进制度落实。依据相关法律、法规及管理办法，建立分级分类、使用高效、便于操作的实施细则及业务规范，制定绩效问责制度、公开制度等，加快形成“用钱必问效、无效必问责”的机制。具体附整体支出绩效自评表，项目支出绩效自评表和评价报告。</w:t>
      </w:r>
    </w:p>
    <w:p w14:paraId="4C1FB6A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DD49084">
        <w:tblPrEx>
          <w:tblCellMar>
            <w:top w:w="0" w:type="dxa"/>
            <w:left w:w="108" w:type="dxa"/>
            <w:bottom w:w="0" w:type="dxa"/>
            <w:right w:w="108" w:type="dxa"/>
          </w:tblCellMar>
        </w:tblPrEx>
        <w:tc>
          <w:tcPr>
            <w:tcW w:w="8840" w:type="dxa"/>
            <w:gridSpan w:val="8"/>
            <w:vAlign w:val="center"/>
          </w:tcPr>
          <w:p w14:paraId="05346BEA">
            <w:pPr>
              <w:jc w:val="center"/>
            </w:pPr>
            <w:r>
              <w:rPr>
                <w:rFonts w:ascii="宋体" w:hAnsi="宋体" w:eastAsia="宋体"/>
                <w:sz w:val="24"/>
              </w:rPr>
              <w:t>单位整体支出绩效自评表</w:t>
            </w:r>
          </w:p>
        </w:tc>
      </w:tr>
      <w:tr w14:paraId="7C09B1F9">
        <w:tblPrEx>
          <w:tblCellMar>
            <w:top w:w="0" w:type="dxa"/>
            <w:left w:w="108" w:type="dxa"/>
            <w:bottom w:w="0" w:type="dxa"/>
            <w:right w:w="108" w:type="dxa"/>
          </w:tblCellMar>
        </w:tblPrEx>
        <w:tc>
          <w:tcPr>
            <w:tcW w:w="8840" w:type="dxa"/>
            <w:gridSpan w:val="8"/>
            <w:vAlign w:val="center"/>
          </w:tcPr>
          <w:p w14:paraId="3FE6CF5E">
            <w:pPr>
              <w:jc w:val="center"/>
            </w:pPr>
            <w:r>
              <w:rPr>
                <w:rFonts w:ascii="宋体" w:hAnsi="宋体" w:eastAsia="宋体"/>
                <w:sz w:val="24"/>
              </w:rPr>
              <w:t>（2024年度）</w:t>
            </w:r>
          </w:p>
        </w:tc>
      </w:tr>
      <w:tr w14:paraId="6703ACC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4A3B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15022">
            <w:pPr>
              <w:jc w:val="center"/>
            </w:pPr>
            <w:r>
              <w:rPr>
                <w:rFonts w:ascii="宋体" w:hAnsi="宋体" w:eastAsia="宋体"/>
                <w:sz w:val="16"/>
              </w:rPr>
              <w:t>阿克陶县工商业联合会</w:t>
            </w:r>
          </w:p>
        </w:tc>
      </w:tr>
      <w:tr w14:paraId="1AE455D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308C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F888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69FC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7804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FD21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B37C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0C9B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F11F8">
            <w:pPr>
              <w:jc w:val="center"/>
            </w:pPr>
            <w:r>
              <w:rPr>
                <w:rFonts w:ascii="宋体" w:hAnsi="宋体" w:eastAsia="宋体"/>
                <w:sz w:val="16"/>
              </w:rPr>
              <w:t>得分</w:t>
            </w:r>
          </w:p>
        </w:tc>
      </w:tr>
      <w:tr w14:paraId="5FB7D5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FCA3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E1CB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A6F73">
            <w:pPr>
              <w:jc w:val="center"/>
            </w:pPr>
            <w:r>
              <w:rPr>
                <w:rFonts w:ascii="宋体" w:hAnsi="宋体" w:eastAsia="宋体"/>
                <w:sz w:val="16"/>
              </w:rPr>
              <w:t>97.31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39D1C">
            <w:pPr>
              <w:jc w:val="center"/>
            </w:pPr>
            <w:r>
              <w:rPr>
                <w:rFonts w:ascii="宋体" w:hAnsi="宋体" w:eastAsia="宋体"/>
                <w:sz w:val="16"/>
              </w:rPr>
              <w:t>102.33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7B768">
            <w:pPr>
              <w:jc w:val="center"/>
            </w:pPr>
            <w:r>
              <w:rPr>
                <w:rFonts w:ascii="宋体" w:hAnsi="宋体" w:eastAsia="宋体"/>
                <w:sz w:val="16"/>
              </w:rPr>
              <w:t>99.70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CEF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23F7D">
            <w:pPr>
              <w:jc w:val="center"/>
            </w:pPr>
            <w:r>
              <w:rPr>
                <w:rFonts w:ascii="宋体" w:hAnsi="宋体" w:eastAsia="宋体"/>
                <w:sz w:val="16"/>
              </w:rPr>
              <w:t>97.43%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B1A2C">
            <w:pPr>
              <w:jc w:val="center"/>
            </w:pPr>
            <w:r>
              <w:rPr>
                <w:rFonts w:ascii="宋体" w:hAnsi="宋体" w:eastAsia="宋体"/>
                <w:sz w:val="16"/>
              </w:rPr>
              <w:t>9.74</w:t>
            </w:r>
          </w:p>
        </w:tc>
      </w:tr>
      <w:tr w14:paraId="525FF4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5E85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EA18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E3F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9D10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8349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7A3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D67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06F6B">
            <w:pPr>
              <w:jc w:val="center"/>
            </w:pPr>
            <w:r>
              <w:rPr>
                <w:rFonts w:ascii="宋体" w:hAnsi="宋体" w:eastAsia="宋体"/>
                <w:sz w:val="16"/>
              </w:rPr>
              <w:t>—</w:t>
            </w:r>
          </w:p>
        </w:tc>
      </w:tr>
      <w:tr w14:paraId="7B05FE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449F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1B47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30265">
            <w:pPr>
              <w:jc w:val="center"/>
            </w:pPr>
            <w:r>
              <w:rPr>
                <w:rFonts w:ascii="宋体" w:hAnsi="宋体" w:eastAsia="宋体"/>
                <w:sz w:val="16"/>
              </w:rPr>
              <w:t>97.31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69933">
            <w:pPr>
              <w:jc w:val="center"/>
            </w:pPr>
            <w:r>
              <w:rPr>
                <w:rFonts w:ascii="宋体" w:hAnsi="宋体" w:eastAsia="宋体"/>
                <w:sz w:val="16"/>
              </w:rPr>
              <w:t>102.33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6991E">
            <w:pPr>
              <w:jc w:val="center"/>
            </w:pPr>
            <w:r>
              <w:rPr>
                <w:rFonts w:ascii="宋体" w:hAnsi="宋体" w:eastAsia="宋体"/>
                <w:sz w:val="16"/>
              </w:rPr>
              <w:t>99.70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4F1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4B9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47DA7">
            <w:pPr>
              <w:jc w:val="center"/>
            </w:pPr>
            <w:r>
              <w:rPr>
                <w:rFonts w:ascii="宋体" w:hAnsi="宋体" w:eastAsia="宋体"/>
                <w:sz w:val="16"/>
              </w:rPr>
              <w:t>—</w:t>
            </w:r>
          </w:p>
        </w:tc>
      </w:tr>
      <w:tr w14:paraId="1FC21D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F790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8F71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AAF1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FDE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61AE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E0F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C246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49951">
            <w:pPr>
              <w:jc w:val="center"/>
            </w:pPr>
            <w:r>
              <w:rPr>
                <w:rFonts w:ascii="宋体" w:hAnsi="宋体" w:eastAsia="宋体"/>
                <w:sz w:val="16"/>
              </w:rPr>
              <w:t>—</w:t>
            </w:r>
          </w:p>
        </w:tc>
      </w:tr>
      <w:tr w14:paraId="4EA472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6C0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93952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F26869">
            <w:pPr>
              <w:jc w:val="center"/>
            </w:pPr>
            <w:r>
              <w:rPr>
                <w:rFonts w:ascii="宋体" w:hAnsi="宋体" w:eastAsia="宋体"/>
                <w:sz w:val="16"/>
              </w:rPr>
              <w:t>实际完成情况</w:t>
            </w:r>
          </w:p>
        </w:tc>
      </w:tr>
      <w:tr w14:paraId="7C3FA5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C2272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281B70">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2024年县级</w:t>
            </w:r>
            <w:r>
              <w:rPr>
                <w:rFonts w:hint="eastAsia" w:ascii="宋体" w:hAnsi="宋体"/>
                <w:sz w:val="16"/>
                <w:lang w:eastAsia="zh-CN"/>
              </w:rPr>
              <w:t>为民办实事</w:t>
            </w:r>
            <w:r>
              <w:rPr>
                <w:rFonts w:ascii="宋体" w:hAnsi="宋体" w:eastAsia="宋体"/>
                <w:sz w:val="16"/>
              </w:rPr>
              <w:t>工作队第一书记为民办实事经费项目资金</w:t>
            </w:r>
            <w:bookmarkStart w:id="0" w:name="_GoBack"/>
            <w:r>
              <w:rPr>
                <w:rFonts w:hint="eastAsia" w:ascii="宋体" w:hAnsi="宋体"/>
                <w:sz w:val="16"/>
                <w:lang w:eastAsia="zh-CN"/>
              </w:rPr>
              <w:t>用于</w:t>
            </w:r>
            <w:bookmarkEnd w:id="0"/>
            <w:r>
              <w:rPr>
                <w:rFonts w:ascii="宋体" w:hAnsi="宋体" w:eastAsia="宋体"/>
                <w:sz w:val="16"/>
              </w:rPr>
              <w:t>工作、办公及活动支出，切实为民办实事好事，解决群众实际困难诉求。通过该项目的实施更好</w:t>
            </w:r>
            <w:r>
              <w:rPr>
                <w:rFonts w:hint="eastAsia" w:ascii="宋体" w:hAnsi="宋体"/>
                <w:sz w:val="16"/>
                <w:lang w:eastAsia="zh-CN"/>
              </w:rPr>
              <w:t>地</w:t>
            </w:r>
            <w:r>
              <w:rPr>
                <w:rFonts w:ascii="宋体" w:hAnsi="宋体" w:eastAsia="宋体"/>
                <w:sz w:val="16"/>
              </w:rPr>
              <w:t>保障了对群众的宣传教育、团结联谊，同时倡导了现代文明新风尚。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1DC169">
            <w:pPr>
              <w:jc w:val="both"/>
            </w:pPr>
            <w:r>
              <w:rPr>
                <w:rFonts w:ascii="宋体" w:hAnsi="宋体" w:eastAsia="宋体"/>
                <w:sz w:val="16"/>
              </w:rPr>
              <w:t>确保在职人员4人的工资、津贴、补贴、社保、医保、公积金等以及离退休人员1人的工资、医疗费，遗属人员生活补助等人员保障性经费能够依规、按时、足额发放或缴纳，提升部门人员工作积极性和服务质量；保障部门日常运转，为部门正常履职和开展综合性事务管理提供有效支撑。2024年县级工作队第一书记为民办实事经费项目资金用于工作、办公及活动支出，切实为民办实事好事，解决群众实际困难诉求。保障了工作队各项事务正常开展，保障了对群众的宣传教育、团结联谊，同时倡导了现代文明新风尚。</w:t>
            </w:r>
          </w:p>
        </w:tc>
      </w:tr>
      <w:tr w14:paraId="1F412C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DFC3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182B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D453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372D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2326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7DB7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C7A3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3DE97">
            <w:pPr>
              <w:jc w:val="center"/>
            </w:pPr>
            <w:r>
              <w:rPr>
                <w:rFonts w:ascii="宋体" w:hAnsi="宋体" w:eastAsia="宋体"/>
                <w:sz w:val="16"/>
              </w:rPr>
              <w:t>得分</w:t>
            </w:r>
          </w:p>
        </w:tc>
      </w:tr>
      <w:tr w14:paraId="7789A6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27D61">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D380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068E0">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AFB81">
            <w:pPr>
              <w:jc w:val="center"/>
            </w:pPr>
            <w:r>
              <w:rPr>
                <w:rFonts w:ascii="宋体" w:hAnsi="宋体" w:eastAsia="宋体"/>
                <w:sz w:val="16"/>
              </w:rPr>
              <w:t>&gt;=4人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FF4EE">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6C87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6B140">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687D1">
            <w:pPr>
              <w:jc w:val="center"/>
            </w:pPr>
            <w:r>
              <w:rPr>
                <w:rFonts w:ascii="宋体" w:hAnsi="宋体" w:eastAsia="宋体"/>
                <w:sz w:val="16"/>
              </w:rPr>
              <w:t>6</w:t>
            </w:r>
          </w:p>
        </w:tc>
      </w:tr>
      <w:tr w14:paraId="0F740E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993A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913B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C1E11">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312DA">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35D8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93F70">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94A12">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AA66E">
            <w:pPr>
              <w:jc w:val="center"/>
            </w:pPr>
            <w:r>
              <w:rPr>
                <w:rFonts w:ascii="宋体" w:hAnsi="宋体" w:eastAsia="宋体"/>
                <w:sz w:val="16"/>
              </w:rPr>
              <w:t>6</w:t>
            </w:r>
          </w:p>
        </w:tc>
      </w:tr>
      <w:tr w14:paraId="64100E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326C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66F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DCBC2">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FB337">
            <w:pPr>
              <w:jc w:val="center"/>
            </w:pPr>
            <w:r>
              <w:rPr>
                <w:rFonts w:ascii="宋体" w:hAnsi="宋体" w:eastAsia="宋体"/>
                <w:sz w:val="16"/>
              </w:rPr>
              <w:t>&lt;=91.32万元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8F35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192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0D3B0">
            <w:pPr>
              <w:jc w:val="center"/>
            </w:pPr>
            <w:r>
              <w:rPr>
                <w:rFonts w:ascii="宋体" w:hAnsi="宋体" w:eastAsia="宋体"/>
                <w:sz w:val="16"/>
              </w:rPr>
              <w:t>96.61万元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77A54">
            <w:pPr>
              <w:jc w:val="center"/>
            </w:pPr>
            <w:r>
              <w:rPr>
                <w:rFonts w:ascii="宋体" w:hAnsi="宋体" w:eastAsia="宋体"/>
                <w:sz w:val="16"/>
              </w:rPr>
              <w:t>9.42</w:t>
            </w:r>
          </w:p>
        </w:tc>
      </w:tr>
      <w:tr w14:paraId="6A3B8B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5A8E4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EE48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4121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4D5FA">
            <w:pPr>
              <w:jc w:val="center"/>
            </w:pPr>
            <w:r>
              <w:rPr>
                <w:rFonts w:ascii="宋体" w:hAnsi="宋体" w:eastAsia="宋体"/>
                <w:sz w:val="16"/>
              </w:rPr>
              <w:t>&lt;=3.99万元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3CF4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881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535A">
            <w:pPr>
              <w:jc w:val="center"/>
            </w:pPr>
            <w:r>
              <w:rPr>
                <w:rFonts w:ascii="宋体" w:hAnsi="宋体" w:eastAsia="宋体"/>
                <w:sz w:val="16"/>
              </w:rPr>
              <w:t>1.8万元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80DE5">
            <w:pPr>
              <w:jc w:val="center"/>
            </w:pPr>
            <w:r>
              <w:rPr>
                <w:rFonts w:ascii="宋体" w:hAnsi="宋体" w:eastAsia="宋体"/>
                <w:sz w:val="16"/>
              </w:rPr>
              <w:t>4.51</w:t>
            </w:r>
          </w:p>
        </w:tc>
      </w:tr>
      <w:tr w14:paraId="23F3FB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A196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F518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05E9A">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C7717">
            <w:pPr>
              <w:jc w:val="center"/>
            </w:pPr>
            <w:r>
              <w:rPr>
                <w:rFonts w:ascii="宋体" w:hAnsi="宋体" w:eastAsia="宋体"/>
                <w:sz w:val="16"/>
              </w:rPr>
              <w:t>&lt;=2万元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7D47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BC78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32809">
            <w:pPr>
              <w:jc w:val="center"/>
            </w:pPr>
            <w:r>
              <w:rPr>
                <w:rFonts w:ascii="宋体" w:hAnsi="宋体" w:eastAsia="宋体"/>
                <w:sz w:val="16"/>
              </w:rPr>
              <w:t>1.29万元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701A0">
            <w:pPr>
              <w:jc w:val="center"/>
            </w:pPr>
            <w:r>
              <w:rPr>
                <w:rFonts w:ascii="宋体" w:hAnsi="宋体" w:eastAsia="宋体"/>
                <w:sz w:val="16"/>
              </w:rPr>
              <w:t>6.45</w:t>
            </w:r>
          </w:p>
        </w:tc>
      </w:tr>
      <w:tr w14:paraId="1089FA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687A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F5DB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E96CB">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8A90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2CB3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7B7A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04F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85B22">
            <w:pPr>
              <w:jc w:val="center"/>
            </w:pPr>
            <w:r>
              <w:rPr>
                <w:rFonts w:ascii="宋体" w:hAnsi="宋体" w:eastAsia="宋体"/>
                <w:sz w:val="16"/>
              </w:rPr>
              <w:t>6</w:t>
            </w:r>
          </w:p>
        </w:tc>
      </w:tr>
      <w:tr w14:paraId="683B68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F3CA8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D556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10180">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944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21BE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D92E8">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802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2820E">
            <w:pPr>
              <w:jc w:val="center"/>
            </w:pPr>
            <w:r>
              <w:rPr>
                <w:rFonts w:ascii="宋体" w:hAnsi="宋体" w:eastAsia="宋体"/>
                <w:sz w:val="16"/>
              </w:rPr>
              <w:t>6</w:t>
            </w:r>
          </w:p>
        </w:tc>
      </w:tr>
      <w:tr w14:paraId="08556F5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0366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DA5A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DFC3C">
            <w:pPr>
              <w:jc w:val="center"/>
            </w:pPr>
            <w:r>
              <w:rPr>
                <w:rFonts w:ascii="宋体" w:hAnsi="宋体" w:eastAsia="宋体"/>
                <w:sz w:val="16"/>
              </w:rPr>
              <w:t>走访基层企业组织（个）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66BE8">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F079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BBFCA">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5B4F1">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05C2D">
            <w:pPr>
              <w:jc w:val="center"/>
            </w:pPr>
            <w:r>
              <w:rPr>
                <w:rFonts w:ascii="宋体" w:hAnsi="宋体" w:eastAsia="宋体"/>
                <w:sz w:val="16"/>
              </w:rPr>
              <w:t>6</w:t>
            </w:r>
          </w:p>
        </w:tc>
      </w:tr>
      <w:tr w14:paraId="42F541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8A6C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9E4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8FECB">
            <w:pPr>
              <w:jc w:val="center"/>
            </w:pPr>
            <w:r>
              <w:rPr>
                <w:rFonts w:ascii="宋体" w:hAnsi="宋体" w:eastAsia="宋体"/>
                <w:sz w:val="16"/>
              </w:rPr>
              <w:t>补助点数量（个）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0A557">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176A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43D77">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0D386">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721D3">
            <w:pPr>
              <w:jc w:val="center"/>
            </w:pPr>
            <w:r>
              <w:rPr>
                <w:rFonts w:ascii="宋体" w:hAnsi="宋体" w:eastAsia="宋体"/>
                <w:sz w:val="16"/>
              </w:rPr>
              <w:t>6</w:t>
            </w:r>
          </w:p>
        </w:tc>
      </w:tr>
      <w:tr w14:paraId="026B3AF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B3489">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988E5">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0EDA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C266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BFB1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C1FCE">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D09C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39B95">
            <w:pPr>
              <w:jc w:val="center"/>
            </w:pPr>
            <w:r>
              <w:rPr>
                <w:rFonts w:ascii="宋体" w:hAnsi="宋体" w:eastAsia="宋体"/>
                <w:sz w:val="16"/>
              </w:rPr>
              <w:t>6</w:t>
            </w:r>
          </w:p>
        </w:tc>
      </w:tr>
      <w:tr w14:paraId="111694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EBBC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7EB19">
            <w:pPr>
              <w:jc w:val="center"/>
            </w:pPr>
            <w:r>
              <w:rPr>
                <w:rFonts w:ascii="宋体" w:hAnsi="宋体" w:eastAsia="宋体"/>
                <w:sz w:val="16"/>
              </w:rPr>
              <w:t>生态效益指标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10D03">
            <w:pPr>
              <w:jc w:val="center"/>
            </w:pPr>
            <w:r>
              <w:rPr>
                <w:rFonts w:ascii="宋体" w:hAnsi="宋体" w:eastAsia="宋体"/>
                <w:sz w:val="16"/>
              </w:rPr>
              <w:t>保障工作队各项事务正常开展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C3A8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A84E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4BF8B">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617B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0525C">
            <w:pPr>
              <w:jc w:val="center"/>
            </w:pPr>
            <w:r>
              <w:rPr>
                <w:rFonts w:ascii="宋体" w:hAnsi="宋体" w:eastAsia="宋体"/>
                <w:sz w:val="16"/>
              </w:rPr>
              <w:t>6</w:t>
            </w:r>
          </w:p>
        </w:tc>
      </w:tr>
      <w:tr w14:paraId="33C9A6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79AA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ACBA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265F3">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1449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2179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1FF01">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A0EC2">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89BCF">
            <w:pPr>
              <w:jc w:val="center"/>
            </w:pPr>
            <w:r>
              <w:rPr>
                <w:rFonts w:ascii="宋体" w:hAnsi="宋体" w:eastAsia="宋体"/>
                <w:sz w:val="16"/>
              </w:rPr>
              <w:t>6</w:t>
            </w:r>
          </w:p>
        </w:tc>
      </w:tr>
      <w:tr w14:paraId="245E03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6EFFD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385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2350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9FDC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DC7D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E6794">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92B5D">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568D5">
            <w:pPr>
              <w:jc w:val="center"/>
            </w:pPr>
            <w:r>
              <w:rPr>
                <w:rFonts w:ascii="宋体" w:hAnsi="宋体" w:eastAsia="宋体"/>
                <w:sz w:val="16"/>
              </w:rPr>
              <w:t>6</w:t>
            </w:r>
          </w:p>
        </w:tc>
      </w:tr>
    </w:tbl>
    <w:p w14:paraId="02CDCB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B1D27C8">
        <w:tblPrEx>
          <w:tblCellMar>
            <w:top w:w="0" w:type="dxa"/>
            <w:left w:w="108" w:type="dxa"/>
            <w:bottom w:w="0" w:type="dxa"/>
            <w:right w:w="108" w:type="dxa"/>
          </w:tblCellMar>
        </w:tblPrEx>
        <w:tc>
          <w:tcPr>
            <w:tcW w:w="8912" w:type="dxa"/>
            <w:gridSpan w:val="14"/>
            <w:vAlign w:val="center"/>
          </w:tcPr>
          <w:p w14:paraId="5CF388B1">
            <w:pPr>
              <w:jc w:val="center"/>
            </w:pPr>
            <w:r>
              <w:rPr>
                <w:rFonts w:ascii="宋体" w:hAnsi="宋体" w:eastAsia="宋体"/>
                <w:sz w:val="24"/>
              </w:rPr>
              <w:t>项目支出绩效自评表</w:t>
            </w:r>
          </w:p>
        </w:tc>
      </w:tr>
      <w:tr w14:paraId="4AE7131C">
        <w:tblPrEx>
          <w:tblCellMar>
            <w:top w:w="0" w:type="dxa"/>
            <w:left w:w="108" w:type="dxa"/>
            <w:bottom w:w="0" w:type="dxa"/>
            <w:right w:w="108" w:type="dxa"/>
          </w:tblCellMar>
        </w:tblPrEx>
        <w:tc>
          <w:tcPr>
            <w:tcW w:w="8912" w:type="dxa"/>
            <w:gridSpan w:val="14"/>
            <w:vAlign w:val="center"/>
          </w:tcPr>
          <w:p w14:paraId="0D22EE68">
            <w:pPr>
              <w:jc w:val="center"/>
            </w:pPr>
            <w:r>
              <w:rPr>
                <w:rFonts w:ascii="宋体" w:hAnsi="宋体" w:eastAsia="宋体"/>
                <w:sz w:val="24"/>
              </w:rPr>
              <w:t>(2024年度)</w:t>
            </w:r>
          </w:p>
        </w:tc>
      </w:tr>
      <w:tr w14:paraId="0D6ACE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B8C1">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83EB07">
            <w:pPr>
              <w:jc w:val="center"/>
            </w:pPr>
            <w:r>
              <w:rPr>
                <w:rFonts w:ascii="宋体" w:hAnsi="宋体" w:eastAsia="宋体"/>
                <w:sz w:val="16"/>
              </w:rPr>
              <w:t>2024年县级工作队第一书记为民办实事经费</w:t>
            </w:r>
          </w:p>
        </w:tc>
      </w:tr>
      <w:tr w14:paraId="7A81E3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36A9">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A78BF">
            <w:pPr>
              <w:jc w:val="center"/>
            </w:pPr>
            <w:r>
              <w:rPr>
                <w:rFonts w:ascii="宋体" w:hAnsi="宋体" w:eastAsia="宋体"/>
                <w:sz w:val="16"/>
              </w:rPr>
              <w:t>阿克陶县工商业联合会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BC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EA4BAC">
            <w:pPr>
              <w:jc w:val="center"/>
            </w:pPr>
            <w:r>
              <w:rPr>
                <w:rFonts w:ascii="宋体" w:hAnsi="宋体" w:eastAsia="宋体"/>
                <w:sz w:val="16"/>
              </w:rPr>
              <w:t>阿克陶县工商业联合会</w:t>
            </w:r>
          </w:p>
        </w:tc>
      </w:tr>
      <w:tr w14:paraId="3BDE79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BC1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C80C">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B3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C0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F6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754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91A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615F">
            <w:pPr>
              <w:jc w:val="center"/>
            </w:pPr>
            <w:r>
              <w:rPr>
                <w:rFonts w:ascii="宋体" w:hAnsi="宋体" w:eastAsia="宋体"/>
                <w:sz w:val="16"/>
              </w:rPr>
              <w:t>得分</w:t>
            </w:r>
          </w:p>
        </w:tc>
      </w:tr>
      <w:tr w14:paraId="65339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FD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F703">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00DD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278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0F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3EE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52A0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FB9B">
            <w:pPr>
              <w:jc w:val="center"/>
            </w:pPr>
            <w:r>
              <w:rPr>
                <w:rFonts w:ascii="宋体" w:hAnsi="宋体" w:eastAsia="宋体"/>
                <w:sz w:val="16"/>
              </w:rPr>
              <w:t>0.00分</w:t>
            </w:r>
          </w:p>
        </w:tc>
      </w:tr>
      <w:tr w14:paraId="785CB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11A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0444D">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B686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727E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C7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CF0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E5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BFF9">
            <w:pPr>
              <w:jc w:val="center"/>
            </w:pPr>
            <w:r>
              <w:rPr>
                <w:rFonts w:ascii="宋体" w:hAnsi="宋体" w:eastAsia="宋体"/>
                <w:sz w:val="16"/>
              </w:rPr>
              <w:t>—</w:t>
            </w:r>
          </w:p>
        </w:tc>
      </w:tr>
      <w:tr w14:paraId="389C6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11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E4C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790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D0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34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77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F7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068E">
            <w:pPr>
              <w:jc w:val="center"/>
            </w:pPr>
            <w:r>
              <w:rPr>
                <w:rFonts w:ascii="宋体" w:hAnsi="宋体" w:eastAsia="宋体"/>
                <w:sz w:val="16"/>
              </w:rPr>
              <w:t>—</w:t>
            </w:r>
          </w:p>
        </w:tc>
      </w:tr>
      <w:tr w14:paraId="09A9E3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8C752">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7FC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27950">
            <w:pPr>
              <w:jc w:val="center"/>
            </w:pPr>
            <w:r>
              <w:rPr>
                <w:rFonts w:ascii="宋体" w:hAnsi="宋体" w:eastAsia="宋体"/>
                <w:sz w:val="16"/>
              </w:rPr>
              <w:t>实际完成情况</w:t>
            </w:r>
          </w:p>
        </w:tc>
      </w:tr>
      <w:tr w14:paraId="4EE87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9DF7E"/>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3A0A9">
            <w:pPr>
              <w:jc w:val="both"/>
            </w:pPr>
            <w:r>
              <w:rPr>
                <w:rFonts w:ascii="宋体" w:hAnsi="宋体" w:eastAsia="宋体"/>
                <w:sz w:val="16"/>
              </w:rPr>
              <w:t>该项目资金用于办公经费，通过该项目的实施，做到重视程度、人员力量、资金投入、工作效果四个到位，保障</w:t>
            </w:r>
            <w:r>
              <w:rPr>
                <w:rFonts w:hint="eastAsia" w:ascii="宋体" w:hAnsi="宋体"/>
                <w:sz w:val="16"/>
                <w:lang w:eastAsia="zh-CN"/>
              </w:rPr>
              <w:t>本单位为民办实事</w:t>
            </w:r>
            <w:r>
              <w:rPr>
                <w:rFonts w:ascii="宋体" w:hAnsi="宋体" w:eastAsia="宋体"/>
                <w:sz w:val="16"/>
              </w:rPr>
              <w:t>工作持续开展、正常运转。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3EE163">
            <w:pPr>
              <w:jc w:val="both"/>
            </w:pPr>
            <w:r>
              <w:rPr>
                <w:rFonts w:ascii="宋体" w:hAnsi="宋体" w:eastAsia="宋体"/>
                <w:sz w:val="16"/>
              </w:rPr>
              <w:t>通过玉麦镇英阿依玛克村</w:t>
            </w:r>
            <w:r>
              <w:rPr>
                <w:rFonts w:hint="eastAsia" w:ascii="宋体" w:hAnsi="宋体"/>
                <w:sz w:val="16"/>
                <w:lang w:eastAsia="zh-CN"/>
              </w:rPr>
              <w:t>为民办实事</w:t>
            </w:r>
            <w:r>
              <w:rPr>
                <w:rFonts w:ascii="宋体" w:hAnsi="宋体" w:eastAsia="宋体"/>
                <w:sz w:val="16"/>
              </w:rPr>
              <w:t>工作，做到重视程度、人员力量、资金投入、工作效果四个到位，保障</w:t>
            </w:r>
            <w:r>
              <w:rPr>
                <w:rFonts w:hint="eastAsia" w:ascii="宋体" w:hAnsi="宋体"/>
                <w:sz w:val="16"/>
                <w:lang w:eastAsia="zh-CN"/>
              </w:rPr>
              <w:t>本单位为民办实事</w:t>
            </w:r>
            <w:r>
              <w:rPr>
                <w:rFonts w:ascii="宋体" w:hAnsi="宋体" w:eastAsia="宋体"/>
                <w:sz w:val="16"/>
              </w:rPr>
              <w:t>工作持续开展、正常运转，社会服务能力提升。</w:t>
            </w:r>
          </w:p>
        </w:tc>
      </w:tr>
      <w:tr w14:paraId="60EB11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700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EA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BD36">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BD52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50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70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2F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1E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43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13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99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12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2593">
            <w:pPr>
              <w:jc w:val="center"/>
            </w:pPr>
            <w:r>
              <w:rPr>
                <w:rFonts w:ascii="宋体" w:hAnsi="宋体" w:eastAsia="宋体"/>
                <w:sz w:val="16"/>
              </w:rPr>
              <w:t>偏差原因分析及改进措施</w:t>
            </w:r>
          </w:p>
        </w:tc>
      </w:tr>
      <w:tr w14:paraId="596BB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B74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0E0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FDA9">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508321">
            <w:pPr>
              <w:jc w:val="center"/>
            </w:pPr>
            <w:r>
              <w:rPr>
                <w:rFonts w:ascii="宋体" w:hAnsi="宋体" w:eastAsia="宋体"/>
                <w:sz w:val="16"/>
              </w:rPr>
              <w:t>补助点数量（个）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765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A7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A9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2C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95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45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A2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738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122B7">
            <w:pPr>
              <w:jc w:val="center"/>
            </w:pPr>
          </w:p>
        </w:tc>
      </w:tr>
      <w:tr w14:paraId="34F25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B0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DA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76F9">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5F191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5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57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5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040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7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E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5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B74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7A840">
            <w:pPr>
              <w:jc w:val="center"/>
            </w:pPr>
          </w:p>
        </w:tc>
      </w:tr>
      <w:tr w14:paraId="3619D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48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A1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DB14">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FD9B57">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CE2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13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94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5C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B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4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C6F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2E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C828">
            <w:pPr>
              <w:jc w:val="center"/>
            </w:pPr>
          </w:p>
        </w:tc>
      </w:tr>
      <w:tr w14:paraId="62739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EF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83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6069">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BD994C">
            <w:pPr>
              <w:jc w:val="center"/>
            </w:pPr>
            <w:r>
              <w:rPr>
                <w:rFonts w:ascii="宋体" w:hAnsi="宋体" w:eastAsia="宋体"/>
                <w:sz w:val="16"/>
              </w:rPr>
              <w:t>工作经费成本（万元）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341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D4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8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D5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C4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E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DB9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82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D078">
            <w:pPr>
              <w:jc w:val="center"/>
            </w:pPr>
            <w:r>
              <w:rPr>
                <w:rFonts w:ascii="宋体" w:hAnsi="宋体" w:eastAsia="宋体"/>
                <w:sz w:val="16"/>
              </w:rPr>
              <w:t>财政资金紧张</w:t>
            </w:r>
          </w:p>
        </w:tc>
      </w:tr>
      <w:tr w14:paraId="58B55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900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FD1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F5B2">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B27962">
            <w:pPr>
              <w:jc w:val="center"/>
            </w:pPr>
            <w:r>
              <w:rPr>
                <w:rFonts w:ascii="宋体" w:hAnsi="宋体" w:eastAsia="宋体"/>
                <w:sz w:val="16"/>
              </w:rPr>
              <w:t>社会服务能力提升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E52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FA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7A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D5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E6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8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E9F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72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471AB">
            <w:pPr>
              <w:jc w:val="center"/>
            </w:pPr>
          </w:p>
        </w:tc>
      </w:tr>
      <w:tr w14:paraId="773BE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6B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CB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2536">
            <w:pPr>
              <w:jc w:val="center"/>
            </w:pPr>
            <w:r>
              <w:rPr>
                <w:rFonts w:ascii="宋体" w:hAnsi="宋体" w:eastAsia="宋体"/>
                <w:sz w:val="16"/>
              </w:rPr>
              <w:t>生态效益指标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5B78AF">
            <w:pPr>
              <w:jc w:val="center"/>
            </w:pPr>
            <w:r>
              <w:rPr>
                <w:rFonts w:ascii="宋体" w:hAnsi="宋体" w:eastAsia="宋体"/>
                <w:sz w:val="16"/>
              </w:rPr>
              <w:t>保障工作队各项事务正常开展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2B0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DB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38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E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7E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E2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99C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D3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381D2">
            <w:pPr>
              <w:jc w:val="center"/>
            </w:pPr>
          </w:p>
        </w:tc>
      </w:tr>
      <w:tr w14:paraId="57953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CC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36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834E">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9A866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6D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BA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4F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4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CB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20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C3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03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6A20E">
            <w:pPr>
              <w:jc w:val="center"/>
            </w:pPr>
          </w:p>
        </w:tc>
      </w:tr>
      <w:tr w14:paraId="6C9EA2A2">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6456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A9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4E3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2D7C">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B34967"/>
        </w:tc>
      </w:tr>
    </w:tbl>
    <w:p w14:paraId="45B11FF7">
      <w:r>
        <w:br w:type="page"/>
      </w:r>
    </w:p>
    <w:p w14:paraId="6E0E3B28">
      <w:pPr>
        <w:spacing w:line="640" w:lineRule="exact"/>
        <w:ind w:firstLine="640"/>
        <w:jc w:val="both"/>
        <w:outlineLvl w:val="2"/>
      </w:pPr>
      <w:r>
        <w:rPr>
          <w:rFonts w:ascii="黑体" w:hAnsi="黑体" w:eastAsia="黑体"/>
          <w:sz w:val="32"/>
        </w:rPr>
        <w:t>十二、其他需说明的事项</w:t>
      </w:r>
    </w:p>
    <w:p w14:paraId="4A7F08EE">
      <w:pPr>
        <w:spacing w:line="580" w:lineRule="exact"/>
        <w:ind w:firstLine="640"/>
        <w:jc w:val="both"/>
      </w:pPr>
      <w:r>
        <w:rPr>
          <w:rFonts w:ascii="仿宋_GB2312" w:hAnsi="仿宋_GB2312" w:eastAsia="仿宋_GB2312"/>
          <w:b w:val="0"/>
          <w:sz w:val="32"/>
        </w:rPr>
        <w:t>本单位无其他需说明的事项。</w:t>
      </w:r>
    </w:p>
    <w:p w14:paraId="3B7BEF02">
      <w:r>
        <w:br w:type="page"/>
      </w:r>
    </w:p>
    <w:p w14:paraId="4B93E7F8">
      <w:pPr>
        <w:spacing w:line="240" w:lineRule="auto"/>
        <w:jc w:val="center"/>
        <w:outlineLvl w:val="1"/>
      </w:pPr>
      <w:r>
        <w:rPr>
          <w:rFonts w:ascii="黑体" w:hAnsi="黑体" w:eastAsia="黑体"/>
          <w:sz w:val="32"/>
        </w:rPr>
        <w:t>第三部分 专业名词解释</w:t>
      </w:r>
    </w:p>
    <w:p w14:paraId="44F7CE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3A196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CEEA5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00811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E588D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77611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8E745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B09DA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A604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9825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8F2ED3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430F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1ED2E1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87FD6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87DD27">
      <w:r>
        <w:br w:type="page"/>
      </w:r>
    </w:p>
    <w:p w14:paraId="43FB2A84">
      <w:pPr>
        <w:spacing w:line="240" w:lineRule="auto"/>
        <w:jc w:val="center"/>
        <w:outlineLvl w:val="1"/>
      </w:pPr>
      <w:r>
        <w:rPr>
          <w:rFonts w:ascii="黑体" w:hAnsi="黑体" w:eastAsia="黑体"/>
          <w:sz w:val="32"/>
        </w:rPr>
        <w:t>第四部分 部门决算报表（见附表）</w:t>
      </w:r>
    </w:p>
    <w:p w14:paraId="0CAB6F46">
      <w:pPr>
        <w:spacing w:line="240" w:lineRule="auto"/>
        <w:ind w:firstLine="640"/>
        <w:jc w:val="both"/>
      </w:pPr>
      <w:r>
        <w:rPr>
          <w:rFonts w:ascii="仿宋_GB2312" w:hAnsi="仿宋_GB2312" w:eastAsia="仿宋_GB2312"/>
          <w:b w:val="0"/>
          <w:sz w:val="32"/>
        </w:rPr>
        <w:t>一、《收入支出决算总表》</w:t>
      </w:r>
    </w:p>
    <w:p w14:paraId="1A214DF2">
      <w:pPr>
        <w:spacing w:line="240" w:lineRule="auto"/>
        <w:ind w:firstLine="640"/>
        <w:jc w:val="both"/>
      </w:pPr>
      <w:r>
        <w:rPr>
          <w:rFonts w:ascii="仿宋_GB2312" w:hAnsi="仿宋_GB2312" w:eastAsia="仿宋_GB2312"/>
          <w:b w:val="0"/>
          <w:sz w:val="32"/>
        </w:rPr>
        <w:t>二、《收入决算表》</w:t>
      </w:r>
    </w:p>
    <w:p w14:paraId="75D45212">
      <w:pPr>
        <w:spacing w:line="240" w:lineRule="auto"/>
        <w:ind w:firstLine="640"/>
        <w:jc w:val="both"/>
      </w:pPr>
      <w:r>
        <w:rPr>
          <w:rFonts w:ascii="仿宋_GB2312" w:hAnsi="仿宋_GB2312" w:eastAsia="仿宋_GB2312"/>
          <w:b w:val="0"/>
          <w:sz w:val="32"/>
        </w:rPr>
        <w:t>三、《支出决算表》</w:t>
      </w:r>
    </w:p>
    <w:p w14:paraId="02EDC21D">
      <w:pPr>
        <w:spacing w:line="240" w:lineRule="auto"/>
        <w:ind w:firstLine="640"/>
        <w:jc w:val="both"/>
      </w:pPr>
      <w:r>
        <w:rPr>
          <w:rFonts w:ascii="仿宋_GB2312" w:hAnsi="仿宋_GB2312" w:eastAsia="仿宋_GB2312"/>
          <w:b w:val="0"/>
          <w:sz w:val="32"/>
        </w:rPr>
        <w:t>四、《财政拨款收入支出决算总表》</w:t>
      </w:r>
    </w:p>
    <w:p w14:paraId="5C2ADE86">
      <w:pPr>
        <w:spacing w:line="240" w:lineRule="auto"/>
        <w:ind w:firstLine="640"/>
        <w:jc w:val="both"/>
      </w:pPr>
      <w:r>
        <w:rPr>
          <w:rFonts w:ascii="仿宋_GB2312" w:hAnsi="仿宋_GB2312" w:eastAsia="仿宋_GB2312"/>
          <w:b w:val="0"/>
          <w:sz w:val="32"/>
        </w:rPr>
        <w:t>五、《一般公共预算财政拨款支出决算表》</w:t>
      </w:r>
    </w:p>
    <w:p w14:paraId="570F1975">
      <w:pPr>
        <w:spacing w:line="240" w:lineRule="auto"/>
        <w:ind w:firstLine="640"/>
        <w:jc w:val="both"/>
      </w:pPr>
      <w:r>
        <w:rPr>
          <w:rFonts w:ascii="仿宋_GB2312" w:hAnsi="仿宋_GB2312" w:eastAsia="仿宋_GB2312"/>
          <w:b w:val="0"/>
          <w:sz w:val="32"/>
        </w:rPr>
        <w:t>六、《一般公共预算财政拨款基本支出决算表》</w:t>
      </w:r>
    </w:p>
    <w:p w14:paraId="4670055A">
      <w:pPr>
        <w:spacing w:line="240" w:lineRule="auto"/>
        <w:ind w:firstLine="640"/>
        <w:jc w:val="both"/>
      </w:pPr>
      <w:r>
        <w:rPr>
          <w:rFonts w:ascii="仿宋_GB2312" w:hAnsi="仿宋_GB2312" w:eastAsia="仿宋_GB2312"/>
          <w:b w:val="0"/>
          <w:sz w:val="32"/>
        </w:rPr>
        <w:t>七、《政府性基金预算财政拨款收入支出决算表》</w:t>
      </w:r>
    </w:p>
    <w:p w14:paraId="4585D41D">
      <w:pPr>
        <w:spacing w:line="240" w:lineRule="auto"/>
        <w:ind w:firstLine="640"/>
        <w:jc w:val="both"/>
      </w:pPr>
      <w:r>
        <w:rPr>
          <w:rFonts w:ascii="仿宋_GB2312" w:hAnsi="仿宋_GB2312" w:eastAsia="仿宋_GB2312"/>
          <w:b w:val="0"/>
          <w:sz w:val="32"/>
        </w:rPr>
        <w:t>八、《国有资本经营预算财政拨款收入支出决算表》</w:t>
      </w:r>
    </w:p>
    <w:p w14:paraId="5B054C2A">
      <w:pPr>
        <w:spacing w:line="240" w:lineRule="auto"/>
        <w:ind w:firstLine="640"/>
        <w:jc w:val="both"/>
      </w:pPr>
      <w:r>
        <w:rPr>
          <w:rFonts w:ascii="仿宋_GB2312" w:hAnsi="仿宋_GB2312" w:eastAsia="仿宋_GB2312"/>
          <w:b w:val="0"/>
          <w:sz w:val="32"/>
        </w:rPr>
        <w:t>九、《财政拨款“三公”经费支出决算表》</w:t>
      </w:r>
    </w:p>
    <w:p w14:paraId="7C51DAFB">
      <w:pPr>
        <w:spacing w:line="240" w:lineRule="auto"/>
        <w:ind w:firstLine="640"/>
        <w:jc w:val="both"/>
      </w:pPr>
    </w:p>
    <w:p w14:paraId="527ED611">
      <w:pPr>
        <w:spacing w:line="240" w:lineRule="auto"/>
        <w:ind w:firstLine="640"/>
        <w:jc w:val="both"/>
      </w:pPr>
    </w:p>
    <w:p w14:paraId="08AB7A97">
      <w:pPr>
        <w:spacing w:line="240" w:lineRule="auto"/>
        <w:ind w:firstLine="640"/>
        <w:jc w:val="both"/>
      </w:pPr>
    </w:p>
    <w:p w14:paraId="481BDBB2">
      <w:pPr>
        <w:spacing w:line="240" w:lineRule="auto"/>
        <w:ind w:firstLine="640"/>
        <w:jc w:val="both"/>
      </w:pPr>
    </w:p>
    <w:p w14:paraId="536621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E41DC7"/>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A7478A"/>
    <w:rsid w:val="4B4C0111"/>
    <w:rsid w:val="4BB23021"/>
    <w:rsid w:val="4F3F074E"/>
    <w:rsid w:val="50DB5F45"/>
    <w:rsid w:val="52F92565"/>
    <w:rsid w:val="543D17CB"/>
    <w:rsid w:val="55DA564E"/>
    <w:rsid w:val="56E07045"/>
    <w:rsid w:val="583059FA"/>
    <w:rsid w:val="587E6212"/>
    <w:rsid w:val="5AFC6609"/>
    <w:rsid w:val="5FA17648"/>
    <w:rsid w:val="5FD320BD"/>
    <w:rsid w:val="5FD472F7"/>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4746</Words>
  <Characters>5341</Characters>
  <Lines>0</Lines>
  <Paragraphs>0</Paragraphs>
  <TotalTime>4</TotalTime>
  <ScaleCrop>false</ScaleCrop>
  <LinksUpToDate>false</LinksUpToDate>
  <CharactersWithSpaces>5349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2025-09-15T08:34:38Z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