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阿克陶县巴仁乡中心小学2024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D58CFC1">
      <w:r>
        <w:br w:type="page"/>
      </w:r>
    </w:p>
    <w:p w14:paraId="2C70A144">
      <w:pPr>
        <w:spacing w:line="640" w:lineRule="exact"/>
        <w:jc w:val="center"/>
        <w:outlineLvl w:val="1"/>
      </w:pPr>
      <w:r>
        <w:rPr>
          <w:rFonts w:ascii="黑体" w:hAnsi="黑体" w:eastAsia="黑体"/>
          <w:sz w:val="32"/>
        </w:rPr>
        <w:t>第一部分 单位概况</w:t>
      </w:r>
    </w:p>
    <w:p w14:paraId="5F445810">
      <w:pPr>
        <w:spacing w:line="640" w:lineRule="exact"/>
        <w:ind w:firstLine="640"/>
        <w:jc w:val="both"/>
        <w:outlineLvl w:val="2"/>
      </w:pPr>
      <w:r>
        <w:rPr>
          <w:rFonts w:ascii="黑体" w:hAnsi="黑体" w:eastAsia="黑体"/>
          <w:sz w:val="32"/>
        </w:rPr>
        <w:t>一、主要职能</w:t>
      </w:r>
    </w:p>
    <w:p w14:paraId="793A40C5">
      <w:pPr>
        <w:spacing w:line="580" w:lineRule="exact"/>
        <w:ind w:firstLine="640"/>
        <w:jc w:val="both"/>
      </w:pPr>
      <w:r>
        <w:rPr>
          <w:rFonts w:ascii="仿宋_GB2312" w:hAnsi="仿宋_GB2312" w:eastAsia="仿宋_GB2312"/>
          <w:sz w:val="32"/>
        </w:rPr>
        <w:t>宣传贯彻执行党和国家的教育方针、教育政策、教育法律和法规,贯彻执行上级教育行政部门的各项规章制度，教育目标和计划能够体现全面发展的培养目标，并做到层层分解，落实于各项活动之中。认真贯彻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小学的教育教学管理,全面推进素质教育,全面提高教育教学质量，日常教学活动注重学生的个体差异，注重学生主体地位的发挥与学生行为习惯的培养，注重教学环境的创设及学生愉快学习方法的引导，多方位地开展教学，全面实施中学生教育，在注重教学的同时紧抓德育教育。</w:t>
      </w:r>
    </w:p>
    <w:p w14:paraId="614DA445">
      <w:pPr>
        <w:spacing w:line="640" w:lineRule="exact"/>
        <w:ind w:firstLine="640"/>
        <w:jc w:val="both"/>
        <w:outlineLvl w:val="2"/>
      </w:pPr>
      <w:r>
        <w:rPr>
          <w:rFonts w:ascii="黑体" w:hAnsi="黑体" w:eastAsia="黑体"/>
          <w:sz w:val="32"/>
        </w:rPr>
        <w:t>二、机构设置及人员情况</w:t>
      </w:r>
    </w:p>
    <w:p w14:paraId="23E9B48E">
      <w:pPr>
        <w:spacing w:line="580" w:lineRule="exact"/>
        <w:ind w:firstLine="640"/>
        <w:jc w:val="both"/>
      </w:pPr>
      <w:r>
        <w:rPr>
          <w:rFonts w:ascii="仿宋_GB2312" w:hAnsi="仿宋_GB2312" w:eastAsia="仿宋_GB2312"/>
          <w:sz w:val="32"/>
        </w:rPr>
        <w:t>阿克陶县巴仁乡中心小学2024年度，实有人数548人，其中：在职人员488人，减少12人；离休人员0人，增加0人；退休人员60人,增加4人。</w:t>
      </w:r>
    </w:p>
    <w:p w14:paraId="19CFAA32">
      <w:pPr>
        <w:spacing w:line="580" w:lineRule="exact"/>
        <w:ind w:firstLine="640"/>
        <w:jc w:val="both"/>
      </w:pPr>
      <w:r>
        <w:rPr>
          <w:rFonts w:ascii="仿宋_GB2312" w:hAnsi="仿宋_GB2312" w:eastAsia="仿宋_GB2312"/>
          <w:sz w:val="32"/>
        </w:rPr>
        <w:t>阿克陶县巴仁乡中心小学无下属预算单位，下设9个科室，分别是：党建办、教务处、德育办、教研室、民族团结办公室、工会、财务室、团委、安全办。</w:t>
      </w:r>
    </w:p>
    <w:p w14:paraId="30A12638">
      <w:r>
        <w:br w:type="page"/>
      </w:r>
    </w:p>
    <w:p w14:paraId="2FFF7B63">
      <w:pPr>
        <w:spacing w:line="240" w:lineRule="auto"/>
        <w:jc w:val="center"/>
        <w:outlineLvl w:val="1"/>
      </w:pPr>
      <w:r>
        <w:rPr>
          <w:rFonts w:ascii="黑体" w:hAnsi="黑体" w:eastAsia="黑体"/>
          <w:sz w:val="32"/>
        </w:rPr>
        <w:t>第二部分 部门决算情况说明</w:t>
      </w:r>
    </w:p>
    <w:p w14:paraId="11DA4A6B">
      <w:pPr>
        <w:spacing w:line="640" w:lineRule="exact"/>
        <w:ind w:firstLine="640"/>
        <w:jc w:val="both"/>
        <w:outlineLvl w:val="2"/>
      </w:pPr>
      <w:r>
        <w:rPr>
          <w:rFonts w:ascii="黑体" w:hAnsi="黑体" w:eastAsia="黑体"/>
          <w:sz w:val="32"/>
        </w:rPr>
        <w:t>一、收入支出决算总体情况说明</w:t>
      </w:r>
    </w:p>
    <w:p w14:paraId="41259E06">
      <w:pPr>
        <w:spacing w:line="580" w:lineRule="exact"/>
        <w:ind w:firstLine="640"/>
        <w:jc w:val="both"/>
      </w:pPr>
      <w:r>
        <w:rPr>
          <w:rFonts w:ascii="仿宋_GB2312" w:hAnsi="仿宋_GB2312" w:eastAsia="仿宋_GB2312"/>
          <w:b/>
          <w:sz w:val="32"/>
        </w:rPr>
        <w:t>2024年度收入总计11,811.23万元，</w:t>
      </w:r>
      <w:r>
        <w:rPr>
          <w:rFonts w:ascii="仿宋_GB2312" w:hAnsi="仿宋_GB2312" w:eastAsia="仿宋_GB2312"/>
          <w:b w:val="0"/>
          <w:sz w:val="32"/>
        </w:rPr>
        <w:t>其中：本年收入合计11,807.15万元，使用非财政拨款结余（含专用结余）0.00万元，年初结转和结余4.09万元。</w:t>
      </w:r>
    </w:p>
    <w:p w14:paraId="461466A2">
      <w:pPr>
        <w:spacing w:line="580" w:lineRule="exact"/>
        <w:ind w:firstLine="640"/>
        <w:jc w:val="both"/>
      </w:pPr>
      <w:r>
        <w:rPr>
          <w:rFonts w:ascii="仿宋_GB2312" w:hAnsi="仿宋_GB2312" w:eastAsia="仿宋_GB2312"/>
          <w:b/>
          <w:sz w:val="32"/>
        </w:rPr>
        <w:t>2024年度支出总计11,811.23万元，</w:t>
      </w:r>
      <w:r>
        <w:rPr>
          <w:rFonts w:ascii="仿宋_GB2312" w:hAnsi="仿宋_GB2312" w:eastAsia="仿宋_GB2312"/>
          <w:b w:val="0"/>
          <w:sz w:val="32"/>
        </w:rPr>
        <w:t>其中：本年支出合计11,807.67万元，结余分配0.00万元，年末结转和结余3.56万元。</w:t>
      </w:r>
    </w:p>
    <w:p w14:paraId="743BAF86">
      <w:pPr>
        <w:spacing w:line="580" w:lineRule="exact"/>
        <w:ind w:firstLine="640"/>
        <w:jc w:val="both"/>
      </w:pPr>
      <w:r>
        <w:rPr>
          <w:rFonts w:ascii="仿宋_GB2312" w:hAnsi="仿宋_GB2312" w:eastAsia="仿宋_GB2312"/>
          <w:b w:val="0"/>
          <w:sz w:val="32"/>
        </w:rPr>
        <w:t>收入支出总体与上年相比，减少21.28万元，下降0.18%，主要原因是：本年减少义务教育保障机制补助经费项目，导致经费较上年减少。</w:t>
      </w:r>
    </w:p>
    <w:p w14:paraId="59C1473E">
      <w:pPr>
        <w:spacing w:line="640" w:lineRule="exact"/>
        <w:ind w:firstLine="640"/>
        <w:jc w:val="both"/>
        <w:outlineLvl w:val="2"/>
      </w:pPr>
      <w:r>
        <w:rPr>
          <w:rFonts w:ascii="黑体" w:hAnsi="黑体" w:eastAsia="黑体"/>
          <w:sz w:val="32"/>
        </w:rPr>
        <w:t>二、收入决算情况说明</w:t>
      </w:r>
    </w:p>
    <w:p w14:paraId="7BEF3D4E">
      <w:pPr>
        <w:spacing w:line="580" w:lineRule="exact"/>
        <w:ind w:firstLine="640"/>
        <w:jc w:val="both"/>
      </w:pPr>
      <w:r>
        <w:rPr>
          <w:rFonts w:ascii="仿宋_GB2312" w:hAnsi="仿宋_GB2312" w:eastAsia="仿宋_GB2312"/>
          <w:b/>
          <w:sz w:val="32"/>
        </w:rPr>
        <w:t>本年收入11,807.15万元，</w:t>
      </w:r>
      <w:r>
        <w:rPr>
          <w:rFonts w:ascii="仿宋_GB2312" w:hAnsi="仿宋_GB2312" w:eastAsia="仿宋_GB2312"/>
          <w:b w:val="0"/>
          <w:sz w:val="32"/>
        </w:rPr>
        <w:t>其中：财政拨款收入11,803.79万元，占99.97%；上级补助收入0.00万元，占0.00%；事业收入0.00万元，占0.00%；经营收入0.00万元，占0.00%；附属单位上缴收入0.00万元，占0.00%；其他收入3.35万元，占0.03%。</w:t>
      </w:r>
    </w:p>
    <w:p w14:paraId="33794EB5">
      <w:pPr>
        <w:spacing w:line="640" w:lineRule="exact"/>
        <w:ind w:firstLine="640"/>
        <w:jc w:val="both"/>
        <w:outlineLvl w:val="2"/>
      </w:pPr>
      <w:r>
        <w:rPr>
          <w:rFonts w:ascii="黑体" w:hAnsi="黑体" w:eastAsia="黑体"/>
          <w:sz w:val="32"/>
        </w:rPr>
        <w:t>三、支出决算情况说明</w:t>
      </w:r>
    </w:p>
    <w:p w14:paraId="0A2E7D2B">
      <w:pPr>
        <w:spacing w:line="580" w:lineRule="exact"/>
        <w:ind w:firstLine="640"/>
        <w:jc w:val="both"/>
      </w:pPr>
      <w:r>
        <w:rPr>
          <w:rFonts w:ascii="仿宋_GB2312" w:hAnsi="仿宋_GB2312" w:eastAsia="仿宋_GB2312"/>
          <w:b/>
          <w:sz w:val="32"/>
        </w:rPr>
        <w:t>本年支出11,807.67万元，</w:t>
      </w:r>
      <w:r>
        <w:rPr>
          <w:rFonts w:ascii="仿宋_GB2312" w:hAnsi="仿宋_GB2312" w:eastAsia="仿宋_GB2312"/>
          <w:b w:val="0"/>
          <w:sz w:val="32"/>
        </w:rPr>
        <w:t>其中：基本支出10,275.22万元，占87.02%；项目支出1,532.45万元，占12.98%；上缴上级支出0.00万元，占0.00%；经营支出0.00万元，占0.00%；对附属单位补助支出0.00万元，占0.00%。</w:t>
      </w:r>
    </w:p>
    <w:p w14:paraId="574865A9">
      <w:pPr>
        <w:spacing w:line="640" w:lineRule="exact"/>
        <w:ind w:firstLine="640"/>
        <w:jc w:val="both"/>
        <w:outlineLvl w:val="2"/>
      </w:pPr>
      <w:r>
        <w:rPr>
          <w:rFonts w:ascii="黑体" w:hAnsi="黑体" w:eastAsia="黑体"/>
          <w:sz w:val="32"/>
        </w:rPr>
        <w:t>四、财政拨款收入支出决算总体情况说明</w:t>
      </w:r>
    </w:p>
    <w:p w14:paraId="03E52125">
      <w:pPr>
        <w:spacing w:line="580" w:lineRule="exact"/>
        <w:ind w:firstLine="640"/>
        <w:jc w:val="both"/>
      </w:pPr>
      <w:r>
        <w:rPr>
          <w:rFonts w:ascii="仿宋_GB2312" w:hAnsi="仿宋_GB2312" w:eastAsia="仿宋_GB2312"/>
          <w:b/>
          <w:sz w:val="32"/>
        </w:rPr>
        <w:t>2024年度财政拨款收入总计11,803.79万元，</w:t>
      </w:r>
      <w:r>
        <w:rPr>
          <w:rFonts w:ascii="仿宋_GB2312" w:hAnsi="仿宋_GB2312" w:eastAsia="仿宋_GB2312"/>
          <w:b w:val="0"/>
          <w:sz w:val="32"/>
        </w:rPr>
        <w:t>其中：年初财政拨款结转和结余0.00万元，本年财政拨款收入11,803.79万元。</w:t>
      </w:r>
      <w:r>
        <w:rPr>
          <w:rFonts w:ascii="仿宋_GB2312" w:hAnsi="仿宋_GB2312" w:eastAsia="仿宋_GB2312"/>
          <w:b/>
          <w:sz w:val="32"/>
        </w:rPr>
        <w:t>财政拨款支出总计11,803.79万元，</w:t>
      </w:r>
      <w:r>
        <w:rPr>
          <w:rFonts w:ascii="仿宋_GB2312" w:hAnsi="仿宋_GB2312" w:eastAsia="仿宋_GB2312"/>
          <w:b w:val="0"/>
          <w:sz w:val="32"/>
        </w:rPr>
        <w:t>其中：年末财政拨款结转和结余0.00万元，本年财政拨款支出11,803.79万元。</w:t>
      </w:r>
    </w:p>
    <w:p w14:paraId="13AE392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减少14.50万元，下降0.12%，主要原因是：本年减少义务教育保障机制补助经费项目，导致经费较上年减少。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年初预算数9,804.63万元，决算数11,803.79万元，预决算差异率20.39%，主要原因是：年中追加人员工资、社保、公积金基数调增部分资金，导致预决算存在差异。年中追加乡义务教育资金项目，导致预决算存在差异。</w:t>
      </w:r>
    </w:p>
    <w:p w14:paraId="384232AA">
      <w:pPr>
        <w:spacing w:line="640" w:lineRule="exact"/>
        <w:ind w:firstLine="640"/>
        <w:jc w:val="both"/>
        <w:outlineLvl w:val="2"/>
      </w:pPr>
      <w:r>
        <w:rPr>
          <w:rFonts w:ascii="黑体" w:hAnsi="黑体" w:eastAsia="黑体"/>
          <w:sz w:val="32"/>
        </w:rPr>
        <w:t>五、一般公共预算财政拨款支出决算情况说明</w:t>
      </w:r>
    </w:p>
    <w:p w14:paraId="08C94936">
      <w:pPr>
        <w:spacing w:line="640" w:lineRule="exact"/>
        <w:ind w:firstLine="640"/>
        <w:jc w:val="both"/>
        <w:outlineLvl w:val="3"/>
      </w:pPr>
      <w:r>
        <w:rPr>
          <w:rFonts w:ascii="楷体_GB2312" w:hAnsi="楷体_GB2312" w:eastAsia="楷体_GB2312"/>
          <w:b/>
          <w:sz w:val="32"/>
        </w:rPr>
        <w:t>（一）一般公共预算财政拨款支出决算总体情况</w:t>
      </w:r>
    </w:p>
    <w:p w14:paraId="7C397164">
      <w:pPr>
        <w:spacing w:line="580" w:lineRule="exact"/>
        <w:ind w:firstLine="640"/>
        <w:jc w:val="both"/>
      </w:pPr>
      <w:r>
        <w:rPr>
          <w:rFonts w:ascii="仿宋_GB2312" w:hAnsi="仿宋_GB2312" w:eastAsia="仿宋_GB2312"/>
          <w:b/>
          <w:sz w:val="32"/>
        </w:rPr>
        <w:t>2024年度一般公共预算财政拨款支出11,803.79万元，</w:t>
      </w:r>
      <w:r>
        <w:rPr>
          <w:rFonts w:ascii="仿宋_GB2312" w:hAnsi="仿宋_GB2312" w:eastAsia="仿宋_GB2312"/>
          <w:b w:val="0"/>
          <w:sz w:val="32"/>
        </w:rPr>
        <w:t>占本年支出合计的99.97%。</w:t>
      </w:r>
      <w:r>
        <w:rPr>
          <w:rFonts w:ascii="仿宋_GB2312" w:hAnsi="仿宋_GB2312" w:eastAsia="仿宋_GB2312"/>
          <w:b/>
          <w:sz w:val="32"/>
        </w:rPr>
        <w:t>与上年相比，</w:t>
      </w:r>
      <w:r>
        <w:rPr>
          <w:rFonts w:ascii="仿宋_GB2312" w:hAnsi="仿宋_GB2312" w:eastAsia="仿宋_GB2312"/>
          <w:b w:val="0"/>
          <w:sz w:val="32"/>
        </w:rPr>
        <w:t>减少8.50万元，下降0.07%，主要原因是：本年减少义务教育保障机制补助经费项目，导致经费较上年减少。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年初预算数9,804.63万元，决算数11,803.79万元，预决算差异率20.39%，主要原因是：年中追加人员工资、社保、公积金基数调增部分资金，导致预决算存在差异。年中追加乡义务教育资金项目，导致预决算存在差异。</w:t>
      </w:r>
    </w:p>
    <w:p w14:paraId="10C60D0F">
      <w:pPr>
        <w:spacing w:line="640" w:lineRule="exact"/>
        <w:ind w:firstLine="640"/>
        <w:jc w:val="both"/>
        <w:outlineLvl w:val="3"/>
      </w:pPr>
      <w:r>
        <w:rPr>
          <w:rFonts w:ascii="楷体_GB2312" w:hAnsi="楷体_GB2312" w:eastAsia="楷体_GB2312"/>
          <w:b/>
          <w:sz w:val="32"/>
        </w:rPr>
        <w:t>（二）一般公共预算财政拨款支出决算结构情况</w:t>
      </w:r>
    </w:p>
    <w:p w14:paraId="3995A28A">
      <w:pPr>
        <w:spacing w:line="580" w:lineRule="exact"/>
        <w:ind w:firstLine="640"/>
        <w:jc w:val="both"/>
      </w:pPr>
      <w:r>
        <w:rPr>
          <w:rFonts w:ascii="仿宋_GB2312" w:hAnsi="仿宋_GB2312" w:eastAsia="仿宋_GB2312"/>
          <w:b w:val="0"/>
          <w:sz w:val="32"/>
        </w:rPr>
        <w:t>1.教育支出(类)11,803.79万元,占100.00%。</w:t>
      </w:r>
    </w:p>
    <w:p w14:paraId="65E9D819">
      <w:pPr>
        <w:spacing w:line="640" w:lineRule="exact"/>
        <w:ind w:firstLine="640"/>
        <w:jc w:val="both"/>
        <w:outlineLvl w:val="3"/>
      </w:pPr>
      <w:r>
        <w:rPr>
          <w:rFonts w:ascii="楷体_GB2312" w:hAnsi="楷体_GB2312" w:eastAsia="楷体_GB2312"/>
          <w:b/>
          <w:sz w:val="32"/>
        </w:rPr>
        <w:t>（三）一般公共预算财政拨款支出决算具体情况</w:t>
      </w:r>
    </w:p>
    <w:p w14:paraId="70BBBCB8">
      <w:pPr>
        <w:spacing w:line="580" w:lineRule="exact"/>
        <w:ind w:firstLine="640"/>
        <w:jc w:val="both"/>
      </w:pPr>
      <w:r>
        <w:rPr>
          <w:rFonts w:ascii="仿宋_GB2312" w:hAnsi="仿宋_GB2312" w:eastAsia="仿宋_GB2312"/>
          <w:b w:val="0"/>
          <w:sz w:val="32"/>
        </w:rPr>
        <w:t>1.教育支出(类)普通教育(款)小学教育(项):支出决算数为11,803.79万元，比上年决算增加914.05万元，增长8.39%,主要原因是：本年功能科目调整，养老保险缴费上年度单独列支，本年调整至主科目列支，导致经费较上年增加。</w:t>
      </w:r>
    </w:p>
    <w:p w14:paraId="6B6CE64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922.55万元，下降100.00%,主要原因是：本年功能科目调整，养老保险缴费上年度单独列支，本年调整至主科目列支，导致经费较上年减少。</w:t>
      </w:r>
    </w:p>
    <w:p w14:paraId="75EC4CDE">
      <w:pPr>
        <w:spacing w:line="640" w:lineRule="exact"/>
        <w:ind w:firstLine="640"/>
        <w:jc w:val="both"/>
        <w:outlineLvl w:val="2"/>
      </w:pPr>
      <w:r>
        <w:rPr>
          <w:rFonts w:ascii="黑体" w:hAnsi="黑体" w:eastAsia="黑体"/>
          <w:sz w:val="32"/>
        </w:rPr>
        <w:t>六、一般公共预算财政拨款基本支出决算情况说明</w:t>
      </w:r>
    </w:p>
    <w:p w14:paraId="1B2210AB">
      <w:pPr>
        <w:spacing w:line="580" w:lineRule="exact"/>
        <w:ind w:firstLine="640"/>
        <w:jc w:val="both"/>
      </w:pPr>
      <w:r>
        <w:rPr>
          <w:rFonts w:ascii="仿宋_GB2312" w:hAnsi="仿宋_GB2312" w:eastAsia="仿宋_GB2312"/>
          <w:b w:val="0"/>
          <w:sz w:val="32"/>
        </w:rPr>
        <w:t>2024年度一般公共预算财政拨款基本支出10,275.22万元，其中：</w:t>
      </w:r>
      <w:r>
        <w:rPr>
          <w:rFonts w:ascii="仿宋_GB2312" w:hAnsi="仿宋_GB2312" w:eastAsia="仿宋_GB2312"/>
          <w:b/>
          <w:sz w:val="32"/>
        </w:rPr>
        <w:t>人员经费10,275.22万元，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38BF28F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8EBACB3">
      <w:pPr>
        <w:spacing w:line="640" w:lineRule="exact"/>
        <w:ind w:firstLine="640"/>
        <w:jc w:val="both"/>
        <w:outlineLvl w:val="2"/>
      </w:pPr>
      <w:r>
        <w:rPr>
          <w:rFonts w:ascii="黑体" w:hAnsi="黑体" w:eastAsia="黑体"/>
          <w:sz w:val="32"/>
        </w:rPr>
        <w:t>七、政府性基金预算财政拨款收入支出决算情况说明</w:t>
      </w:r>
    </w:p>
    <w:p w14:paraId="58F45113">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58D1A9C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减少6.00万元，下降100.00%，主要原因是：本年少年宫项目资金减少，导致经费较上年减少。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14:paraId="2EAA5DF6">
      <w:pPr>
        <w:spacing w:line="580" w:lineRule="exact"/>
        <w:ind w:firstLine="640"/>
        <w:jc w:val="both"/>
      </w:pPr>
      <w:r>
        <w:rPr>
          <w:rFonts w:ascii="仿宋_GB2312" w:hAnsi="仿宋_GB2312" w:eastAsia="仿宋_GB2312"/>
          <w:b w:val="0"/>
          <w:sz w:val="32"/>
        </w:rPr>
        <w:t>政府性基金预算财政拨款支出0.00万元。</w:t>
      </w:r>
    </w:p>
    <w:p w14:paraId="447A0B9F">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1.其他支出(类)彩票公益金安排的支出(款)用于教育事业的彩票公益金支出(项):支出决算数为0.00万元，比上年决算减少6.00万元，下降100.00%,主要原因是：本年少年宫项目资金减少，导致经费较上年减少。</w:t>
      </w:r>
    </w:p>
    <w:p w14:paraId="17B362D7">
      <w:pPr>
        <w:spacing w:line="640" w:lineRule="exact"/>
        <w:ind w:firstLine="640"/>
        <w:jc w:val="both"/>
        <w:outlineLvl w:val="2"/>
      </w:pPr>
      <w:r>
        <w:rPr>
          <w:rFonts w:ascii="黑体" w:hAnsi="黑体" w:eastAsia="黑体"/>
          <w:sz w:val="32"/>
        </w:rPr>
        <w:t>八、国有资本经营预算财政拨款收入支出决算情况说明</w:t>
      </w:r>
    </w:p>
    <w:p w14:paraId="512A863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C24C216">
      <w:pPr>
        <w:spacing w:line="640" w:lineRule="exact"/>
        <w:ind w:firstLine="640"/>
        <w:jc w:val="both"/>
        <w:outlineLvl w:val="2"/>
      </w:pPr>
      <w:r>
        <w:rPr>
          <w:rFonts w:ascii="黑体" w:hAnsi="黑体" w:eastAsia="黑体"/>
          <w:sz w:val="32"/>
        </w:rPr>
        <w:t>九、财政拨款“三公”经费支出决算情况说明</w:t>
      </w:r>
    </w:p>
    <w:p w14:paraId="0922AFE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3F23B8A">
      <w:pPr>
        <w:spacing w:line="580" w:lineRule="exact"/>
        <w:ind w:firstLine="640"/>
        <w:jc w:val="both"/>
      </w:pPr>
      <w:r>
        <w:rPr>
          <w:rFonts w:ascii="仿宋_GB2312" w:hAnsi="仿宋_GB2312" w:eastAsia="仿宋_GB2312"/>
          <w:b/>
          <w:sz w:val="32"/>
        </w:rPr>
        <w:t>具体情况如下：</w:t>
      </w:r>
    </w:p>
    <w:p w14:paraId="73F5176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923907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9B47C1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F3426A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F4C58D2">
      <w:pPr>
        <w:spacing w:line="640" w:lineRule="exact"/>
        <w:ind w:firstLine="640"/>
        <w:jc w:val="both"/>
        <w:outlineLvl w:val="2"/>
      </w:pPr>
      <w:r>
        <w:rPr>
          <w:rFonts w:ascii="黑体" w:hAnsi="黑体" w:eastAsia="黑体"/>
          <w:sz w:val="32"/>
        </w:rPr>
        <w:t>十、其他重要事项的情况说明</w:t>
      </w:r>
    </w:p>
    <w:p w14:paraId="4C987E2D">
      <w:pPr>
        <w:spacing w:line="640" w:lineRule="exact"/>
        <w:ind w:firstLine="640"/>
        <w:jc w:val="both"/>
        <w:outlineLvl w:val="3"/>
      </w:pPr>
      <w:r>
        <w:rPr>
          <w:rFonts w:ascii="楷体_GB2312" w:hAnsi="楷体_GB2312" w:eastAsia="楷体_GB2312"/>
          <w:b/>
          <w:sz w:val="32"/>
        </w:rPr>
        <w:t>（一）机关运行经费及公用经费支出情况</w:t>
      </w:r>
    </w:p>
    <w:p w14:paraId="5F3C8AED">
      <w:pPr>
        <w:spacing w:line="580" w:lineRule="exact"/>
        <w:ind w:firstLine="640"/>
        <w:jc w:val="both"/>
      </w:pPr>
      <w:r>
        <w:rPr>
          <w:rFonts w:ascii="仿宋_GB2312" w:hAnsi="仿宋_GB2312" w:eastAsia="仿宋_GB2312"/>
          <w:b w:val="0"/>
          <w:sz w:val="32"/>
        </w:rPr>
        <w:t>2024年度阿克陶县巴仁乡中心小学（事业单位）公用经费支出0.00万元，比上年增加0.00万元，增长0.00%，主要原因是：2023年与2024年均未安排公用经费支出。</w:t>
      </w:r>
    </w:p>
    <w:p w14:paraId="3DD62D4F">
      <w:pPr>
        <w:spacing w:line="640" w:lineRule="exact"/>
        <w:ind w:firstLine="640"/>
        <w:jc w:val="both"/>
        <w:outlineLvl w:val="3"/>
      </w:pPr>
      <w:r>
        <w:rPr>
          <w:rFonts w:ascii="楷体_GB2312" w:hAnsi="楷体_GB2312" w:eastAsia="楷体_GB2312"/>
          <w:b/>
          <w:sz w:val="32"/>
        </w:rPr>
        <w:t>（二）政府采购情况</w:t>
      </w:r>
    </w:p>
    <w:p w14:paraId="32090C4D">
      <w:pPr>
        <w:spacing w:line="580" w:lineRule="exact"/>
        <w:ind w:firstLine="640"/>
        <w:jc w:val="both"/>
      </w:pPr>
      <w:r>
        <w:rPr>
          <w:rFonts w:ascii="仿宋_GB2312" w:hAnsi="仿宋_GB2312" w:eastAsia="仿宋_GB2312"/>
          <w:b w:val="0"/>
          <w:sz w:val="32"/>
        </w:rPr>
        <w:t>2024年度政府采购支出总额164.30万元，其中：政府采购货物支出27.66万元、政府采购工程支出122.19万元、政府采购服务支出14.44万元。</w:t>
      </w:r>
    </w:p>
    <w:p w14:paraId="0EBEC3D0">
      <w:pPr>
        <w:spacing w:line="580" w:lineRule="exact"/>
        <w:ind w:firstLine="640"/>
        <w:jc w:val="both"/>
      </w:pPr>
      <w:r>
        <w:rPr>
          <w:rFonts w:ascii="仿宋_GB2312" w:hAnsi="仿宋_GB2312" w:eastAsia="仿宋_GB2312"/>
          <w:b w:val="0"/>
          <w:sz w:val="32"/>
        </w:rPr>
        <w:t>授予中小企业合同金额164.16万元，占政府采购支出总额的99.91%，其中：授予小微企业合同金额160.04万元，占政府采购支出总额的97.41%。</w:t>
      </w:r>
    </w:p>
    <w:p w14:paraId="0CB60DE1">
      <w:pPr>
        <w:spacing w:line="640" w:lineRule="exact"/>
        <w:ind w:firstLine="640"/>
        <w:jc w:val="both"/>
        <w:outlineLvl w:val="3"/>
      </w:pPr>
      <w:r>
        <w:rPr>
          <w:rFonts w:ascii="楷体_GB2312" w:hAnsi="楷体_GB2312" w:eastAsia="楷体_GB2312"/>
          <w:b/>
          <w:sz w:val="32"/>
        </w:rPr>
        <w:t>（三）国有资产占用情况说明</w:t>
      </w:r>
    </w:p>
    <w:p w14:paraId="2E231029">
      <w:pPr>
        <w:spacing w:line="580" w:lineRule="exact"/>
        <w:ind w:firstLine="640"/>
        <w:jc w:val="both"/>
      </w:pPr>
      <w:r>
        <w:rPr>
          <w:rFonts w:ascii="仿宋_GB2312" w:hAnsi="仿宋_GB2312" w:eastAsia="仿宋_GB2312"/>
          <w:b w:val="0"/>
          <w:sz w:val="32"/>
        </w:rPr>
        <w:t>截至2024年12月31日，房屋53,101.06平方米，价值5,109.48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3F198BA5">
      <w:pPr>
        <w:spacing w:line="640" w:lineRule="exact"/>
        <w:ind w:firstLine="640"/>
        <w:jc w:val="both"/>
        <w:outlineLvl w:val="2"/>
      </w:pPr>
      <w:r>
        <w:rPr>
          <w:rFonts w:ascii="黑体" w:hAnsi="黑体" w:eastAsia="黑体"/>
          <w:sz w:val="32"/>
        </w:rPr>
        <w:t>十一、预算绩效的情况说明</w:t>
      </w:r>
    </w:p>
    <w:p w14:paraId="596AC20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11,811.23万元，实际执行总额11,807.67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1077597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316"/>
        <w:gridCol w:w="894"/>
        <w:gridCol w:w="1105"/>
        <w:gridCol w:w="1105"/>
      </w:tblGrid>
      <w:tr w14:paraId="73A9B8BF">
        <w:tblPrEx>
          <w:tblCellMar>
            <w:top w:w="0" w:type="dxa"/>
            <w:left w:w="108" w:type="dxa"/>
            <w:bottom w:w="0" w:type="dxa"/>
            <w:right w:w="108" w:type="dxa"/>
          </w:tblCellMar>
        </w:tblPrEx>
        <w:tc>
          <w:tcPr>
            <w:tcW w:w="8840" w:type="dxa"/>
            <w:gridSpan w:val="8"/>
            <w:vAlign w:val="center"/>
          </w:tcPr>
          <w:p w14:paraId="690D6723">
            <w:pPr>
              <w:jc w:val="center"/>
            </w:pPr>
            <w:r>
              <w:rPr>
                <w:rFonts w:ascii="宋体" w:hAnsi="宋体" w:eastAsia="宋体"/>
                <w:sz w:val="24"/>
              </w:rPr>
              <w:t>单位整体支出绩效自评表</w:t>
            </w:r>
          </w:p>
        </w:tc>
      </w:tr>
      <w:tr w14:paraId="41A60706">
        <w:tblPrEx>
          <w:tblCellMar>
            <w:top w:w="0" w:type="dxa"/>
            <w:left w:w="108" w:type="dxa"/>
            <w:bottom w:w="0" w:type="dxa"/>
            <w:right w:w="108" w:type="dxa"/>
          </w:tblCellMar>
        </w:tblPrEx>
        <w:tc>
          <w:tcPr>
            <w:tcW w:w="8840" w:type="dxa"/>
            <w:gridSpan w:val="8"/>
            <w:vAlign w:val="center"/>
          </w:tcPr>
          <w:p w14:paraId="1804CF5F">
            <w:pPr>
              <w:jc w:val="center"/>
            </w:pPr>
            <w:r>
              <w:rPr>
                <w:rFonts w:ascii="宋体" w:hAnsi="宋体" w:eastAsia="宋体"/>
                <w:sz w:val="24"/>
              </w:rPr>
              <w:t>（2024年度）</w:t>
            </w:r>
          </w:p>
        </w:tc>
      </w:tr>
      <w:tr w14:paraId="0F12A9F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C098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836889">
            <w:pPr>
              <w:jc w:val="center"/>
            </w:pPr>
            <w:r>
              <w:rPr>
                <w:rFonts w:ascii="宋体" w:hAnsi="宋体" w:eastAsia="宋体"/>
                <w:sz w:val="16"/>
              </w:rPr>
              <w:t>阿克陶县巴仁乡中心小学</w:t>
            </w:r>
          </w:p>
        </w:tc>
      </w:tr>
      <w:tr w14:paraId="077EEB4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570D5">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0112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0E9A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D64D4">
            <w:pPr>
              <w:jc w:val="center"/>
            </w:pPr>
            <w:r>
              <w:rPr>
                <w:rFonts w:ascii="宋体" w:hAnsi="宋体" w:eastAsia="宋体"/>
                <w:sz w:val="16"/>
              </w:rPr>
              <w:t>预算数（调整后）</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72D90D94">
            <w:pPr>
              <w:jc w:val="center"/>
            </w:pPr>
            <w:r>
              <w:rPr>
                <w:rFonts w:ascii="宋体" w:hAnsi="宋体" w:eastAsia="宋体"/>
                <w:sz w:val="16"/>
              </w:rPr>
              <w:t>执行数</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2017913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27B6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B60CF">
            <w:pPr>
              <w:jc w:val="center"/>
            </w:pPr>
            <w:r>
              <w:rPr>
                <w:rFonts w:ascii="宋体" w:hAnsi="宋体" w:eastAsia="宋体"/>
                <w:sz w:val="16"/>
              </w:rPr>
              <w:t>得分</w:t>
            </w:r>
          </w:p>
        </w:tc>
      </w:tr>
      <w:tr w14:paraId="6E6039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8638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83D3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707A8">
            <w:pPr>
              <w:jc w:val="center"/>
            </w:pPr>
            <w:r>
              <w:rPr>
                <w:rFonts w:ascii="宋体" w:hAnsi="宋体" w:eastAsia="宋体"/>
                <w:sz w:val="16"/>
              </w:rPr>
              <w:t>9,575.45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7C7CA">
            <w:pPr>
              <w:jc w:val="center"/>
            </w:pPr>
            <w:r>
              <w:rPr>
                <w:rFonts w:ascii="宋体" w:hAnsi="宋体" w:eastAsia="宋体"/>
                <w:sz w:val="16"/>
              </w:rPr>
              <w:t>11,811.23</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042E9667">
            <w:pPr>
              <w:jc w:val="center"/>
            </w:pPr>
            <w:r>
              <w:rPr>
                <w:rFonts w:ascii="宋体" w:hAnsi="宋体" w:eastAsia="宋体"/>
                <w:sz w:val="16"/>
              </w:rPr>
              <w:t>11,807.67</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0D6705E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F98F0">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1384A">
            <w:pPr>
              <w:jc w:val="center"/>
            </w:pPr>
            <w:r>
              <w:rPr>
                <w:rFonts w:ascii="宋体" w:hAnsi="宋体" w:eastAsia="宋体"/>
                <w:sz w:val="16"/>
              </w:rPr>
              <w:t>10</w:t>
            </w:r>
          </w:p>
        </w:tc>
      </w:tr>
      <w:tr w14:paraId="0BAE9E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C943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C51D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3CE8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166F5">
            <w:pPr>
              <w:jc w:val="center"/>
            </w:pPr>
            <w:r>
              <w:rPr>
                <w:rFonts w:ascii="宋体" w:hAnsi="宋体" w:eastAsia="宋体"/>
                <w:sz w:val="16"/>
              </w:rPr>
              <w:t>0.00</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23311583">
            <w:pPr>
              <w:jc w:val="center"/>
            </w:pPr>
            <w:r>
              <w:rPr>
                <w:rFonts w:ascii="宋体" w:hAnsi="宋体" w:eastAsia="宋体"/>
                <w:sz w:val="16"/>
              </w:rPr>
              <w:t>0.00</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091BB80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B22F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50290">
            <w:pPr>
              <w:jc w:val="center"/>
            </w:pPr>
            <w:r>
              <w:rPr>
                <w:rFonts w:ascii="宋体" w:hAnsi="宋体" w:eastAsia="宋体"/>
                <w:sz w:val="16"/>
              </w:rPr>
              <w:t>—</w:t>
            </w:r>
          </w:p>
        </w:tc>
      </w:tr>
      <w:tr w14:paraId="2F3269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6B2E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E7E1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B5D23">
            <w:pPr>
              <w:jc w:val="center"/>
            </w:pPr>
            <w:r>
              <w:rPr>
                <w:rFonts w:ascii="宋体" w:hAnsi="宋体" w:eastAsia="宋体"/>
                <w:sz w:val="16"/>
              </w:rPr>
              <w:t>9,575.45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D335B">
            <w:pPr>
              <w:jc w:val="center"/>
            </w:pPr>
            <w:r>
              <w:rPr>
                <w:rFonts w:ascii="宋体" w:hAnsi="宋体" w:eastAsia="宋体"/>
                <w:sz w:val="16"/>
              </w:rPr>
              <w:t>11,811.23</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74B54077">
            <w:pPr>
              <w:jc w:val="center"/>
            </w:pPr>
            <w:r>
              <w:rPr>
                <w:rFonts w:ascii="宋体" w:hAnsi="宋体" w:eastAsia="宋体"/>
                <w:sz w:val="16"/>
              </w:rPr>
              <w:t>11,807.67</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4F82767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B383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3E9511">
            <w:pPr>
              <w:jc w:val="center"/>
            </w:pPr>
            <w:r>
              <w:rPr>
                <w:rFonts w:ascii="宋体" w:hAnsi="宋体" w:eastAsia="宋体"/>
                <w:sz w:val="16"/>
              </w:rPr>
              <w:t>—</w:t>
            </w:r>
          </w:p>
        </w:tc>
      </w:tr>
      <w:tr w14:paraId="64641B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A362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1653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9CC6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32144">
            <w:pPr>
              <w:jc w:val="center"/>
            </w:pPr>
            <w:r>
              <w:rPr>
                <w:rFonts w:ascii="宋体" w:hAnsi="宋体" w:eastAsia="宋体"/>
                <w:sz w:val="16"/>
              </w:rPr>
              <w:t>0.00</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0CEBC73D">
            <w:pPr>
              <w:jc w:val="center"/>
            </w:pPr>
            <w:r>
              <w:rPr>
                <w:rFonts w:ascii="宋体" w:hAnsi="宋体" w:eastAsia="宋体"/>
                <w:sz w:val="16"/>
              </w:rPr>
              <w:t>0.00</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01CFADF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1791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E80AD">
            <w:pPr>
              <w:jc w:val="center"/>
            </w:pPr>
            <w:r>
              <w:rPr>
                <w:rFonts w:ascii="宋体" w:hAnsi="宋体" w:eastAsia="宋体"/>
                <w:sz w:val="16"/>
              </w:rPr>
              <w:t>—</w:t>
            </w:r>
          </w:p>
        </w:tc>
      </w:tr>
      <w:tr w14:paraId="1EBF744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5D5E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73CAD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42C2FB">
            <w:pPr>
              <w:jc w:val="center"/>
            </w:pPr>
            <w:r>
              <w:rPr>
                <w:rFonts w:ascii="宋体" w:hAnsi="宋体" w:eastAsia="宋体"/>
                <w:sz w:val="16"/>
              </w:rPr>
              <w:t>实际完成情况</w:t>
            </w:r>
          </w:p>
        </w:tc>
      </w:tr>
      <w:tr w14:paraId="370BF8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A4503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886942">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AFF193">
            <w:pPr>
              <w:jc w:val="both"/>
            </w:pPr>
            <w:r>
              <w:rPr>
                <w:rFonts w:ascii="宋体" w:hAnsi="宋体" w:eastAsia="宋体"/>
                <w:sz w:val="16"/>
              </w:rPr>
              <w:t>人员工资福利支出预算保障人数504人，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0E9EB88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7260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BA6D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F5F7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E8E88">
            <w:pPr>
              <w:jc w:val="center"/>
            </w:pPr>
            <w:r>
              <w:rPr>
                <w:rFonts w:ascii="宋体" w:hAnsi="宋体" w:eastAsia="宋体"/>
                <w:sz w:val="16"/>
              </w:rPr>
              <w:t>指标值</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549ED683">
            <w:pPr>
              <w:jc w:val="center"/>
            </w:pPr>
            <w:r>
              <w:rPr>
                <w:rFonts w:ascii="宋体" w:hAnsi="宋体" w:eastAsia="宋体"/>
                <w:sz w:val="16"/>
              </w:rPr>
              <w:t>指标值设定依据</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5A108B5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1231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95ECE">
            <w:pPr>
              <w:jc w:val="center"/>
            </w:pPr>
            <w:r>
              <w:rPr>
                <w:rFonts w:ascii="宋体" w:hAnsi="宋体" w:eastAsia="宋体"/>
                <w:sz w:val="16"/>
              </w:rPr>
              <w:t>得分</w:t>
            </w:r>
          </w:p>
        </w:tc>
      </w:tr>
      <w:tr w14:paraId="375FF5B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C2FBE">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9CB9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DDCC0">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16CA0">
            <w:pPr>
              <w:jc w:val="center"/>
            </w:pPr>
            <w:r>
              <w:rPr>
                <w:rFonts w:ascii="宋体" w:hAnsi="宋体" w:eastAsia="宋体"/>
                <w:sz w:val="16"/>
              </w:rPr>
              <w:t>&gt;=500人</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50A697DA">
            <w:pPr>
              <w:jc w:val="center"/>
            </w:pPr>
            <w:r>
              <w:rPr>
                <w:rFonts w:ascii="宋体" w:hAnsi="宋体" w:eastAsia="宋体"/>
                <w:sz w:val="16"/>
              </w:rPr>
              <w:t>上年度末工资册汇总表\人员编制增减变动的批复文件</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3CF6D78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33FB6">
            <w:pPr>
              <w:jc w:val="center"/>
            </w:pPr>
            <w:r>
              <w:rPr>
                <w:rFonts w:ascii="宋体" w:hAnsi="宋体" w:eastAsia="宋体"/>
                <w:sz w:val="16"/>
              </w:rPr>
              <w:t>=504人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81888">
            <w:pPr>
              <w:jc w:val="center"/>
            </w:pPr>
            <w:r>
              <w:rPr>
                <w:rFonts w:ascii="宋体" w:hAnsi="宋体" w:eastAsia="宋体"/>
                <w:sz w:val="16"/>
              </w:rPr>
              <w:t>10</w:t>
            </w:r>
          </w:p>
        </w:tc>
      </w:tr>
      <w:tr w14:paraId="0B0E24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76DB4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8F761">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731A7">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B9A91">
            <w:pPr>
              <w:jc w:val="center"/>
            </w:pPr>
            <w:r>
              <w:rPr>
                <w:rFonts w:ascii="宋体" w:hAnsi="宋体" w:eastAsia="宋体"/>
                <w:sz w:val="16"/>
              </w:rPr>
              <w:t>&lt;=9451.28万元</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3954E733">
            <w:pPr>
              <w:jc w:val="center"/>
            </w:pPr>
            <w:r>
              <w:rPr>
                <w:rFonts w:ascii="宋体" w:hAnsi="宋体" w:eastAsia="宋体"/>
                <w:sz w:val="16"/>
              </w:rPr>
              <w:t>县人大会议批复预算</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78FC753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A3BA9">
            <w:pPr>
              <w:jc w:val="center"/>
            </w:pPr>
            <w:r>
              <w:rPr>
                <w:rFonts w:ascii="宋体" w:hAnsi="宋体" w:eastAsia="宋体"/>
                <w:sz w:val="16"/>
              </w:rPr>
              <w:t>=10275.22万元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EB4A0">
            <w:pPr>
              <w:jc w:val="center"/>
            </w:pPr>
            <w:r>
              <w:rPr>
                <w:rFonts w:ascii="宋体" w:hAnsi="宋体" w:eastAsia="宋体"/>
                <w:sz w:val="16"/>
              </w:rPr>
              <w:t>9.2</w:t>
            </w:r>
          </w:p>
        </w:tc>
      </w:tr>
      <w:tr w14:paraId="1905DF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EC1DF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FFBE7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39686">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57DFE">
            <w:pPr>
              <w:jc w:val="center"/>
            </w:pPr>
            <w:r>
              <w:rPr>
                <w:rFonts w:ascii="宋体" w:hAnsi="宋体" w:eastAsia="宋体"/>
                <w:sz w:val="16"/>
              </w:rPr>
              <w:t>&lt;=124.17万元</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0C92B970">
            <w:pPr>
              <w:jc w:val="center"/>
            </w:pPr>
            <w:r>
              <w:rPr>
                <w:rFonts w:ascii="宋体" w:hAnsi="宋体" w:eastAsia="宋体"/>
                <w:sz w:val="16"/>
              </w:rPr>
              <w:t>县人大会议批复预算</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3B3AAEA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FF7F3">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62D5C">
            <w:pPr>
              <w:jc w:val="center"/>
            </w:pPr>
            <w:r>
              <w:rPr>
                <w:rFonts w:ascii="宋体" w:hAnsi="宋体" w:eastAsia="宋体"/>
                <w:sz w:val="16"/>
              </w:rPr>
              <w:t>0</w:t>
            </w:r>
          </w:p>
        </w:tc>
      </w:tr>
      <w:tr w14:paraId="75DF202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67A87">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6E47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67A3B">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6E141">
            <w:pPr>
              <w:jc w:val="center"/>
            </w:pPr>
            <w:r>
              <w:rPr>
                <w:rFonts w:ascii="宋体" w:hAnsi="宋体" w:eastAsia="宋体"/>
                <w:sz w:val="16"/>
              </w:rPr>
              <w:t>&gt;=98%</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0BE42D9F">
            <w:pPr>
              <w:jc w:val="center"/>
            </w:pPr>
            <w:r>
              <w:rPr>
                <w:rFonts w:ascii="宋体" w:hAnsi="宋体" w:eastAsia="宋体"/>
                <w:sz w:val="16"/>
              </w:rPr>
              <w:t>地方财政部门文件要求</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41D8A2E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D9E1B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303D1">
            <w:pPr>
              <w:jc w:val="center"/>
            </w:pPr>
            <w:r>
              <w:rPr>
                <w:rFonts w:ascii="宋体" w:hAnsi="宋体" w:eastAsia="宋体"/>
                <w:sz w:val="16"/>
              </w:rPr>
              <w:t>15</w:t>
            </w:r>
          </w:p>
        </w:tc>
      </w:tr>
      <w:tr w14:paraId="77711FA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A67AC6">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B224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ABE45">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940A6">
            <w:pPr>
              <w:jc w:val="center"/>
            </w:pPr>
            <w:r>
              <w:rPr>
                <w:rFonts w:ascii="宋体" w:hAnsi="宋体" w:eastAsia="宋体"/>
                <w:sz w:val="16"/>
              </w:rPr>
              <w:t>&gt;=98%</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4970A9FB">
            <w:pPr>
              <w:jc w:val="center"/>
            </w:pPr>
            <w:r>
              <w:rPr>
                <w:rFonts w:ascii="宋体" w:hAnsi="宋体" w:eastAsia="宋体"/>
                <w:sz w:val="16"/>
              </w:rPr>
              <w:t>地方部门文件要求</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3F73648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867C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DECF2">
            <w:pPr>
              <w:jc w:val="center"/>
            </w:pPr>
            <w:r>
              <w:rPr>
                <w:rFonts w:ascii="宋体" w:hAnsi="宋体" w:eastAsia="宋体"/>
                <w:sz w:val="16"/>
              </w:rPr>
              <w:t>15</w:t>
            </w:r>
          </w:p>
        </w:tc>
      </w:tr>
      <w:tr w14:paraId="744B2A1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FCD22">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C2D1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68253">
            <w:pPr>
              <w:jc w:val="center"/>
            </w:pPr>
            <w:r>
              <w:rPr>
                <w:rFonts w:ascii="宋体" w:hAnsi="宋体" w:eastAsia="宋体"/>
                <w:sz w:val="16"/>
              </w:rPr>
              <w:t>保障部门单位正</w:t>
            </w:r>
            <w:r>
              <w:rPr>
                <w:rFonts w:hint="eastAsia" w:ascii="宋体" w:hAnsi="宋体"/>
                <w:sz w:val="16"/>
                <w:lang w:eastAsia="zh-CN"/>
              </w:rPr>
              <w:t>常履</w:t>
            </w:r>
            <w:r>
              <w:rPr>
                <w:rFonts w:ascii="宋体" w:hAnsi="宋体" w:eastAsia="宋体"/>
                <w:sz w:val="16"/>
              </w:rPr>
              <w:t>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EBFF1">
            <w:pPr>
              <w:jc w:val="center"/>
            </w:pPr>
            <w:r>
              <w:rPr>
                <w:rFonts w:ascii="宋体" w:hAnsi="宋体" w:eastAsia="宋体"/>
                <w:sz w:val="16"/>
              </w:rPr>
              <w:t>保障</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34DF2E69">
            <w:pPr>
              <w:jc w:val="center"/>
            </w:pPr>
            <w:r>
              <w:rPr>
                <w:rFonts w:ascii="宋体" w:hAnsi="宋体" w:eastAsia="宋体"/>
                <w:sz w:val="16"/>
              </w:rPr>
              <w:t>中央要求</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2944E49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6A901">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3E4BE">
            <w:pPr>
              <w:jc w:val="center"/>
            </w:pPr>
            <w:r>
              <w:rPr>
                <w:rFonts w:ascii="宋体" w:hAnsi="宋体" w:eastAsia="宋体"/>
                <w:sz w:val="16"/>
              </w:rPr>
              <w:t>10</w:t>
            </w:r>
          </w:p>
        </w:tc>
      </w:tr>
      <w:tr w14:paraId="546F3F5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17618">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E19CF">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F20D5">
            <w:pPr>
              <w:jc w:val="center"/>
            </w:pPr>
            <w:r>
              <w:rPr>
                <w:rFonts w:ascii="宋体" w:hAnsi="宋体" w:eastAsia="宋体"/>
                <w:sz w:val="16"/>
              </w:rPr>
              <w:t>社会公众对本部</w:t>
            </w:r>
            <w:r>
              <w:rPr>
                <w:rFonts w:hint="eastAsia" w:ascii="宋体" w:hAnsi="宋体"/>
                <w:sz w:val="16"/>
                <w:lang w:eastAsia="zh-CN"/>
              </w:rPr>
              <w:t>门履</w:t>
            </w:r>
            <w:r>
              <w:rPr>
                <w:rFonts w:ascii="宋体" w:hAnsi="宋体" w:eastAsia="宋体"/>
                <w:sz w:val="16"/>
              </w:rPr>
              <w:t>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66C39">
            <w:pPr>
              <w:jc w:val="center"/>
            </w:pPr>
            <w:r>
              <w:rPr>
                <w:rFonts w:ascii="宋体" w:hAnsi="宋体" w:eastAsia="宋体"/>
                <w:sz w:val="16"/>
              </w:rPr>
              <w:t>&gt;=95%</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61AB6012">
            <w:pPr>
              <w:jc w:val="center"/>
            </w:pPr>
            <w:r>
              <w:rPr>
                <w:rFonts w:ascii="宋体" w:hAnsi="宋体" w:eastAsia="宋体"/>
                <w:sz w:val="16"/>
              </w:rPr>
              <w:t>“十四五”规划</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1B2093F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8A0D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86A26">
            <w:pPr>
              <w:jc w:val="center"/>
            </w:pPr>
            <w:r>
              <w:rPr>
                <w:rFonts w:ascii="宋体" w:hAnsi="宋体" w:eastAsia="宋体"/>
                <w:sz w:val="16"/>
              </w:rPr>
              <w:t>10</w:t>
            </w:r>
          </w:p>
        </w:tc>
      </w:tr>
      <w:tr w14:paraId="227F51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2EF22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5570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FFF56">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0DDE8">
            <w:pPr>
              <w:jc w:val="center"/>
            </w:pPr>
            <w:r>
              <w:rPr>
                <w:rFonts w:ascii="宋体" w:hAnsi="宋体" w:eastAsia="宋体"/>
                <w:sz w:val="16"/>
              </w:rPr>
              <w:t>&gt;=95%</w:t>
            </w:r>
          </w:p>
        </w:tc>
        <w:tc>
          <w:tcPr>
            <w:tcW w:w="1316" w:type="dxa"/>
            <w:tcBorders>
              <w:top w:val="single" w:color="auto" w:sz="10" w:space="0"/>
              <w:left w:val="single" w:color="auto" w:sz="10" w:space="0"/>
              <w:bottom w:val="single" w:color="auto" w:sz="10" w:space="0"/>
              <w:right w:val="single" w:color="auto" w:sz="10" w:space="0"/>
              <w:insideV w:val="single" w:sz="10" w:space="0"/>
            </w:tcBorders>
            <w:vAlign w:val="center"/>
          </w:tcPr>
          <w:p w14:paraId="24584A85">
            <w:pPr>
              <w:jc w:val="center"/>
            </w:pPr>
            <w:r>
              <w:rPr>
                <w:rFonts w:ascii="宋体" w:hAnsi="宋体" w:eastAsia="宋体"/>
                <w:sz w:val="16"/>
              </w:rPr>
              <w:t>“十四五”规划</w:t>
            </w:r>
          </w:p>
        </w:tc>
        <w:tc>
          <w:tcPr>
            <w:tcW w:w="894" w:type="dxa"/>
            <w:tcBorders>
              <w:top w:val="single" w:color="auto" w:sz="10" w:space="0"/>
              <w:left w:val="single" w:color="auto" w:sz="10" w:space="0"/>
              <w:bottom w:val="single" w:color="auto" w:sz="10" w:space="0"/>
              <w:right w:val="single" w:color="auto" w:sz="10" w:space="0"/>
              <w:insideV w:val="single" w:sz="10" w:space="0"/>
            </w:tcBorders>
            <w:vAlign w:val="center"/>
          </w:tcPr>
          <w:p w14:paraId="320862F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4E53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6C264">
            <w:pPr>
              <w:jc w:val="center"/>
            </w:pPr>
            <w:r>
              <w:rPr>
                <w:rFonts w:ascii="宋体" w:hAnsi="宋体" w:eastAsia="宋体"/>
                <w:sz w:val="16"/>
              </w:rPr>
              <w:t>10</w:t>
            </w:r>
          </w:p>
        </w:tc>
      </w:tr>
    </w:tbl>
    <w:p w14:paraId="7FC9F055">
      <w:r>
        <w:br w:type="page"/>
      </w:r>
    </w:p>
    <w:p w14:paraId="62788FF2">
      <w:pPr>
        <w:spacing w:line="640" w:lineRule="exact"/>
        <w:ind w:firstLine="640"/>
        <w:jc w:val="both"/>
        <w:outlineLvl w:val="2"/>
      </w:pPr>
      <w:r>
        <w:rPr>
          <w:rFonts w:ascii="黑体" w:hAnsi="黑体" w:eastAsia="黑体"/>
          <w:sz w:val="32"/>
        </w:rPr>
        <w:t>十二、其他需说明的事项</w:t>
      </w:r>
    </w:p>
    <w:p w14:paraId="5AB0C913">
      <w:pPr>
        <w:spacing w:line="580" w:lineRule="exact"/>
        <w:ind w:firstLine="640"/>
        <w:jc w:val="both"/>
      </w:pPr>
      <w:r>
        <w:rPr>
          <w:rFonts w:ascii="仿宋_GB2312" w:hAnsi="仿宋_GB2312" w:eastAsia="仿宋_GB2312"/>
          <w:b w:val="0"/>
          <w:sz w:val="32"/>
        </w:rPr>
        <w:t>本单位无其他需说明的事项。</w:t>
      </w:r>
    </w:p>
    <w:p w14:paraId="40268F5A">
      <w:r>
        <w:br w:type="page"/>
      </w:r>
    </w:p>
    <w:p w14:paraId="0FE31F44">
      <w:pPr>
        <w:spacing w:line="240" w:lineRule="auto"/>
        <w:jc w:val="center"/>
        <w:outlineLvl w:val="1"/>
      </w:pPr>
      <w:r>
        <w:rPr>
          <w:rFonts w:ascii="黑体" w:hAnsi="黑体" w:eastAsia="黑体"/>
          <w:sz w:val="32"/>
        </w:rPr>
        <w:t>第三部分 专业名词解释</w:t>
      </w:r>
    </w:p>
    <w:p w14:paraId="2A000A6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D5867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D60F37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CC48AF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EE9EA8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4A57EC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331E9F7">
      <w:pPr>
        <w:spacing w:line="240" w:lineRule="auto"/>
        <w:ind w:firstLine="640"/>
        <w:jc w:val="both"/>
      </w:pPr>
      <w:r>
        <w:rPr>
          <w:rFonts w:ascii="仿宋_GB2312" w:hAnsi="仿宋_GB2312" w:eastAsia="仿宋_GB2312"/>
          <w:b/>
          <w:sz w:val="32"/>
        </w:rPr>
        <w:t>七、年初结转和</w:t>
      </w:r>
      <w:bookmarkStart w:id="0" w:name="_GoBack"/>
      <w:r>
        <w:rPr>
          <w:rFonts w:ascii="仿宋_GB2312" w:hAnsi="仿宋_GB2312" w:eastAsia="仿宋_GB2312"/>
          <w:b/>
          <w:sz w:val="32"/>
        </w:rPr>
        <w:t>结余</w:t>
      </w:r>
      <w:bookmarkEnd w:id="0"/>
      <w:r>
        <w:rPr>
          <w:rFonts w:ascii="仿宋_GB2312" w:hAnsi="仿宋_GB2312" w:eastAsia="仿宋_GB2312"/>
          <w:b/>
          <w:sz w:val="32"/>
        </w:rPr>
        <w:t>：</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66D429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F12B2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BE6D24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F1DE89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9EAACE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98CFE9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7DD3CD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F6900F8">
      <w:r>
        <w:br w:type="page"/>
      </w:r>
    </w:p>
    <w:p w14:paraId="6C03FB3C">
      <w:pPr>
        <w:spacing w:line="240" w:lineRule="auto"/>
        <w:jc w:val="center"/>
        <w:outlineLvl w:val="1"/>
      </w:pPr>
      <w:r>
        <w:rPr>
          <w:rFonts w:ascii="黑体" w:hAnsi="黑体" w:eastAsia="黑体"/>
          <w:sz w:val="32"/>
        </w:rPr>
        <w:t>第四部分 部门决算报表（见附表）</w:t>
      </w:r>
    </w:p>
    <w:p w14:paraId="53CE5D30">
      <w:pPr>
        <w:spacing w:line="240" w:lineRule="auto"/>
        <w:ind w:firstLine="640"/>
        <w:jc w:val="both"/>
      </w:pPr>
      <w:r>
        <w:rPr>
          <w:rFonts w:ascii="仿宋_GB2312" w:hAnsi="仿宋_GB2312" w:eastAsia="仿宋_GB2312"/>
          <w:b w:val="0"/>
          <w:sz w:val="32"/>
        </w:rPr>
        <w:t>一、《收入支出决算总表》</w:t>
      </w:r>
    </w:p>
    <w:p w14:paraId="6589B964">
      <w:pPr>
        <w:spacing w:line="240" w:lineRule="auto"/>
        <w:ind w:firstLine="640"/>
        <w:jc w:val="both"/>
      </w:pPr>
      <w:r>
        <w:rPr>
          <w:rFonts w:ascii="仿宋_GB2312" w:hAnsi="仿宋_GB2312" w:eastAsia="仿宋_GB2312"/>
          <w:b w:val="0"/>
          <w:sz w:val="32"/>
        </w:rPr>
        <w:t>二、《收入决算表》</w:t>
      </w:r>
    </w:p>
    <w:p w14:paraId="5C185CE3">
      <w:pPr>
        <w:spacing w:line="240" w:lineRule="auto"/>
        <w:ind w:firstLine="640"/>
        <w:jc w:val="both"/>
      </w:pPr>
      <w:r>
        <w:rPr>
          <w:rFonts w:ascii="仿宋_GB2312" w:hAnsi="仿宋_GB2312" w:eastAsia="仿宋_GB2312"/>
          <w:b w:val="0"/>
          <w:sz w:val="32"/>
        </w:rPr>
        <w:t>三、《支出决算表》</w:t>
      </w:r>
    </w:p>
    <w:p w14:paraId="7B7CC97B">
      <w:pPr>
        <w:spacing w:line="240" w:lineRule="auto"/>
        <w:ind w:firstLine="640"/>
        <w:jc w:val="both"/>
      </w:pPr>
      <w:r>
        <w:rPr>
          <w:rFonts w:ascii="仿宋_GB2312" w:hAnsi="仿宋_GB2312" w:eastAsia="仿宋_GB2312"/>
          <w:b w:val="0"/>
          <w:sz w:val="32"/>
        </w:rPr>
        <w:t>四、《财政拨款收入支出决算总表》</w:t>
      </w:r>
    </w:p>
    <w:p w14:paraId="52134470">
      <w:pPr>
        <w:spacing w:line="240" w:lineRule="auto"/>
        <w:ind w:firstLine="640"/>
        <w:jc w:val="both"/>
      </w:pPr>
      <w:r>
        <w:rPr>
          <w:rFonts w:ascii="仿宋_GB2312" w:hAnsi="仿宋_GB2312" w:eastAsia="仿宋_GB2312"/>
          <w:b w:val="0"/>
          <w:sz w:val="32"/>
        </w:rPr>
        <w:t>五、《一般公共预算财政拨款支出决算表》</w:t>
      </w:r>
    </w:p>
    <w:p w14:paraId="67B6580C">
      <w:pPr>
        <w:spacing w:line="240" w:lineRule="auto"/>
        <w:ind w:firstLine="640"/>
        <w:jc w:val="both"/>
      </w:pPr>
      <w:r>
        <w:rPr>
          <w:rFonts w:ascii="仿宋_GB2312" w:hAnsi="仿宋_GB2312" w:eastAsia="仿宋_GB2312"/>
          <w:b w:val="0"/>
          <w:sz w:val="32"/>
        </w:rPr>
        <w:t>六、《一般公共预算财政拨款基本支出决算表》</w:t>
      </w:r>
    </w:p>
    <w:p w14:paraId="52CD3725">
      <w:pPr>
        <w:spacing w:line="240" w:lineRule="auto"/>
        <w:ind w:firstLine="640"/>
        <w:jc w:val="both"/>
      </w:pPr>
      <w:r>
        <w:rPr>
          <w:rFonts w:ascii="仿宋_GB2312" w:hAnsi="仿宋_GB2312" w:eastAsia="仿宋_GB2312"/>
          <w:b w:val="0"/>
          <w:sz w:val="32"/>
        </w:rPr>
        <w:t>七、《政府性基金预算财政拨款收入支出决算表》</w:t>
      </w:r>
    </w:p>
    <w:p w14:paraId="6DE8BC89">
      <w:pPr>
        <w:spacing w:line="240" w:lineRule="auto"/>
        <w:ind w:firstLine="640"/>
        <w:jc w:val="both"/>
      </w:pPr>
      <w:r>
        <w:rPr>
          <w:rFonts w:ascii="仿宋_GB2312" w:hAnsi="仿宋_GB2312" w:eastAsia="仿宋_GB2312"/>
          <w:b w:val="0"/>
          <w:sz w:val="32"/>
        </w:rPr>
        <w:t>八、《国有资本经营预算财政拨款收入支出决算表》</w:t>
      </w:r>
    </w:p>
    <w:p w14:paraId="3764B983">
      <w:pPr>
        <w:spacing w:line="240" w:lineRule="auto"/>
        <w:ind w:firstLine="640"/>
        <w:jc w:val="both"/>
      </w:pPr>
      <w:r>
        <w:rPr>
          <w:rFonts w:ascii="仿宋_GB2312" w:hAnsi="仿宋_GB2312" w:eastAsia="仿宋_GB2312"/>
          <w:b w:val="0"/>
          <w:sz w:val="32"/>
        </w:rPr>
        <w:t>九、《财政拨款“三公”经费支出决算表》</w:t>
      </w:r>
    </w:p>
    <w:p w14:paraId="404E5AAC">
      <w:pPr>
        <w:spacing w:line="240" w:lineRule="auto"/>
        <w:ind w:firstLine="640"/>
        <w:jc w:val="both"/>
      </w:pPr>
    </w:p>
    <w:p w14:paraId="13D0A1CE">
      <w:pPr>
        <w:spacing w:line="240" w:lineRule="auto"/>
        <w:ind w:firstLine="640"/>
        <w:jc w:val="both"/>
      </w:pPr>
    </w:p>
    <w:p w14:paraId="07B0A778">
      <w:pPr>
        <w:spacing w:line="240" w:lineRule="auto"/>
        <w:ind w:firstLine="640"/>
        <w:jc w:val="both"/>
      </w:pPr>
    </w:p>
    <w:p w14:paraId="4529E2AA">
      <w:pPr>
        <w:spacing w:line="240" w:lineRule="auto"/>
        <w:ind w:firstLine="640"/>
        <w:jc w:val="both"/>
      </w:pPr>
    </w:p>
    <w:p w14:paraId="68274C3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F32A27"/>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5672</Words>
  <Characters>6512</Characters>
  <Lines>0</Lines>
  <Paragraphs>0</Paragraphs>
  <TotalTime>1</TotalTime>
  <ScaleCrop>false</ScaleCrop>
  <LinksUpToDate>false</LinksUpToDate>
  <CharactersWithSpaces>6522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2025-09-15T04:55:02Z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