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阿克陶县社会主义新农村特色乡镇建设服务中心2024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A18E10B">
      <w:r>
        <w:br w:type="page"/>
      </w:r>
    </w:p>
    <w:p w14:paraId="069A3EBB">
      <w:pPr>
        <w:spacing w:line="640" w:lineRule="exact"/>
        <w:jc w:val="center"/>
        <w:outlineLvl w:val="1"/>
      </w:pPr>
      <w:r>
        <w:rPr>
          <w:rFonts w:ascii="黑体" w:hAnsi="黑体" w:eastAsia="黑体"/>
          <w:sz w:val="32"/>
        </w:rPr>
        <w:t>第一部分 单位概况</w:t>
      </w:r>
    </w:p>
    <w:p w14:paraId="47376CB7">
      <w:pPr>
        <w:spacing w:line="640" w:lineRule="exact"/>
        <w:ind w:firstLine="640"/>
        <w:jc w:val="both"/>
        <w:outlineLvl w:val="2"/>
      </w:pPr>
      <w:r>
        <w:rPr>
          <w:rFonts w:ascii="黑体" w:hAnsi="黑体" w:eastAsia="黑体"/>
          <w:sz w:val="32"/>
        </w:rPr>
        <w:t>一、主要职能</w:t>
      </w:r>
    </w:p>
    <w:p w14:paraId="6599029E">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统筹协调指导全县新农村特色乡镇建设工作:制定全县的工作意见和有关措施、实施乡镇示范工程的工作方案和有关</w:t>
      </w:r>
      <w:r>
        <w:rPr>
          <w:rFonts w:hint="eastAsia" w:ascii="仿宋_GB2312" w:hAnsi="仿宋_GB2312" w:eastAsia="仿宋_GB2312"/>
          <w:sz w:val="32"/>
          <w:lang w:eastAsia="zh-CN"/>
        </w:rPr>
        <w:t>政策措施</w:t>
      </w:r>
      <w:r>
        <w:rPr>
          <w:rFonts w:ascii="仿宋_GB2312" w:hAnsi="仿宋_GB2312" w:eastAsia="仿宋_GB2312"/>
          <w:sz w:val="32"/>
        </w:rPr>
        <w:t>、制定工作目标</w:t>
      </w:r>
      <w:r>
        <w:rPr>
          <w:rFonts w:hint="eastAsia" w:ascii="仿宋_GB2312" w:hAnsi="仿宋_GB2312" w:eastAsia="仿宋_GB2312"/>
          <w:sz w:val="32"/>
          <w:lang w:eastAsia="zh-CN"/>
        </w:rPr>
        <w:t>考核</w:t>
      </w:r>
      <w:r>
        <w:rPr>
          <w:rFonts w:ascii="仿宋_GB2312" w:hAnsi="仿宋_GB2312" w:eastAsia="仿宋_GB2312"/>
          <w:sz w:val="32"/>
        </w:rPr>
        <w:t>评价体系并组织实施。</w:t>
      </w:r>
    </w:p>
    <w:p w14:paraId="4FD83DB3">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新农村特色乡镇建设的调查及政策研究工作、负责全县新农村特色乡镇建设的宣传、信息交流、经验总结、年度工作总结和年度目标表彰工作及负责协调有关项目安排和资金使用，督查各乡镇建设工程进度，组织实施建设工作检查验收和目标责任制的考核。</w:t>
      </w:r>
    </w:p>
    <w:p w14:paraId="40730EC2">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以乡村振兴为契机，加快新农村建设步伐，确保农房建设与周边环境相协调、与传统风貌相协调，以村庄规划为引领，以农房建设促实施配套，努力改善人居环境和生产生活条件，做到“建一片新房、成一片新村”。</w:t>
      </w:r>
    </w:p>
    <w:p w14:paraId="55BF19CA">
      <w:pPr>
        <w:spacing w:line="640" w:lineRule="exact"/>
        <w:ind w:firstLine="640"/>
        <w:jc w:val="both"/>
        <w:outlineLvl w:val="2"/>
      </w:pPr>
      <w:r>
        <w:rPr>
          <w:rFonts w:ascii="黑体" w:hAnsi="黑体" w:eastAsia="黑体"/>
          <w:sz w:val="32"/>
        </w:rPr>
        <w:t>二、机构设置及人员情况</w:t>
      </w:r>
    </w:p>
    <w:p w14:paraId="08A354E5">
      <w:pPr>
        <w:spacing w:line="580" w:lineRule="exact"/>
        <w:ind w:firstLine="640"/>
        <w:jc w:val="both"/>
      </w:pPr>
      <w:r>
        <w:rPr>
          <w:rFonts w:ascii="仿宋_GB2312" w:hAnsi="仿宋_GB2312" w:eastAsia="仿宋_GB2312"/>
          <w:sz w:val="32"/>
        </w:rPr>
        <w:t>阿克陶县社会主义新农村特色乡镇建设服务中心2024年度，实有人数8人，其中：在职人员6人，增加0人；离休人员0人，增加0人；退休人员2人,增加0人。</w:t>
      </w:r>
    </w:p>
    <w:p w14:paraId="6A2106BB">
      <w:pPr>
        <w:spacing w:line="580" w:lineRule="exact"/>
        <w:ind w:firstLine="640"/>
        <w:jc w:val="both"/>
      </w:pPr>
      <w:r>
        <w:rPr>
          <w:rFonts w:ascii="仿宋_GB2312" w:hAnsi="仿宋_GB2312" w:eastAsia="仿宋_GB2312"/>
          <w:sz w:val="32"/>
        </w:rPr>
        <w:t>阿克陶县社会主义新农村特色乡镇建设服务中心无下属预算单位，下设2个科室，分别是：住房保障办、财务室。</w:t>
      </w:r>
    </w:p>
    <w:p w14:paraId="5671B5B8">
      <w:r>
        <w:br w:type="page"/>
      </w:r>
    </w:p>
    <w:p w14:paraId="78E791E9">
      <w:pPr>
        <w:spacing w:line="240" w:lineRule="auto"/>
        <w:jc w:val="center"/>
        <w:outlineLvl w:val="1"/>
      </w:pPr>
      <w:r>
        <w:rPr>
          <w:rFonts w:ascii="黑体" w:hAnsi="黑体" w:eastAsia="黑体"/>
          <w:sz w:val="32"/>
        </w:rPr>
        <w:t>第二部分 部门决算情况说明</w:t>
      </w:r>
    </w:p>
    <w:p w14:paraId="48681C04">
      <w:pPr>
        <w:spacing w:line="640" w:lineRule="exact"/>
        <w:ind w:firstLine="640"/>
        <w:jc w:val="both"/>
        <w:outlineLvl w:val="2"/>
      </w:pPr>
      <w:r>
        <w:rPr>
          <w:rFonts w:ascii="黑体" w:hAnsi="黑体" w:eastAsia="黑体"/>
          <w:sz w:val="32"/>
        </w:rPr>
        <w:t>一、收入支出决算总体情况说明</w:t>
      </w:r>
    </w:p>
    <w:p w14:paraId="0D41C000">
      <w:pPr>
        <w:spacing w:line="580" w:lineRule="exact"/>
        <w:ind w:firstLine="640"/>
        <w:jc w:val="both"/>
      </w:pPr>
      <w:r>
        <w:rPr>
          <w:rFonts w:ascii="仿宋_GB2312" w:hAnsi="仿宋_GB2312" w:eastAsia="仿宋_GB2312"/>
          <w:b/>
          <w:sz w:val="32"/>
        </w:rPr>
        <w:t>2024年度收入总计2,649.00万元，</w:t>
      </w:r>
      <w:r>
        <w:rPr>
          <w:rFonts w:ascii="仿宋_GB2312" w:hAnsi="仿宋_GB2312" w:eastAsia="仿宋_GB2312"/>
          <w:b w:val="0"/>
          <w:sz w:val="32"/>
        </w:rPr>
        <w:t>其中：本年收入合计2,616.99万元，使用非财政拨款结余（含专用结余）0.00万元，年初结转和结余32.01万元。</w:t>
      </w:r>
    </w:p>
    <w:p w14:paraId="4BF94156">
      <w:pPr>
        <w:spacing w:line="580" w:lineRule="exact"/>
        <w:ind w:firstLine="640"/>
        <w:jc w:val="both"/>
      </w:pPr>
      <w:r>
        <w:rPr>
          <w:rFonts w:ascii="仿宋_GB2312" w:hAnsi="仿宋_GB2312" w:eastAsia="仿宋_GB2312"/>
          <w:b/>
          <w:sz w:val="32"/>
        </w:rPr>
        <w:t>2024年度支出总计2,649.00万元，</w:t>
      </w:r>
      <w:r>
        <w:rPr>
          <w:rFonts w:ascii="仿宋_GB2312" w:hAnsi="仿宋_GB2312" w:eastAsia="仿宋_GB2312"/>
          <w:b w:val="0"/>
          <w:sz w:val="32"/>
        </w:rPr>
        <w:t>其中：本年支出合计2,618.93万元，结余分配0.00万元，年末结转和结余30.07万元。</w:t>
      </w:r>
    </w:p>
    <w:p w14:paraId="4C76D9F7">
      <w:pPr>
        <w:spacing w:line="580" w:lineRule="exact"/>
        <w:ind w:firstLine="640"/>
        <w:jc w:val="both"/>
      </w:pPr>
      <w:r>
        <w:rPr>
          <w:rFonts w:ascii="仿宋_GB2312" w:hAnsi="仿宋_GB2312" w:eastAsia="仿宋_GB2312"/>
          <w:b w:val="0"/>
          <w:sz w:val="32"/>
        </w:rPr>
        <w:t>收入支出总体与上年相比，增加2,268.08万元，增长595.42%，主要原因是：本年度农村抗震安居工程建设项目资金较上年大幅增加。</w:t>
      </w:r>
    </w:p>
    <w:p w14:paraId="76265331">
      <w:pPr>
        <w:spacing w:line="640" w:lineRule="exact"/>
        <w:ind w:firstLine="640"/>
        <w:jc w:val="both"/>
        <w:outlineLvl w:val="2"/>
      </w:pPr>
      <w:r>
        <w:rPr>
          <w:rFonts w:ascii="黑体" w:hAnsi="黑体" w:eastAsia="黑体"/>
          <w:sz w:val="32"/>
        </w:rPr>
        <w:t>二、收入决算情况说明</w:t>
      </w:r>
    </w:p>
    <w:p w14:paraId="123EAFA3">
      <w:pPr>
        <w:spacing w:line="580" w:lineRule="exact"/>
        <w:ind w:firstLine="640"/>
        <w:jc w:val="both"/>
      </w:pPr>
      <w:r>
        <w:rPr>
          <w:rFonts w:ascii="仿宋_GB2312" w:hAnsi="仿宋_GB2312" w:eastAsia="仿宋_GB2312"/>
          <w:b/>
          <w:sz w:val="32"/>
        </w:rPr>
        <w:t>本年收入2,616.99万元，</w:t>
      </w:r>
      <w:r>
        <w:rPr>
          <w:rFonts w:ascii="仿宋_GB2312" w:hAnsi="仿宋_GB2312" w:eastAsia="仿宋_GB2312"/>
          <w:b w:val="0"/>
          <w:sz w:val="32"/>
        </w:rPr>
        <w:t>其中：财政拨款收入2,500.18万元，占95.54%；上级补助收入0.00万元，占0.00%；事业收入0.00万元，占0.00%；经营收入0.00万元，占0.00%；附属单位上缴收入0.00万元，占0.00%；其他收入116.81万元，占4.46%。</w:t>
      </w:r>
    </w:p>
    <w:p w14:paraId="06EA909A">
      <w:pPr>
        <w:spacing w:line="640" w:lineRule="exact"/>
        <w:ind w:firstLine="640"/>
        <w:jc w:val="both"/>
        <w:outlineLvl w:val="2"/>
      </w:pPr>
      <w:r>
        <w:rPr>
          <w:rFonts w:ascii="黑体" w:hAnsi="黑体" w:eastAsia="黑体"/>
          <w:sz w:val="32"/>
        </w:rPr>
        <w:t>三、支出决算情况说明</w:t>
      </w:r>
    </w:p>
    <w:p w14:paraId="46D758A8">
      <w:pPr>
        <w:spacing w:line="580" w:lineRule="exact"/>
        <w:ind w:firstLine="640"/>
        <w:jc w:val="both"/>
      </w:pPr>
      <w:r>
        <w:rPr>
          <w:rFonts w:ascii="仿宋_GB2312" w:hAnsi="仿宋_GB2312" w:eastAsia="仿宋_GB2312"/>
          <w:b/>
          <w:sz w:val="32"/>
        </w:rPr>
        <w:t>本年支出2,618.93万元，</w:t>
      </w:r>
      <w:r>
        <w:rPr>
          <w:rFonts w:ascii="仿宋_GB2312" w:hAnsi="仿宋_GB2312" w:eastAsia="仿宋_GB2312"/>
          <w:b w:val="0"/>
          <w:sz w:val="32"/>
        </w:rPr>
        <w:t>其中：基本支出136.78万元，占5.22%；项目支出2,482.15万元，占94.78%；上缴上级支出0.00万元，占0.00%；经营支出0.00万元，占0.00%；对附属单位补助支出0.00万元，占0.00%。</w:t>
      </w:r>
    </w:p>
    <w:p w14:paraId="53B8497F">
      <w:pPr>
        <w:spacing w:line="640" w:lineRule="exact"/>
        <w:ind w:firstLine="640"/>
        <w:jc w:val="both"/>
        <w:outlineLvl w:val="2"/>
      </w:pPr>
      <w:r>
        <w:rPr>
          <w:rFonts w:ascii="黑体" w:hAnsi="黑体" w:eastAsia="黑体"/>
          <w:sz w:val="32"/>
        </w:rPr>
        <w:t>四、财政拨款收入支出决算总体情况说明</w:t>
      </w:r>
    </w:p>
    <w:p w14:paraId="54844D8B">
      <w:pPr>
        <w:spacing w:line="580" w:lineRule="exact"/>
        <w:ind w:firstLine="640"/>
        <w:jc w:val="both"/>
      </w:pPr>
      <w:r>
        <w:rPr>
          <w:rFonts w:ascii="仿宋_GB2312" w:hAnsi="仿宋_GB2312" w:eastAsia="仿宋_GB2312"/>
          <w:b/>
          <w:sz w:val="32"/>
        </w:rPr>
        <w:t>2024年度财政拨款收入总计2,500.18万元，</w:t>
      </w:r>
      <w:r>
        <w:rPr>
          <w:rFonts w:ascii="仿宋_GB2312" w:hAnsi="仿宋_GB2312" w:eastAsia="仿宋_GB2312"/>
          <w:b w:val="0"/>
          <w:sz w:val="32"/>
        </w:rPr>
        <w:t>其中：年初财政拨款结转和结余0.00万元，本年财政拨款收入2,500.18万元。</w:t>
      </w:r>
      <w:r>
        <w:rPr>
          <w:rFonts w:ascii="仿宋_GB2312" w:hAnsi="仿宋_GB2312" w:eastAsia="仿宋_GB2312"/>
          <w:b/>
          <w:sz w:val="32"/>
        </w:rPr>
        <w:t>财政拨款支出总计2,500.18万元，</w:t>
      </w:r>
      <w:r>
        <w:rPr>
          <w:rFonts w:ascii="仿宋_GB2312" w:hAnsi="仿宋_GB2312" w:eastAsia="仿宋_GB2312"/>
          <w:b w:val="0"/>
          <w:sz w:val="32"/>
        </w:rPr>
        <w:t>其中：年末财政拨款结转和结余0.00万元，本年财政拨款支出2,500.18万元。</w:t>
      </w:r>
    </w:p>
    <w:p w14:paraId="59FDB3E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增加2,151.29万元，增长616.61%，主要原因是：一是本年在职人员工资调增，社保、公积金基数调增，人员经费增加；二是本年度农村抗震安居工程建设项目资金较上年大幅增加。</w:t>
      </w:r>
      <w:r>
        <w:rPr>
          <w:rFonts w:ascii="仿宋_GB2312" w:hAnsi="仿宋_GB2312" w:eastAsia="仿宋_GB2312"/>
          <w:b/>
          <w:sz w:val="32"/>
        </w:rPr>
        <w:t>与年初预算相比，</w:t>
      </w:r>
      <w:r>
        <w:rPr>
          <w:rFonts w:ascii="仿宋_GB2312" w:hAnsi="仿宋_GB2312" w:eastAsia="仿宋_GB2312"/>
          <w:b w:val="0"/>
          <w:sz w:val="32"/>
        </w:rPr>
        <w:t>年初预算数181.63万元，决算数2,500.18万元，预决算差异率1276.52%，主要原因是：年中追加农村抗震安居工程建设项目，导致预决算存在差异。</w:t>
      </w:r>
    </w:p>
    <w:p w14:paraId="2BD957CE">
      <w:pPr>
        <w:spacing w:line="640" w:lineRule="exact"/>
        <w:ind w:firstLine="640"/>
        <w:jc w:val="both"/>
        <w:outlineLvl w:val="2"/>
      </w:pPr>
      <w:r>
        <w:rPr>
          <w:rFonts w:ascii="黑体" w:hAnsi="黑体" w:eastAsia="黑体"/>
          <w:sz w:val="32"/>
        </w:rPr>
        <w:t>五、一般公共预算财政拨款支出决算情况说明</w:t>
      </w:r>
    </w:p>
    <w:p w14:paraId="4462DB6D">
      <w:pPr>
        <w:spacing w:line="640" w:lineRule="exact"/>
        <w:ind w:firstLine="640"/>
        <w:jc w:val="both"/>
        <w:outlineLvl w:val="3"/>
      </w:pPr>
      <w:r>
        <w:rPr>
          <w:rFonts w:ascii="楷体_GB2312" w:hAnsi="楷体_GB2312" w:eastAsia="楷体_GB2312"/>
          <w:b/>
          <w:sz w:val="32"/>
        </w:rPr>
        <w:t>（一）一般公共预算财政拨款支出决算总体情况</w:t>
      </w:r>
    </w:p>
    <w:p w14:paraId="117060FA">
      <w:pPr>
        <w:spacing w:line="580" w:lineRule="exact"/>
        <w:ind w:firstLine="640"/>
        <w:jc w:val="both"/>
      </w:pPr>
      <w:r>
        <w:rPr>
          <w:rFonts w:ascii="仿宋_GB2312" w:hAnsi="仿宋_GB2312" w:eastAsia="仿宋_GB2312"/>
          <w:b/>
          <w:sz w:val="32"/>
        </w:rPr>
        <w:t>2024年度一般公共预算财政拨款支出2,490.18万元，</w:t>
      </w:r>
      <w:r>
        <w:rPr>
          <w:rFonts w:ascii="仿宋_GB2312" w:hAnsi="仿宋_GB2312" w:eastAsia="仿宋_GB2312"/>
          <w:b w:val="0"/>
          <w:sz w:val="32"/>
        </w:rPr>
        <w:t>占本年支出合计的95.08%。</w:t>
      </w:r>
      <w:r>
        <w:rPr>
          <w:rFonts w:ascii="仿宋_GB2312" w:hAnsi="仿宋_GB2312" w:eastAsia="仿宋_GB2312"/>
          <w:b/>
          <w:sz w:val="32"/>
        </w:rPr>
        <w:t>与上年相比，</w:t>
      </w:r>
      <w:r>
        <w:rPr>
          <w:rFonts w:ascii="仿宋_GB2312" w:hAnsi="仿宋_GB2312" w:eastAsia="仿宋_GB2312"/>
          <w:b w:val="0"/>
          <w:sz w:val="32"/>
        </w:rPr>
        <w:t>增加2,241.29万元，增长900.51%，主要原因是：一是本年在职人员工资调增，社保、公积金基数调增，人员经费增加；二是本年度农村抗震安居工程建设项目资金较上年大幅增加。</w:t>
      </w:r>
      <w:r>
        <w:rPr>
          <w:rFonts w:ascii="仿宋_GB2312" w:hAnsi="仿宋_GB2312" w:eastAsia="仿宋_GB2312"/>
          <w:b/>
          <w:sz w:val="32"/>
        </w:rPr>
        <w:t>与年初预算相比,</w:t>
      </w:r>
      <w:r>
        <w:rPr>
          <w:rFonts w:ascii="仿宋_GB2312" w:hAnsi="仿宋_GB2312" w:eastAsia="仿宋_GB2312"/>
          <w:b w:val="0"/>
          <w:sz w:val="32"/>
        </w:rPr>
        <w:t>年初预算数181.63万元，决算数2,490.18万元，预决算差异率1271.02%，主要原因是：年中追加农村抗震安居工程建设项目，导致预决算存在差异。</w:t>
      </w:r>
    </w:p>
    <w:p w14:paraId="5098A4DC">
      <w:pPr>
        <w:spacing w:line="640" w:lineRule="exact"/>
        <w:ind w:firstLine="640"/>
        <w:jc w:val="both"/>
        <w:outlineLvl w:val="3"/>
      </w:pPr>
      <w:r>
        <w:rPr>
          <w:rFonts w:ascii="楷体_GB2312" w:hAnsi="楷体_GB2312" w:eastAsia="楷体_GB2312"/>
          <w:b/>
          <w:sz w:val="32"/>
        </w:rPr>
        <w:t>（二）一般公共预算财政拨款支出决算结构情况</w:t>
      </w:r>
    </w:p>
    <w:p w14:paraId="5F0B0976">
      <w:pPr>
        <w:spacing w:line="580" w:lineRule="exact"/>
        <w:ind w:firstLine="640"/>
        <w:jc w:val="both"/>
      </w:pPr>
      <w:r>
        <w:rPr>
          <w:rFonts w:ascii="仿宋_GB2312" w:hAnsi="仿宋_GB2312" w:eastAsia="仿宋_GB2312"/>
          <w:b w:val="0"/>
          <w:sz w:val="32"/>
        </w:rPr>
        <w:t>1.社会保障和就业支出(类)16.48万元,占0.66%。</w:t>
      </w:r>
    </w:p>
    <w:p w14:paraId="6DF9F8BB">
      <w:pPr>
        <w:spacing w:line="580" w:lineRule="exact"/>
        <w:ind w:firstLine="640"/>
        <w:jc w:val="both"/>
      </w:pPr>
      <w:r>
        <w:rPr>
          <w:rFonts w:ascii="仿宋_GB2312" w:hAnsi="仿宋_GB2312" w:eastAsia="仿宋_GB2312"/>
          <w:b w:val="0"/>
          <w:sz w:val="32"/>
        </w:rPr>
        <w:t>2.卫生健康支出(类)4.89万元,占0.20%。</w:t>
      </w:r>
    </w:p>
    <w:p w14:paraId="1E97F19B">
      <w:pPr>
        <w:spacing w:line="580" w:lineRule="exact"/>
        <w:ind w:firstLine="640"/>
        <w:jc w:val="both"/>
      </w:pPr>
      <w:r>
        <w:rPr>
          <w:rFonts w:ascii="仿宋_GB2312" w:hAnsi="仿宋_GB2312" w:eastAsia="仿宋_GB2312"/>
          <w:b w:val="0"/>
          <w:sz w:val="32"/>
        </w:rPr>
        <w:t>3.城乡社区支出(类)106.06万元,占4.26%。</w:t>
      </w:r>
    </w:p>
    <w:p w14:paraId="736EC5CC">
      <w:pPr>
        <w:spacing w:line="580" w:lineRule="exact"/>
        <w:ind w:firstLine="640"/>
        <w:jc w:val="both"/>
      </w:pPr>
      <w:r>
        <w:rPr>
          <w:rFonts w:ascii="仿宋_GB2312" w:hAnsi="仿宋_GB2312" w:eastAsia="仿宋_GB2312"/>
          <w:b w:val="0"/>
          <w:sz w:val="32"/>
        </w:rPr>
        <w:t>4.农林水支出(类)30.00万元,占1.20%。</w:t>
      </w:r>
    </w:p>
    <w:p w14:paraId="10997108">
      <w:pPr>
        <w:spacing w:line="580" w:lineRule="exact"/>
        <w:ind w:firstLine="640"/>
        <w:jc w:val="both"/>
      </w:pPr>
      <w:r>
        <w:rPr>
          <w:rFonts w:ascii="仿宋_GB2312" w:hAnsi="仿宋_GB2312" w:eastAsia="仿宋_GB2312"/>
          <w:b w:val="0"/>
          <w:sz w:val="32"/>
        </w:rPr>
        <w:t>5.住房保障支出(类)2,332.74万元,占93.68%。</w:t>
      </w:r>
    </w:p>
    <w:p w14:paraId="01F9210B">
      <w:pPr>
        <w:spacing w:line="640" w:lineRule="exact"/>
        <w:ind w:firstLine="640"/>
        <w:jc w:val="both"/>
        <w:outlineLvl w:val="3"/>
      </w:pPr>
      <w:r>
        <w:rPr>
          <w:rFonts w:ascii="楷体_GB2312" w:hAnsi="楷体_GB2312" w:eastAsia="楷体_GB2312"/>
          <w:b/>
          <w:sz w:val="32"/>
        </w:rPr>
        <w:t>（三）一般公共预算财政拨款支出决算具体情况</w:t>
      </w:r>
    </w:p>
    <w:p w14:paraId="52502B92">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1.社会保障和就业支出(类)行政事业单位养老支出(款)行政单位离退休(项):支出决算数为2.70万元，比上年决算增加0.42万元，增长18.42%,主要原因是：本年增加退休人员基础绩效奖，退休费支出增加。</w:t>
      </w:r>
    </w:p>
    <w:p w14:paraId="7AC6533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13.78万元，比上年决算增加1.79万元，增长14.93%,主要原因是：本年在职人员工资基数调增，养老缴费基数上涨，相应支出增加。</w:t>
      </w:r>
    </w:p>
    <w:p w14:paraId="2334A37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5.34万元，下降100.00%,主要原因是：本年无调出外县及退休人员，减少职业年金缴费。</w:t>
      </w:r>
    </w:p>
    <w:p w14:paraId="1B07E489">
      <w:pPr>
        <w:spacing w:line="580" w:lineRule="exact"/>
        <w:ind w:firstLine="640"/>
        <w:jc w:val="both"/>
      </w:pPr>
      <w:r>
        <w:rPr>
          <w:rFonts w:ascii="仿宋_GB2312" w:hAnsi="仿宋_GB2312" w:eastAsia="仿宋_GB2312"/>
          <w:b w:val="0"/>
          <w:sz w:val="32"/>
        </w:rPr>
        <w:t>4.卫生健康支出(类)行政事业单位医疗(款)事业单位医疗(项):支出决算数为4.89万元，比上年决算增加0.72万元，增长17.27%,主要原因是：本年在职人员工资基数调增，医疗缴费基数上涨，相应支出增加。</w:t>
      </w:r>
    </w:p>
    <w:p w14:paraId="1C7BB63A">
      <w:pPr>
        <w:spacing w:line="580" w:lineRule="exact"/>
        <w:ind w:firstLine="640"/>
        <w:jc w:val="both"/>
      </w:pPr>
      <w:r>
        <w:rPr>
          <w:rFonts w:ascii="仿宋_GB2312" w:hAnsi="仿宋_GB2312" w:eastAsia="仿宋_GB2312"/>
          <w:b w:val="0"/>
          <w:sz w:val="32"/>
        </w:rPr>
        <w:t>5.城乡社区支出(类)城乡社区管理事务(款)行政运行(项):支出决算数为104.56万元，比上年决算增加0.03万元，增长0.03%,主要原因是：本年在职人员工资调增，导致相关人员经费较上年有所增加。</w:t>
      </w:r>
    </w:p>
    <w:p w14:paraId="72937AC8">
      <w:pPr>
        <w:spacing w:line="580" w:lineRule="exact"/>
        <w:ind w:firstLine="640"/>
        <w:jc w:val="both"/>
      </w:pPr>
      <w:r>
        <w:rPr>
          <w:rFonts w:ascii="仿宋_GB2312" w:hAnsi="仿宋_GB2312" w:eastAsia="仿宋_GB2312"/>
          <w:b w:val="0"/>
          <w:sz w:val="32"/>
        </w:rPr>
        <w:t>6.城乡社区支出(类)城乡社区管理事务(款)其他城乡社区管理事务支出(项):支出决算数为0.00万元，比上年决算减少1.19万元，下降100.00%,主要原因是：本年度</w:t>
      </w:r>
      <w:r>
        <w:rPr>
          <w:rFonts w:hint="eastAsia" w:ascii="仿宋_GB2312" w:hAnsi="仿宋_GB2312" w:eastAsia="仿宋_GB2312"/>
          <w:b w:val="0"/>
          <w:sz w:val="32"/>
          <w:lang w:eastAsia="zh-CN"/>
        </w:rPr>
        <w:t>本单位</w:t>
      </w:r>
      <w:r>
        <w:rPr>
          <w:rFonts w:ascii="仿宋_GB2312" w:hAnsi="仿宋_GB2312" w:eastAsia="仿宋_GB2312"/>
          <w:b w:val="0"/>
          <w:sz w:val="32"/>
        </w:rPr>
        <w:t>厉行勤俭节约，减少办公经费支出。</w:t>
      </w:r>
    </w:p>
    <w:p w14:paraId="19E81C67">
      <w:pPr>
        <w:spacing w:line="580" w:lineRule="exact"/>
        <w:ind w:firstLine="640"/>
        <w:jc w:val="both"/>
      </w:pPr>
      <w:r>
        <w:rPr>
          <w:rFonts w:ascii="仿宋_GB2312" w:hAnsi="仿宋_GB2312" w:eastAsia="仿宋_GB2312"/>
          <w:b w:val="0"/>
          <w:sz w:val="32"/>
        </w:rPr>
        <w:t>7.城乡社区支出(类)城乡社区规划与管理(款)城乡社区规划与管理(项):支出决算数为1.50万元，比上年决算增加1.50万元，增长100.00%,主要原因是：本年度新增业务保障费项目。</w:t>
      </w:r>
    </w:p>
    <w:p w14:paraId="2C7DB126">
      <w:pPr>
        <w:spacing w:line="580" w:lineRule="exact"/>
        <w:ind w:firstLine="640"/>
        <w:jc w:val="both"/>
      </w:pPr>
      <w:r>
        <w:rPr>
          <w:rFonts w:ascii="仿宋_GB2312" w:hAnsi="仿宋_GB2312" w:eastAsia="仿宋_GB2312"/>
          <w:b w:val="0"/>
          <w:sz w:val="32"/>
        </w:rPr>
        <w:t>8.农林水支出(类)巩固脱贫攻坚成果衔接乡村振兴(款)农村基础设施建设(项):支出决算数为30.00万元，比上年决算增加30.00万元，增长100.00%,主要原因是：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科目调整，改善人居环境二期路灯采购及安装项目从少数民族地区游牧民定居工程调整至本科目，因此经费增加。</w:t>
      </w:r>
    </w:p>
    <w:p w14:paraId="658144F7">
      <w:pPr>
        <w:spacing w:line="580" w:lineRule="exact"/>
        <w:ind w:firstLine="640"/>
        <w:jc w:val="both"/>
      </w:pPr>
      <w:r>
        <w:rPr>
          <w:rFonts w:ascii="仿宋_GB2312" w:hAnsi="仿宋_GB2312" w:eastAsia="仿宋_GB2312"/>
          <w:b w:val="0"/>
          <w:sz w:val="32"/>
        </w:rPr>
        <w:t>9.住房保障支出(类)保障性安居工程支出(款)少数民族地区游牧民定居工程(项):支出决算数为0.00万元，比上年决算减少74.69万元，下降100.00%,主要原因是：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科目调整，改善人居环境二期路灯采购及安装项目调整至农村基础设施建设科目，因此经费减少。</w:t>
      </w:r>
    </w:p>
    <w:p w14:paraId="4A86A87E">
      <w:pPr>
        <w:spacing w:line="580" w:lineRule="exact"/>
        <w:ind w:firstLine="640"/>
        <w:jc w:val="both"/>
      </w:pPr>
      <w:r>
        <w:rPr>
          <w:rFonts w:ascii="仿宋_GB2312" w:hAnsi="仿宋_GB2312" w:eastAsia="仿宋_GB2312"/>
          <w:b w:val="0"/>
          <w:sz w:val="32"/>
        </w:rPr>
        <w:t>10.住房保障支出(类)保障性安居工程支出(款)农村危房改造(项):支出决算数为2,321.96万元，比上年决算增加2,286.94万元，增长6,530.38%,主要原因是：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增加农村抗震防灾工程建设项目。</w:t>
      </w:r>
    </w:p>
    <w:p w14:paraId="02612D65">
      <w:pPr>
        <w:spacing w:line="580" w:lineRule="exact"/>
        <w:ind w:firstLine="640"/>
        <w:jc w:val="both"/>
      </w:pPr>
      <w:r>
        <w:rPr>
          <w:rFonts w:ascii="仿宋_GB2312" w:hAnsi="仿宋_GB2312" w:eastAsia="仿宋_GB2312"/>
          <w:b w:val="0"/>
          <w:sz w:val="32"/>
        </w:rPr>
        <w:t>11.住房保障支出(类)住房改革支出(款)住房公积金(项):支出决算数为10.78万元，比上年决算增加1.12万元，增长11.59%,主要原因是：本年在职人员工资基数调增，公积金缴费基数上涨，相应支出增加。</w:t>
      </w:r>
    </w:p>
    <w:p w14:paraId="118F458E">
      <w:pPr>
        <w:spacing w:line="640" w:lineRule="exact"/>
        <w:ind w:firstLine="640"/>
        <w:jc w:val="both"/>
        <w:outlineLvl w:val="2"/>
      </w:pPr>
      <w:r>
        <w:rPr>
          <w:rFonts w:ascii="黑体" w:hAnsi="黑体" w:eastAsia="黑体"/>
          <w:sz w:val="32"/>
        </w:rPr>
        <w:t>六、一般公共预算财政拨款基本支出决算情况说明</w:t>
      </w:r>
    </w:p>
    <w:p w14:paraId="47BD456D">
      <w:pPr>
        <w:spacing w:line="580" w:lineRule="exact"/>
        <w:ind w:firstLine="640"/>
        <w:jc w:val="both"/>
      </w:pPr>
      <w:r>
        <w:rPr>
          <w:rFonts w:ascii="仿宋_GB2312" w:hAnsi="仿宋_GB2312" w:eastAsia="仿宋_GB2312"/>
          <w:b w:val="0"/>
          <w:sz w:val="32"/>
        </w:rPr>
        <w:t>2024年度一般公共预算财政拨款基本支出136.72万元，其中：</w:t>
      </w:r>
      <w:r>
        <w:rPr>
          <w:rFonts w:ascii="仿宋_GB2312" w:hAnsi="仿宋_GB2312" w:eastAsia="仿宋_GB2312"/>
          <w:b/>
          <w:sz w:val="32"/>
        </w:rPr>
        <w:t>人员经费131.77万元，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22A2BD72">
      <w:pPr>
        <w:spacing w:line="580" w:lineRule="exact"/>
        <w:ind w:firstLine="640"/>
        <w:jc w:val="both"/>
      </w:pPr>
      <w:r>
        <w:rPr>
          <w:rFonts w:ascii="仿宋_GB2312" w:hAnsi="仿宋_GB2312" w:eastAsia="仿宋_GB2312"/>
          <w:b/>
          <w:sz w:val="32"/>
        </w:rPr>
        <w:t>公用经费4.95万元，</w:t>
      </w:r>
      <w:r>
        <w:rPr>
          <w:rFonts w:ascii="仿宋_GB2312" w:hAnsi="仿宋_GB2312" w:eastAsia="仿宋_GB2312"/>
          <w:b w:val="0"/>
          <w:sz w:val="32"/>
        </w:rPr>
        <w:t>包括：办公费、电费、公务用车运行维护费。</w:t>
      </w:r>
    </w:p>
    <w:p w14:paraId="12DD7F60">
      <w:pPr>
        <w:spacing w:line="640" w:lineRule="exact"/>
        <w:ind w:firstLine="640"/>
        <w:jc w:val="both"/>
        <w:outlineLvl w:val="2"/>
      </w:pPr>
      <w:r>
        <w:rPr>
          <w:rFonts w:ascii="黑体" w:hAnsi="黑体" w:eastAsia="黑体"/>
          <w:sz w:val="32"/>
        </w:rPr>
        <w:t>七、政府性基金预算财政拨款收入支出决算情况说明</w:t>
      </w:r>
    </w:p>
    <w:p w14:paraId="56264937">
      <w:pPr>
        <w:spacing w:line="580" w:lineRule="exact"/>
        <w:ind w:firstLine="640"/>
        <w:jc w:val="both"/>
      </w:pPr>
      <w:r>
        <w:rPr>
          <w:rFonts w:ascii="仿宋_GB2312" w:hAnsi="仿宋_GB2312" w:eastAsia="仿宋_GB2312"/>
          <w:b/>
          <w:sz w:val="32"/>
        </w:rPr>
        <w:t>2024年度政府性基金预算财政拨款收入总计10.00万元，</w:t>
      </w:r>
      <w:r>
        <w:rPr>
          <w:rFonts w:ascii="仿宋_GB2312" w:hAnsi="仿宋_GB2312" w:eastAsia="仿宋_GB2312"/>
          <w:b w:val="0"/>
          <w:sz w:val="32"/>
        </w:rPr>
        <w:t>其中：年初结转和结余0.00万元，本年收入10.00万元。</w:t>
      </w:r>
      <w:r>
        <w:rPr>
          <w:rFonts w:ascii="仿宋_GB2312" w:hAnsi="仿宋_GB2312" w:eastAsia="仿宋_GB2312"/>
          <w:b/>
          <w:sz w:val="32"/>
        </w:rPr>
        <w:t>政府性基金预算财政拨款支出总计10.00万元，</w:t>
      </w:r>
      <w:r>
        <w:rPr>
          <w:rFonts w:ascii="仿宋_GB2312" w:hAnsi="仿宋_GB2312" w:eastAsia="仿宋_GB2312"/>
          <w:b w:val="0"/>
          <w:sz w:val="32"/>
        </w:rPr>
        <w:t>其中：年末结转和结余0.00万元，本年支出10.00万元。</w:t>
      </w:r>
    </w:p>
    <w:p w14:paraId="465974F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减少90.00万元，下降90.00%，主要原因是：本年改善人居环境二期路灯采购及安装项目资金较上年减少。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年初预算数0.00万元，决算数10.00万元，预决算差异率100.00%，主要原因是：年中追加改善人居环境二期路灯采购项目，导致预决算存在差异。</w:t>
      </w:r>
    </w:p>
    <w:p w14:paraId="1454F4B3">
      <w:pPr>
        <w:spacing w:line="580" w:lineRule="exact"/>
        <w:ind w:firstLine="640"/>
        <w:jc w:val="both"/>
      </w:pPr>
      <w:r>
        <w:rPr>
          <w:rFonts w:ascii="仿宋_GB2312" w:hAnsi="仿宋_GB2312" w:eastAsia="仿宋_GB2312"/>
          <w:b w:val="0"/>
          <w:sz w:val="32"/>
        </w:rPr>
        <w:t>政府性基金预算财政拨款支出10.00万元。</w:t>
      </w:r>
    </w:p>
    <w:p w14:paraId="118B7FF3">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10.00万元，比上年决算减少90.00万元，下降90.00%,主要原因是：本年改善人居环境二期路灯采购及安装项目资金较上年减少。</w:t>
      </w:r>
    </w:p>
    <w:p w14:paraId="2F0B93FA">
      <w:pPr>
        <w:spacing w:line="640" w:lineRule="exact"/>
        <w:ind w:firstLine="640"/>
        <w:jc w:val="both"/>
        <w:outlineLvl w:val="2"/>
      </w:pPr>
      <w:r>
        <w:rPr>
          <w:rFonts w:ascii="黑体" w:hAnsi="黑体" w:eastAsia="黑体"/>
          <w:sz w:val="32"/>
        </w:rPr>
        <w:t>八、国有资本经营预算财政拨款收入支出决算情况说明</w:t>
      </w:r>
    </w:p>
    <w:p w14:paraId="541F7F3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0A70189">
      <w:pPr>
        <w:spacing w:line="640" w:lineRule="exact"/>
        <w:ind w:firstLine="640"/>
        <w:jc w:val="both"/>
        <w:outlineLvl w:val="2"/>
      </w:pPr>
      <w:r>
        <w:rPr>
          <w:rFonts w:ascii="黑体" w:hAnsi="黑体" w:eastAsia="黑体"/>
          <w:sz w:val="32"/>
        </w:rPr>
        <w:t>九、财政拨款“三公”经费支出决算情况说明</w:t>
      </w:r>
    </w:p>
    <w:p w14:paraId="73D03E41">
      <w:pPr>
        <w:spacing w:line="580" w:lineRule="exact"/>
        <w:ind w:firstLine="640"/>
        <w:jc w:val="both"/>
      </w:pPr>
      <w:r>
        <w:rPr>
          <w:rFonts w:ascii="仿宋_GB2312" w:hAnsi="仿宋_GB2312" w:eastAsia="仿宋_GB2312"/>
          <w:b/>
          <w:sz w:val="32"/>
        </w:rPr>
        <w:t>2024年度财政拨款“三公”经费支出3.60万元，</w:t>
      </w:r>
      <w:r>
        <w:rPr>
          <w:rFonts w:ascii="仿宋_GB2312" w:hAnsi="仿宋_GB2312" w:eastAsia="仿宋_GB2312"/>
          <w:b w:val="0"/>
          <w:sz w:val="32"/>
        </w:rPr>
        <w:t>比上年增加2.47万元，增长218.58%，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3.60万元，占100.00%，比上年增加2.47万元，增长218.58%，主要原因是：本年因业务需求，用车次数增加，燃油费增加，导致公务用车运行维护费较上年增加。公务接待费支出0.00万元，占0.00%，比上年增加0.00万元，增长0.00%，主要原因是：2023年与2024年均未安排公务接待费支出。</w:t>
      </w:r>
    </w:p>
    <w:p w14:paraId="6E558B4C">
      <w:pPr>
        <w:spacing w:line="580" w:lineRule="exact"/>
        <w:ind w:firstLine="640"/>
        <w:jc w:val="both"/>
      </w:pPr>
      <w:r>
        <w:rPr>
          <w:rFonts w:ascii="仿宋_GB2312" w:hAnsi="仿宋_GB2312" w:eastAsia="仿宋_GB2312"/>
          <w:b/>
          <w:sz w:val="32"/>
        </w:rPr>
        <w:t>具体情况如下：</w:t>
      </w:r>
    </w:p>
    <w:p w14:paraId="5E945AD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87080F5">
      <w:pPr>
        <w:spacing w:line="580" w:lineRule="exact"/>
        <w:ind w:firstLine="640"/>
        <w:jc w:val="both"/>
      </w:pPr>
      <w:r>
        <w:rPr>
          <w:rFonts w:ascii="仿宋_GB2312" w:hAnsi="仿宋_GB2312" w:eastAsia="仿宋_GB2312"/>
          <w:b w:val="0"/>
          <w:sz w:val="32"/>
        </w:rPr>
        <w:t>公务用车购置及运行维护费3.60万元，其中：公务用车购置费0.00万元，公务用车运行维护费3.60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3310198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5B5144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3.60万元，决算数3.60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3.60万元，决算数3.60万元，预决算差异率0.00%，主要原因是：严格按照预算执行，预决算无差异。公务接待费全年预算数0.00万元，决算数0.00万元，预决算差异率0.00%，主要原因是：本单位无公务接待费。</w:t>
      </w:r>
    </w:p>
    <w:p w14:paraId="6F4F6730">
      <w:pPr>
        <w:spacing w:line="640" w:lineRule="exact"/>
        <w:ind w:firstLine="640"/>
        <w:jc w:val="both"/>
        <w:outlineLvl w:val="2"/>
      </w:pPr>
      <w:r>
        <w:rPr>
          <w:rFonts w:ascii="黑体" w:hAnsi="黑体" w:eastAsia="黑体"/>
          <w:sz w:val="32"/>
        </w:rPr>
        <w:t>十、其他重要事项的情况说明</w:t>
      </w:r>
    </w:p>
    <w:p w14:paraId="058BF878">
      <w:pPr>
        <w:spacing w:line="640" w:lineRule="exact"/>
        <w:ind w:firstLine="640"/>
        <w:jc w:val="both"/>
        <w:outlineLvl w:val="3"/>
      </w:pPr>
      <w:r>
        <w:rPr>
          <w:rFonts w:ascii="楷体_GB2312" w:hAnsi="楷体_GB2312" w:eastAsia="楷体_GB2312"/>
          <w:b/>
          <w:sz w:val="32"/>
        </w:rPr>
        <w:t>（一）机关运行经费及公用经费支出情况</w:t>
      </w:r>
    </w:p>
    <w:p w14:paraId="41C70ABB">
      <w:pPr>
        <w:spacing w:line="580" w:lineRule="exact"/>
        <w:ind w:firstLine="640"/>
        <w:jc w:val="both"/>
      </w:pPr>
      <w:r>
        <w:rPr>
          <w:rFonts w:ascii="仿宋_GB2312" w:hAnsi="仿宋_GB2312" w:eastAsia="仿宋_GB2312"/>
          <w:b w:val="0"/>
          <w:sz w:val="32"/>
        </w:rPr>
        <w:t>2024年度阿克陶县社会主义新农村特色乡镇建设服务中心（事业单位）公用经费支出4.95万元，比上年增加1.88万元，增长61.24%，主要原因是：本年因业务需求，用车次数增加，燃油费增加，导致公务用车运行维护费较上年增加。</w:t>
      </w:r>
    </w:p>
    <w:p w14:paraId="3558A050">
      <w:pPr>
        <w:spacing w:line="640" w:lineRule="exact"/>
        <w:ind w:firstLine="640"/>
        <w:jc w:val="both"/>
        <w:outlineLvl w:val="3"/>
      </w:pPr>
      <w:r>
        <w:rPr>
          <w:rFonts w:ascii="楷体_GB2312" w:hAnsi="楷体_GB2312" w:eastAsia="楷体_GB2312"/>
          <w:b/>
          <w:sz w:val="32"/>
        </w:rPr>
        <w:t>（二）政府采购情况</w:t>
      </w:r>
    </w:p>
    <w:p w14:paraId="7A1DAE64">
      <w:pPr>
        <w:spacing w:line="580" w:lineRule="exact"/>
        <w:ind w:firstLine="640"/>
        <w:jc w:val="both"/>
      </w:pPr>
      <w:r>
        <w:rPr>
          <w:rFonts w:ascii="仿宋_GB2312" w:hAnsi="仿宋_GB2312" w:eastAsia="仿宋_GB2312"/>
          <w:b w:val="0"/>
          <w:sz w:val="32"/>
        </w:rPr>
        <w:t>2024年度政府采购支出总额0.61万元，其中：政府采购货物支出0.00万元、政府采购工程支出0.00万元、政府采购服务支出0.61万元。</w:t>
      </w:r>
    </w:p>
    <w:p w14:paraId="70F0A95D">
      <w:pPr>
        <w:spacing w:line="580" w:lineRule="exact"/>
        <w:ind w:firstLine="640"/>
        <w:jc w:val="both"/>
      </w:pPr>
      <w:r>
        <w:rPr>
          <w:rFonts w:ascii="仿宋_GB2312" w:hAnsi="仿宋_GB2312" w:eastAsia="仿宋_GB2312"/>
          <w:b w:val="0"/>
          <w:sz w:val="32"/>
        </w:rPr>
        <w:t>授予中小企业合同金额0.14万元，占政府采购支出总额的22.95%，其中：授予小微企业合同金额0.14万元，占政府采购支出总额的22.95%。</w:t>
      </w:r>
    </w:p>
    <w:p w14:paraId="7CF9269B">
      <w:pPr>
        <w:spacing w:line="640" w:lineRule="exact"/>
        <w:ind w:firstLine="640"/>
        <w:jc w:val="both"/>
        <w:outlineLvl w:val="3"/>
      </w:pPr>
      <w:r>
        <w:rPr>
          <w:rFonts w:ascii="楷体_GB2312" w:hAnsi="楷体_GB2312" w:eastAsia="楷体_GB2312"/>
          <w:b/>
          <w:sz w:val="32"/>
        </w:rPr>
        <w:t>（三）国有资产占用情况说明</w:t>
      </w:r>
    </w:p>
    <w:p w14:paraId="2A9C302C">
      <w:pPr>
        <w:spacing w:line="580" w:lineRule="exact"/>
        <w:ind w:firstLine="640"/>
        <w:jc w:val="both"/>
      </w:pPr>
      <w:r>
        <w:rPr>
          <w:rFonts w:ascii="仿宋_GB2312" w:hAnsi="仿宋_GB2312" w:eastAsia="仿宋_GB2312"/>
          <w:b w:val="0"/>
          <w:sz w:val="32"/>
        </w:rPr>
        <w:t>截至2024年12月31日，房屋0.00平方米，价值0.00万元。车辆2辆，价值33.08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7FD78C32">
      <w:pPr>
        <w:spacing w:line="640" w:lineRule="exact"/>
        <w:ind w:firstLine="640"/>
        <w:jc w:val="both"/>
        <w:outlineLvl w:val="2"/>
      </w:pPr>
      <w:r>
        <w:rPr>
          <w:rFonts w:ascii="黑体" w:hAnsi="黑体" w:eastAsia="黑体"/>
          <w:sz w:val="32"/>
        </w:rPr>
        <w:t>十一、预算绩效的情况说明</w:t>
      </w:r>
    </w:p>
    <w:p w14:paraId="4ACA4DF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2,649.00万元，实际执行总额2,618.93万元；预算绩效评价项目1个，全年预算数1.50万元，全年执行数1.50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学习，提高对绩效管理的认识，提高对绩效管理的重视度，对相关人员进行培训与宣传，树立事前、事中、事后全过程的监督评价机制。二是建立明确的绩效管理计划，绩效计划应对执行绩效管理作出深入细致的规划，保证各个环节有人负责，保证整个绩效管理过程可以追踪和考核。具体附整体支出绩效自评表，项目支出绩效自评表和评价报告。</w:t>
      </w:r>
    </w:p>
    <w:p w14:paraId="50D41E4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A6A8D43">
        <w:tblPrEx>
          <w:tblCellMar>
            <w:top w:w="0" w:type="dxa"/>
            <w:left w:w="108" w:type="dxa"/>
            <w:bottom w:w="0" w:type="dxa"/>
            <w:right w:w="108" w:type="dxa"/>
          </w:tblCellMar>
        </w:tblPrEx>
        <w:tc>
          <w:tcPr>
            <w:tcW w:w="8840" w:type="dxa"/>
            <w:gridSpan w:val="8"/>
            <w:vAlign w:val="center"/>
          </w:tcPr>
          <w:p w14:paraId="435036E2">
            <w:pPr>
              <w:jc w:val="center"/>
            </w:pPr>
            <w:r>
              <w:rPr>
                <w:rFonts w:ascii="宋体" w:hAnsi="宋体" w:eastAsia="宋体"/>
                <w:sz w:val="24"/>
              </w:rPr>
              <w:t>单位整体支出绩效自评表</w:t>
            </w:r>
          </w:p>
        </w:tc>
      </w:tr>
      <w:tr w14:paraId="390B86EF">
        <w:tblPrEx>
          <w:tblCellMar>
            <w:top w:w="0" w:type="dxa"/>
            <w:left w:w="108" w:type="dxa"/>
            <w:bottom w:w="0" w:type="dxa"/>
            <w:right w:w="108" w:type="dxa"/>
          </w:tblCellMar>
        </w:tblPrEx>
        <w:tc>
          <w:tcPr>
            <w:tcW w:w="8840" w:type="dxa"/>
            <w:gridSpan w:val="8"/>
            <w:vAlign w:val="center"/>
          </w:tcPr>
          <w:p w14:paraId="137CC763">
            <w:pPr>
              <w:jc w:val="center"/>
            </w:pPr>
            <w:r>
              <w:rPr>
                <w:rFonts w:ascii="宋体" w:hAnsi="宋体" w:eastAsia="宋体"/>
                <w:sz w:val="24"/>
              </w:rPr>
              <w:t>（2024年度）</w:t>
            </w:r>
          </w:p>
        </w:tc>
      </w:tr>
      <w:tr w14:paraId="3CC7A5E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BA20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1264B1">
            <w:pPr>
              <w:jc w:val="center"/>
            </w:pPr>
            <w:r>
              <w:rPr>
                <w:rFonts w:ascii="宋体" w:hAnsi="宋体" w:eastAsia="宋体"/>
                <w:sz w:val="16"/>
              </w:rPr>
              <w:t>阿克陶县社会主义新农村特色乡镇建设服务中心</w:t>
            </w:r>
          </w:p>
        </w:tc>
      </w:tr>
      <w:tr w14:paraId="730F68A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934405">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99A7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0D6D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DDE60">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F41E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0B7D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CA0B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A25F0">
            <w:pPr>
              <w:jc w:val="center"/>
            </w:pPr>
            <w:r>
              <w:rPr>
                <w:rFonts w:ascii="宋体" w:hAnsi="宋体" w:eastAsia="宋体"/>
                <w:sz w:val="16"/>
              </w:rPr>
              <w:t>得分</w:t>
            </w:r>
          </w:p>
        </w:tc>
      </w:tr>
      <w:tr w14:paraId="4B27EE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55D7B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BF37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083B7">
            <w:pPr>
              <w:jc w:val="center"/>
            </w:pPr>
            <w:r>
              <w:rPr>
                <w:rFonts w:ascii="宋体" w:hAnsi="宋体" w:eastAsia="宋体"/>
                <w:sz w:val="16"/>
              </w:rPr>
              <w:t>179.57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F2BDB">
            <w:pPr>
              <w:jc w:val="center"/>
            </w:pPr>
            <w:r>
              <w:rPr>
                <w:rFonts w:ascii="宋体" w:hAnsi="宋体" w:eastAsia="宋体"/>
                <w:sz w:val="16"/>
              </w:rPr>
              <w:t>2,649.00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51FE6">
            <w:pPr>
              <w:jc w:val="center"/>
            </w:pPr>
            <w:r>
              <w:rPr>
                <w:rFonts w:ascii="宋体" w:hAnsi="宋体" w:eastAsia="宋体"/>
                <w:sz w:val="16"/>
              </w:rPr>
              <w:t>2,618.93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F472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5B96E">
            <w:pPr>
              <w:jc w:val="center"/>
            </w:pPr>
            <w:r>
              <w:rPr>
                <w:rFonts w:ascii="宋体" w:hAnsi="宋体" w:eastAsia="宋体"/>
                <w:sz w:val="16"/>
              </w:rPr>
              <w:t>98.86%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02951">
            <w:pPr>
              <w:jc w:val="center"/>
            </w:pPr>
            <w:r>
              <w:rPr>
                <w:rFonts w:ascii="宋体" w:hAnsi="宋体" w:eastAsia="宋体"/>
                <w:sz w:val="16"/>
              </w:rPr>
              <w:t>9.89</w:t>
            </w:r>
          </w:p>
        </w:tc>
      </w:tr>
      <w:tr w14:paraId="20CF41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6C95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FC6F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A1E38">
            <w:pPr>
              <w:jc w:val="center"/>
            </w:pPr>
            <w:r>
              <w:rPr>
                <w:rFonts w:ascii="宋体" w:hAnsi="宋体" w:eastAsia="宋体"/>
                <w:sz w:val="16"/>
              </w:rPr>
              <w:t>41.20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C2D9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1585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6A165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5A16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0073B0">
            <w:pPr>
              <w:jc w:val="center"/>
            </w:pPr>
            <w:r>
              <w:rPr>
                <w:rFonts w:ascii="宋体" w:hAnsi="宋体" w:eastAsia="宋体"/>
                <w:sz w:val="16"/>
              </w:rPr>
              <w:t>—</w:t>
            </w:r>
          </w:p>
        </w:tc>
      </w:tr>
      <w:tr w14:paraId="646316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99B0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7222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9E973">
            <w:pPr>
              <w:jc w:val="center"/>
            </w:pPr>
            <w:r>
              <w:rPr>
                <w:rFonts w:ascii="宋体" w:hAnsi="宋体" w:eastAsia="宋体"/>
                <w:sz w:val="16"/>
              </w:rPr>
              <w:t>138.37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931BB">
            <w:pPr>
              <w:jc w:val="center"/>
            </w:pPr>
            <w:r>
              <w:rPr>
                <w:rFonts w:ascii="宋体" w:hAnsi="宋体" w:eastAsia="宋体"/>
                <w:sz w:val="16"/>
              </w:rPr>
              <w:t>2,649.00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7B030">
            <w:pPr>
              <w:jc w:val="center"/>
            </w:pPr>
            <w:r>
              <w:rPr>
                <w:rFonts w:ascii="宋体" w:hAnsi="宋体" w:eastAsia="宋体"/>
                <w:sz w:val="16"/>
              </w:rPr>
              <w:t>2,618.93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894A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915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2EBE2">
            <w:pPr>
              <w:jc w:val="center"/>
            </w:pPr>
            <w:r>
              <w:rPr>
                <w:rFonts w:ascii="宋体" w:hAnsi="宋体" w:eastAsia="宋体"/>
                <w:sz w:val="16"/>
              </w:rPr>
              <w:t>—</w:t>
            </w:r>
          </w:p>
        </w:tc>
      </w:tr>
      <w:tr w14:paraId="7CC188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22016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BDFE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1810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BC77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C43D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3577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D96A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851F7">
            <w:pPr>
              <w:jc w:val="center"/>
            </w:pPr>
            <w:r>
              <w:rPr>
                <w:rFonts w:ascii="宋体" w:hAnsi="宋体" w:eastAsia="宋体"/>
                <w:sz w:val="16"/>
              </w:rPr>
              <w:t>—</w:t>
            </w:r>
          </w:p>
        </w:tc>
      </w:tr>
      <w:tr w14:paraId="5E023C9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07FA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82DAD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EC60C1">
            <w:pPr>
              <w:jc w:val="center"/>
            </w:pPr>
            <w:r>
              <w:rPr>
                <w:rFonts w:ascii="宋体" w:hAnsi="宋体" w:eastAsia="宋体"/>
                <w:sz w:val="16"/>
              </w:rPr>
              <w:t>实际完成情况</w:t>
            </w:r>
          </w:p>
        </w:tc>
      </w:tr>
      <w:tr w14:paraId="45A1C9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C9580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938A8F">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w:t>
            </w:r>
            <w:bookmarkStart w:id="0" w:name="_GoBack"/>
            <w:bookmarkEnd w:id="0"/>
            <w:r>
              <w:rPr>
                <w:rFonts w:ascii="宋体" w:hAnsi="宋体" w:eastAsia="宋体"/>
                <w:sz w:val="16"/>
              </w:rPr>
              <w:t>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170169">
            <w:pPr>
              <w:jc w:val="both"/>
            </w:pPr>
            <w:r>
              <w:rPr>
                <w:rFonts w:ascii="宋体" w:hAnsi="宋体" w:eastAsia="宋体"/>
                <w:sz w:val="16"/>
              </w:rPr>
              <w:t>确保了在职人员5人的工资、津贴、补贴、社保、医保、公积金等以及长期临聘人员1人工资等人员保障性经费能够依规、按时、足额发放或缴纳，提升部门人员工作积极性和服务质量；危房改造后验收合格率100%，危房居住比例2.7%，保障部门单位正常履职和各项政策的有效实施，加强单位的社会主义民主法制建设和精神文明建设；加强民族团结维护社会稳定。</w:t>
            </w:r>
          </w:p>
        </w:tc>
      </w:tr>
      <w:tr w14:paraId="4FCF0F0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DF28E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3229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185E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B8B6E">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984F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4CDB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765F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8034A">
            <w:pPr>
              <w:jc w:val="center"/>
            </w:pPr>
            <w:r>
              <w:rPr>
                <w:rFonts w:ascii="宋体" w:hAnsi="宋体" w:eastAsia="宋体"/>
                <w:sz w:val="16"/>
              </w:rPr>
              <w:t>得分</w:t>
            </w:r>
          </w:p>
        </w:tc>
      </w:tr>
      <w:tr w14:paraId="1EBDBBC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9584C">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3350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A958F">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DF11B">
            <w:pPr>
              <w:jc w:val="center"/>
            </w:pPr>
            <w:r>
              <w:rPr>
                <w:rFonts w:ascii="宋体" w:hAnsi="宋体" w:eastAsia="宋体"/>
                <w:sz w:val="16"/>
              </w:rPr>
              <w:t>&gt;=6人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D1B5E">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CE142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C46AA">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BE4FB">
            <w:pPr>
              <w:jc w:val="center"/>
            </w:pPr>
            <w:r>
              <w:rPr>
                <w:rFonts w:ascii="宋体" w:hAnsi="宋体" w:eastAsia="宋体"/>
                <w:sz w:val="16"/>
              </w:rPr>
              <w:t>8</w:t>
            </w:r>
          </w:p>
        </w:tc>
      </w:tr>
      <w:tr w14:paraId="1580AC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77F13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DFA3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34C39">
            <w:pPr>
              <w:jc w:val="center"/>
            </w:pPr>
            <w:r>
              <w:rPr>
                <w:rFonts w:ascii="宋体" w:hAnsi="宋体" w:eastAsia="宋体"/>
                <w:sz w:val="16"/>
              </w:rPr>
              <w:t>人员工资福利支出预算保障退休人员人数（人）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30C81">
            <w:pPr>
              <w:jc w:val="center"/>
            </w:pPr>
            <w:r>
              <w:rPr>
                <w:rFonts w:ascii="宋体" w:hAnsi="宋体" w:eastAsia="宋体"/>
                <w:sz w:val="16"/>
              </w:rPr>
              <w:t>&gt;=2人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41C16">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36D02">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F56C3">
            <w:pPr>
              <w:jc w:val="center"/>
            </w:pPr>
            <w:r>
              <w:rPr>
                <w:rFonts w:ascii="宋体" w:hAnsi="宋体" w:eastAsia="宋体"/>
                <w:sz w:val="16"/>
              </w:rPr>
              <w:t>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D8E6F9">
            <w:pPr>
              <w:jc w:val="center"/>
            </w:pPr>
            <w:r>
              <w:rPr>
                <w:rFonts w:ascii="宋体" w:hAnsi="宋体" w:eastAsia="宋体"/>
                <w:sz w:val="16"/>
              </w:rPr>
              <w:t>8</w:t>
            </w:r>
          </w:p>
        </w:tc>
      </w:tr>
      <w:tr w14:paraId="1742A8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2F7CEF"/>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5F8CD">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8513A">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30BBF">
            <w:pPr>
              <w:jc w:val="center"/>
            </w:pPr>
            <w:r>
              <w:rPr>
                <w:rFonts w:ascii="宋体" w:hAnsi="宋体" w:eastAsia="宋体"/>
                <w:sz w:val="16"/>
              </w:rPr>
              <w:t>&lt;=130.30万元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B0833">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5C88AC">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B3356">
            <w:pPr>
              <w:jc w:val="center"/>
            </w:pPr>
            <w:r>
              <w:rPr>
                <w:rFonts w:ascii="宋体" w:hAnsi="宋体" w:eastAsia="宋体"/>
                <w:sz w:val="16"/>
              </w:rPr>
              <w:t>131.77万元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9C746">
            <w:pPr>
              <w:jc w:val="center"/>
            </w:pPr>
            <w:r>
              <w:rPr>
                <w:rFonts w:ascii="宋体" w:hAnsi="宋体" w:eastAsia="宋体"/>
                <w:sz w:val="16"/>
              </w:rPr>
              <w:t>8.9</w:t>
            </w:r>
          </w:p>
        </w:tc>
      </w:tr>
      <w:tr w14:paraId="669CF6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1ECA5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5EA1D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8934B">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2ED9E">
            <w:pPr>
              <w:jc w:val="center"/>
            </w:pPr>
            <w:r>
              <w:rPr>
                <w:rFonts w:ascii="宋体" w:hAnsi="宋体" w:eastAsia="宋体"/>
                <w:sz w:val="16"/>
              </w:rPr>
              <w:t>&lt;=6.58万元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36241">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D58F6">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7E939">
            <w:pPr>
              <w:jc w:val="center"/>
            </w:pPr>
            <w:r>
              <w:rPr>
                <w:rFonts w:ascii="宋体" w:hAnsi="宋体" w:eastAsia="宋体"/>
                <w:sz w:val="16"/>
              </w:rPr>
              <w:t>5.01万元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2328C">
            <w:pPr>
              <w:jc w:val="center"/>
            </w:pPr>
            <w:r>
              <w:rPr>
                <w:rFonts w:ascii="宋体" w:hAnsi="宋体" w:eastAsia="宋体"/>
                <w:sz w:val="16"/>
              </w:rPr>
              <w:t>6.85</w:t>
            </w:r>
          </w:p>
        </w:tc>
      </w:tr>
      <w:tr w14:paraId="6326F6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50C47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E5CE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6F85F">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DD4A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DA4CA7">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6EB72">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DBFB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2EE96">
            <w:pPr>
              <w:jc w:val="center"/>
            </w:pPr>
            <w:r>
              <w:rPr>
                <w:rFonts w:ascii="宋体" w:hAnsi="宋体" w:eastAsia="宋体"/>
                <w:sz w:val="16"/>
              </w:rPr>
              <w:t>9</w:t>
            </w:r>
          </w:p>
        </w:tc>
      </w:tr>
      <w:tr w14:paraId="629CF4E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DD876">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7C668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A80129">
            <w:pPr>
              <w:jc w:val="center"/>
            </w:pPr>
            <w:r>
              <w:rPr>
                <w:rFonts w:ascii="宋体" w:hAnsi="宋体" w:eastAsia="宋体"/>
                <w:sz w:val="16"/>
              </w:rPr>
              <w:t>危房改造后验收合格率（%）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872A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E2C55">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F6544">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6987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5C2F8">
            <w:pPr>
              <w:jc w:val="center"/>
            </w:pPr>
            <w:r>
              <w:rPr>
                <w:rFonts w:ascii="宋体" w:hAnsi="宋体" w:eastAsia="宋体"/>
                <w:sz w:val="16"/>
              </w:rPr>
              <w:t>9</w:t>
            </w:r>
          </w:p>
        </w:tc>
      </w:tr>
      <w:tr w14:paraId="613C265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CB658">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60613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DA26E">
            <w:pPr>
              <w:jc w:val="center"/>
            </w:pPr>
            <w:r>
              <w:rPr>
                <w:rFonts w:ascii="宋体" w:hAnsi="宋体" w:eastAsia="宋体"/>
                <w:sz w:val="16"/>
              </w:rPr>
              <w:t>危房居住比例（%）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D1842">
            <w:pPr>
              <w:jc w:val="center"/>
            </w:pPr>
            <w:r>
              <w:rPr>
                <w:rFonts w:ascii="宋体" w:hAnsi="宋体" w:eastAsia="宋体"/>
                <w:sz w:val="16"/>
              </w:rPr>
              <w:t>&lt;=3%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E2E8D">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085C3">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90DBB">
            <w:pPr>
              <w:jc w:val="center"/>
            </w:pPr>
            <w:r>
              <w:rPr>
                <w:rFonts w:ascii="宋体" w:hAnsi="宋体" w:eastAsia="宋体"/>
                <w:sz w:val="16"/>
              </w:rPr>
              <w:t>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1B427A">
            <w:pPr>
              <w:jc w:val="center"/>
            </w:pPr>
            <w:r>
              <w:rPr>
                <w:rFonts w:ascii="宋体" w:hAnsi="宋体" w:eastAsia="宋体"/>
                <w:sz w:val="16"/>
              </w:rPr>
              <w:t>9</w:t>
            </w:r>
          </w:p>
        </w:tc>
      </w:tr>
      <w:tr w14:paraId="5952CC5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0BFB9">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9706A">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08144">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B9804">
            <w:pPr>
              <w:jc w:val="center"/>
            </w:pPr>
            <w:r>
              <w:rPr>
                <w:rFonts w:ascii="宋体" w:hAnsi="宋体" w:eastAsia="宋体"/>
                <w:sz w:val="16"/>
              </w:rPr>
              <w:t>有效保障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FCC9B">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A571B">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4540E">
            <w:pPr>
              <w:jc w:val="center"/>
            </w:pPr>
            <w:r>
              <w:rPr>
                <w:rFonts w:ascii="宋体" w:hAnsi="宋体" w:eastAsia="宋体"/>
                <w:sz w:val="16"/>
              </w:rPr>
              <w:t>有效保障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D7944">
            <w:pPr>
              <w:jc w:val="center"/>
            </w:pPr>
            <w:r>
              <w:rPr>
                <w:rFonts w:ascii="宋体" w:hAnsi="宋体" w:eastAsia="宋体"/>
                <w:sz w:val="16"/>
              </w:rPr>
              <w:t>8</w:t>
            </w:r>
          </w:p>
        </w:tc>
      </w:tr>
      <w:tr w14:paraId="252234C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E0E1E">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E00DF">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7E4DB">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4833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8195A">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B4F4BB">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0172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5FCA5">
            <w:pPr>
              <w:jc w:val="center"/>
            </w:pPr>
            <w:r>
              <w:rPr>
                <w:rFonts w:ascii="宋体" w:hAnsi="宋体" w:eastAsia="宋体"/>
                <w:sz w:val="16"/>
              </w:rPr>
              <w:t>7</w:t>
            </w:r>
          </w:p>
        </w:tc>
      </w:tr>
      <w:tr w14:paraId="050826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D604C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404A0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A8ADA">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348C4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97F78">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2B00A">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1FB5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5EB56">
            <w:pPr>
              <w:jc w:val="center"/>
            </w:pPr>
            <w:r>
              <w:rPr>
                <w:rFonts w:ascii="宋体" w:hAnsi="宋体" w:eastAsia="宋体"/>
                <w:sz w:val="16"/>
              </w:rPr>
              <w:t>7</w:t>
            </w:r>
          </w:p>
        </w:tc>
      </w:tr>
      <w:tr w14:paraId="7A270D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BF3A1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4BE8C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89DC0">
            <w:pPr>
              <w:jc w:val="center"/>
            </w:pPr>
            <w:r>
              <w:rPr>
                <w:rFonts w:ascii="宋体" w:hAnsi="宋体" w:eastAsia="宋体"/>
                <w:sz w:val="16"/>
              </w:rPr>
              <w:t>受益人口满意度（%）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FA4E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0CA74">
            <w:pPr>
              <w:jc w:val="center"/>
            </w:pPr>
            <w:r>
              <w:rPr>
                <w:rFonts w:ascii="宋体" w:hAnsi="宋体" w:eastAsia="宋体"/>
                <w:sz w:val="16"/>
              </w:rPr>
              <w:t>实施方案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490DD">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4687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E5F4C">
            <w:pPr>
              <w:jc w:val="center"/>
            </w:pPr>
            <w:r>
              <w:rPr>
                <w:rFonts w:ascii="宋体" w:hAnsi="宋体" w:eastAsia="宋体"/>
                <w:sz w:val="16"/>
              </w:rPr>
              <w:t>7</w:t>
            </w:r>
          </w:p>
        </w:tc>
      </w:tr>
    </w:tbl>
    <w:p w14:paraId="4415FC7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45DDC1A">
        <w:tblPrEx>
          <w:tblCellMar>
            <w:top w:w="0" w:type="dxa"/>
            <w:left w:w="108" w:type="dxa"/>
            <w:bottom w:w="0" w:type="dxa"/>
            <w:right w:w="108" w:type="dxa"/>
          </w:tblCellMar>
        </w:tblPrEx>
        <w:tc>
          <w:tcPr>
            <w:tcW w:w="8848" w:type="dxa"/>
            <w:gridSpan w:val="14"/>
            <w:vAlign w:val="center"/>
          </w:tcPr>
          <w:p w14:paraId="18F5E862">
            <w:pPr>
              <w:jc w:val="center"/>
            </w:pPr>
            <w:r>
              <w:rPr>
                <w:rFonts w:ascii="宋体" w:hAnsi="宋体" w:eastAsia="宋体"/>
                <w:sz w:val="24"/>
              </w:rPr>
              <w:t>项目支出绩效自评表</w:t>
            </w:r>
          </w:p>
        </w:tc>
      </w:tr>
      <w:tr w14:paraId="03B02EAE">
        <w:tblPrEx>
          <w:tblCellMar>
            <w:top w:w="0" w:type="dxa"/>
            <w:left w:w="108" w:type="dxa"/>
            <w:bottom w:w="0" w:type="dxa"/>
            <w:right w:w="108" w:type="dxa"/>
          </w:tblCellMar>
        </w:tblPrEx>
        <w:tc>
          <w:tcPr>
            <w:tcW w:w="8848" w:type="dxa"/>
            <w:gridSpan w:val="14"/>
            <w:vAlign w:val="center"/>
          </w:tcPr>
          <w:p w14:paraId="309D1DA1">
            <w:pPr>
              <w:jc w:val="center"/>
            </w:pPr>
            <w:r>
              <w:rPr>
                <w:rFonts w:ascii="宋体" w:hAnsi="宋体" w:eastAsia="宋体"/>
                <w:sz w:val="24"/>
              </w:rPr>
              <w:t>(2024年度)</w:t>
            </w:r>
          </w:p>
        </w:tc>
      </w:tr>
      <w:tr w14:paraId="738620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735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7377F0">
            <w:pPr>
              <w:jc w:val="center"/>
            </w:pPr>
            <w:r>
              <w:rPr>
                <w:rFonts w:ascii="宋体" w:hAnsi="宋体" w:eastAsia="宋体"/>
                <w:sz w:val="16"/>
              </w:rPr>
              <w:t>2024年县级新农办单位业务保障费</w:t>
            </w:r>
          </w:p>
        </w:tc>
      </w:tr>
      <w:tr w14:paraId="2D21A0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7A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0D6EA5">
            <w:pPr>
              <w:jc w:val="center"/>
            </w:pPr>
            <w:r>
              <w:rPr>
                <w:rFonts w:ascii="宋体" w:hAnsi="宋体" w:eastAsia="宋体"/>
                <w:sz w:val="16"/>
              </w:rPr>
              <w:t>阿克陶县住房和城乡建设局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54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3D61A7">
            <w:pPr>
              <w:jc w:val="center"/>
            </w:pPr>
            <w:r>
              <w:rPr>
                <w:rFonts w:ascii="宋体" w:hAnsi="宋体" w:eastAsia="宋体"/>
                <w:sz w:val="16"/>
              </w:rPr>
              <w:t>阿克陶县社会主义新农村特色乡镇建设服务中心</w:t>
            </w:r>
          </w:p>
        </w:tc>
      </w:tr>
      <w:tr w14:paraId="5E2737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0AF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F9A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6C58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B90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063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4CF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A82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9C36">
            <w:pPr>
              <w:jc w:val="center"/>
            </w:pPr>
            <w:r>
              <w:rPr>
                <w:rFonts w:ascii="宋体" w:hAnsi="宋体" w:eastAsia="宋体"/>
                <w:sz w:val="16"/>
              </w:rPr>
              <w:t>得分</w:t>
            </w:r>
          </w:p>
        </w:tc>
      </w:tr>
      <w:tr w14:paraId="3F73F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113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B0B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612FC">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11D05">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A1628">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03B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ADAB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00F1">
            <w:pPr>
              <w:jc w:val="center"/>
            </w:pPr>
            <w:r>
              <w:rPr>
                <w:rFonts w:ascii="宋体" w:hAnsi="宋体" w:eastAsia="宋体"/>
                <w:sz w:val="16"/>
              </w:rPr>
              <w:t>10.00分</w:t>
            </w:r>
          </w:p>
        </w:tc>
      </w:tr>
      <w:tr w14:paraId="7A0B30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148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36E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CF6DB">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30972">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28E14">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1B5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5C0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314D">
            <w:pPr>
              <w:jc w:val="center"/>
            </w:pPr>
            <w:r>
              <w:rPr>
                <w:rFonts w:ascii="宋体" w:hAnsi="宋体" w:eastAsia="宋体"/>
                <w:sz w:val="16"/>
              </w:rPr>
              <w:t>—</w:t>
            </w:r>
          </w:p>
        </w:tc>
      </w:tr>
      <w:tr w14:paraId="2DD038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15B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E9D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C08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7A8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BD8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ACA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9C4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77C04">
            <w:pPr>
              <w:jc w:val="center"/>
            </w:pPr>
            <w:r>
              <w:rPr>
                <w:rFonts w:ascii="宋体" w:hAnsi="宋体" w:eastAsia="宋体"/>
                <w:sz w:val="16"/>
              </w:rPr>
              <w:t>—</w:t>
            </w:r>
          </w:p>
        </w:tc>
      </w:tr>
      <w:tr w14:paraId="2F82C7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4B0D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36A00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F9D6B5">
            <w:pPr>
              <w:jc w:val="center"/>
            </w:pPr>
            <w:r>
              <w:rPr>
                <w:rFonts w:ascii="宋体" w:hAnsi="宋体" w:eastAsia="宋体"/>
                <w:sz w:val="16"/>
              </w:rPr>
              <w:t>实际完成情况</w:t>
            </w:r>
          </w:p>
        </w:tc>
      </w:tr>
      <w:tr w14:paraId="45A67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B94F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6611C">
            <w:pPr>
              <w:jc w:val="both"/>
            </w:pPr>
            <w:r>
              <w:rPr>
                <w:rFonts w:ascii="宋体" w:hAnsi="宋体" w:eastAsia="宋体"/>
                <w:sz w:val="16"/>
              </w:rPr>
              <w:t>通过实施该项目保障单位正常运行及以便单位正常开展各项业务提供保障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5FB9BC">
            <w:pPr>
              <w:jc w:val="both"/>
            </w:pPr>
            <w:r>
              <w:rPr>
                <w:rFonts w:ascii="宋体" w:hAnsi="宋体" w:eastAsia="宋体"/>
                <w:sz w:val="16"/>
              </w:rPr>
              <w:t>通过实施该项目保障单位正常运行及以便单位正常开展各项业务提供保障。</w:t>
            </w:r>
          </w:p>
        </w:tc>
      </w:tr>
      <w:tr w14:paraId="06CC65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7D58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1F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D33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E8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F15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25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2E5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84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871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F13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020C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C3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C2E54">
            <w:pPr>
              <w:jc w:val="center"/>
            </w:pPr>
            <w:r>
              <w:rPr>
                <w:rFonts w:ascii="宋体" w:hAnsi="宋体" w:eastAsia="宋体"/>
                <w:sz w:val="16"/>
              </w:rPr>
              <w:t>偏差原因分析及改进措施</w:t>
            </w:r>
          </w:p>
        </w:tc>
      </w:tr>
      <w:tr w14:paraId="2C31B0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FBD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EA15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80E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3EAB2">
            <w:pPr>
              <w:jc w:val="center"/>
            </w:pPr>
            <w:r>
              <w:rPr>
                <w:rFonts w:ascii="宋体" w:hAnsi="宋体" w:eastAsia="宋体"/>
                <w:sz w:val="16"/>
              </w:rPr>
              <w:t>购置办公用品（批）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C94D">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691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D4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D6D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44F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EE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88BB">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3BE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1C5B8">
            <w:pPr>
              <w:jc w:val="center"/>
            </w:pPr>
          </w:p>
        </w:tc>
      </w:tr>
      <w:tr w14:paraId="52E363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333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619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3BF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AF2C">
            <w:pPr>
              <w:jc w:val="center"/>
            </w:pPr>
            <w:r>
              <w:rPr>
                <w:rFonts w:ascii="宋体" w:hAnsi="宋体" w:eastAsia="宋体"/>
                <w:sz w:val="16"/>
              </w:rPr>
              <w:t>购置质量合格率（%）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072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D1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39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98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95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DF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095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09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3AE71">
            <w:pPr>
              <w:jc w:val="center"/>
            </w:pPr>
          </w:p>
        </w:tc>
      </w:tr>
      <w:tr w14:paraId="6E6FA9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6A1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D3E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613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700DE">
            <w:pPr>
              <w:jc w:val="center"/>
            </w:pPr>
            <w:r>
              <w:rPr>
                <w:rFonts w:ascii="宋体" w:hAnsi="宋体" w:eastAsia="宋体"/>
                <w:sz w:val="16"/>
              </w:rPr>
              <w:t>购置验收通过率（%）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68E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113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9C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495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41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B2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1A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AC2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95B65">
            <w:pPr>
              <w:jc w:val="center"/>
            </w:pPr>
          </w:p>
        </w:tc>
      </w:tr>
      <w:tr w14:paraId="2CAD19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A88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6BC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2CA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E8503">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9C6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E0F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6C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D9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265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702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07D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B19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A9EA9">
            <w:pPr>
              <w:jc w:val="center"/>
            </w:pPr>
          </w:p>
        </w:tc>
      </w:tr>
      <w:tr w14:paraId="0BC9A5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4DB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A45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BE48E">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EC5B">
            <w:pPr>
              <w:jc w:val="center"/>
            </w:pPr>
            <w:r>
              <w:rPr>
                <w:rFonts w:ascii="宋体" w:hAnsi="宋体" w:eastAsia="宋体"/>
                <w:sz w:val="16"/>
              </w:rPr>
              <w:t>单位购置办公用品成本（万元）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DC53">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F4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47C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261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02E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CE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F3C6">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803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AB2FE">
            <w:pPr>
              <w:jc w:val="center"/>
            </w:pPr>
          </w:p>
        </w:tc>
      </w:tr>
      <w:tr w14:paraId="662FEB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70B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5A76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A5D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2477">
            <w:pPr>
              <w:jc w:val="center"/>
            </w:pPr>
            <w:r>
              <w:rPr>
                <w:rFonts w:ascii="宋体" w:hAnsi="宋体" w:eastAsia="宋体"/>
                <w:sz w:val="16"/>
              </w:rPr>
              <w:t>提升业务能力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466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32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72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EA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3A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EB6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2EE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390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B3EDD">
            <w:pPr>
              <w:jc w:val="center"/>
            </w:pPr>
          </w:p>
        </w:tc>
      </w:tr>
      <w:tr w14:paraId="5704D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D66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120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543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D3E2">
            <w:pPr>
              <w:jc w:val="center"/>
            </w:pPr>
            <w:r>
              <w:rPr>
                <w:rFonts w:ascii="宋体" w:hAnsi="宋体" w:eastAsia="宋体"/>
                <w:sz w:val="16"/>
              </w:rPr>
              <w:t>提升公共服务水平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9D93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011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5A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516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98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47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3075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9A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3BF0B">
            <w:pPr>
              <w:jc w:val="center"/>
            </w:pPr>
          </w:p>
        </w:tc>
      </w:tr>
      <w:tr w14:paraId="51F661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7DD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26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B2A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4E8B">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BEE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3F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AF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AF2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C656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0E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0E57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9A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60527">
            <w:pPr>
              <w:jc w:val="center"/>
            </w:pPr>
          </w:p>
        </w:tc>
      </w:tr>
      <w:tr w14:paraId="12E5FD5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50DB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CF5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2BF8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7E7B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A2335E"/>
        </w:tc>
      </w:tr>
    </w:tbl>
    <w:p w14:paraId="10AD74BB">
      <w:r>
        <w:br w:type="page"/>
      </w:r>
    </w:p>
    <w:p w14:paraId="27793C2A">
      <w:pPr>
        <w:spacing w:line="640" w:lineRule="exact"/>
        <w:ind w:firstLine="640"/>
        <w:jc w:val="both"/>
        <w:outlineLvl w:val="2"/>
      </w:pPr>
      <w:r>
        <w:rPr>
          <w:rFonts w:ascii="黑体" w:hAnsi="黑体" w:eastAsia="黑体"/>
          <w:sz w:val="32"/>
        </w:rPr>
        <w:t>十二、其他需说明的事项</w:t>
      </w:r>
    </w:p>
    <w:p w14:paraId="15DB5223">
      <w:pPr>
        <w:spacing w:line="580" w:lineRule="exact"/>
        <w:ind w:firstLine="640"/>
        <w:jc w:val="both"/>
      </w:pPr>
      <w:r>
        <w:rPr>
          <w:rFonts w:ascii="仿宋_GB2312" w:hAnsi="仿宋_GB2312" w:eastAsia="仿宋_GB2312"/>
          <w:b w:val="0"/>
          <w:sz w:val="32"/>
        </w:rPr>
        <w:t>本单位无其他需说明的事项。</w:t>
      </w:r>
    </w:p>
    <w:p w14:paraId="480A1DE9">
      <w:r>
        <w:br w:type="page"/>
      </w:r>
    </w:p>
    <w:p w14:paraId="2721E7CA">
      <w:pPr>
        <w:spacing w:line="240" w:lineRule="auto"/>
        <w:jc w:val="center"/>
        <w:outlineLvl w:val="1"/>
      </w:pPr>
      <w:r>
        <w:rPr>
          <w:rFonts w:ascii="黑体" w:hAnsi="黑体" w:eastAsia="黑体"/>
          <w:sz w:val="32"/>
        </w:rPr>
        <w:t>第三部分 专业名词解释</w:t>
      </w:r>
    </w:p>
    <w:p w14:paraId="5CD42B1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2B062A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250D5D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C2FC1E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7515FC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890ED1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CA5F6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DB177D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EB1AB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4DBC54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9017D7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D13AD0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93A270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3559D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A7BD762">
      <w:r>
        <w:br w:type="page"/>
      </w:r>
    </w:p>
    <w:p w14:paraId="6A67F20F">
      <w:pPr>
        <w:spacing w:line="240" w:lineRule="auto"/>
        <w:jc w:val="center"/>
        <w:outlineLvl w:val="1"/>
      </w:pPr>
      <w:r>
        <w:rPr>
          <w:rFonts w:ascii="黑体" w:hAnsi="黑体" w:eastAsia="黑体"/>
          <w:sz w:val="32"/>
        </w:rPr>
        <w:t>第四部分 部门决算报表（见附表）</w:t>
      </w:r>
    </w:p>
    <w:p w14:paraId="6E0738E5">
      <w:pPr>
        <w:spacing w:line="240" w:lineRule="auto"/>
        <w:ind w:firstLine="640"/>
        <w:jc w:val="both"/>
      </w:pPr>
      <w:r>
        <w:rPr>
          <w:rFonts w:ascii="仿宋_GB2312" w:hAnsi="仿宋_GB2312" w:eastAsia="仿宋_GB2312"/>
          <w:b w:val="0"/>
          <w:sz w:val="32"/>
        </w:rPr>
        <w:t>一、《收入支出决算总表》</w:t>
      </w:r>
    </w:p>
    <w:p w14:paraId="1010F91C">
      <w:pPr>
        <w:spacing w:line="240" w:lineRule="auto"/>
        <w:ind w:firstLine="640"/>
        <w:jc w:val="both"/>
      </w:pPr>
      <w:r>
        <w:rPr>
          <w:rFonts w:ascii="仿宋_GB2312" w:hAnsi="仿宋_GB2312" w:eastAsia="仿宋_GB2312"/>
          <w:b w:val="0"/>
          <w:sz w:val="32"/>
        </w:rPr>
        <w:t>二、《收入决算表》</w:t>
      </w:r>
    </w:p>
    <w:p w14:paraId="4014FA18">
      <w:pPr>
        <w:spacing w:line="240" w:lineRule="auto"/>
        <w:ind w:firstLine="640"/>
        <w:jc w:val="both"/>
      </w:pPr>
      <w:r>
        <w:rPr>
          <w:rFonts w:ascii="仿宋_GB2312" w:hAnsi="仿宋_GB2312" w:eastAsia="仿宋_GB2312"/>
          <w:b w:val="0"/>
          <w:sz w:val="32"/>
        </w:rPr>
        <w:t>三、《支出决算表》</w:t>
      </w:r>
    </w:p>
    <w:p w14:paraId="3468A4BE">
      <w:pPr>
        <w:spacing w:line="240" w:lineRule="auto"/>
        <w:ind w:firstLine="640"/>
        <w:jc w:val="both"/>
      </w:pPr>
      <w:r>
        <w:rPr>
          <w:rFonts w:ascii="仿宋_GB2312" w:hAnsi="仿宋_GB2312" w:eastAsia="仿宋_GB2312"/>
          <w:b w:val="0"/>
          <w:sz w:val="32"/>
        </w:rPr>
        <w:t>四、《财政拨款收入支出决算总表》</w:t>
      </w:r>
    </w:p>
    <w:p w14:paraId="50CBDE51">
      <w:pPr>
        <w:spacing w:line="240" w:lineRule="auto"/>
        <w:ind w:firstLine="640"/>
        <w:jc w:val="both"/>
      </w:pPr>
      <w:r>
        <w:rPr>
          <w:rFonts w:ascii="仿宋_GB2312" w:hAnsi="仿宋_GB2312" w:eastAsia="仿宋_GB2312"/>
          <w:b w:val="0"/>
          <w:sz w:val="32"/>
        </w:rPr>
        <w:t>五、《一般公共预算财政拨款支出决算表》</w:t>
      </w:r>
    </w:p>
    <w:p w14:paraId="1FFCFE37">
      <w:pPr>
        <w:spacing w:line="240" w:lineRule="auto"/>
        <w:ind w:firstLine="640"/>
        <w:jc w:val="both"/>
      </w:pPr>
      <w:r>
        <w:rPr>
          <w:rFonts w:ascii="仿宋_GB2312" w:hAnsi="仿宋_GB2312" w:eastAsia="仿宋_GB2312"/>
          <w:b w:val="0"/>
          <w:sz w:val="32"/>
        </w:rPr>
        <w:t>六、《一般公共预算财政拨款基本支出决算表》</w:t>
      </w:r>
    </w:p>
    <w:p w14:paraId="2AB435F4">
      <w:pPr>
        <w:spacing w:line="240" w:lineRule="auto"/>
        <w:ind w:firstLine="640"/>
        <w:jc w:val="both"/>
      </w:pPr>
      <w:r>
        <w:rPr>
          <w:rFonts w:ascii="仿宋_GB2312" w:hAnsi="仿宋_GB2312" w:eastAsia="仿宋_GB2312"/>
          <w:b w:val="0"/>
          <w:sz w:val="32"/>
        </w:rPr>
        <w:t>七、《政府性基金预算财政拨款收入支出决算表》</w:t>
      </w:r>
    </w:p>
    <w:p w14:paraId="4B5372E4">
      <w:pPr>
        <w:spacing w:line="240" w:lineRule="auto"/>
        <w:ind w:firstLine="640"/>
        <w:jc w:val="both"/>
      </w:pPr>
      <w:r>
        <w:rPr>
          <w:rFonts w:ascii="仿宋_GB2312" w:hAnsi="仿宋_GB2312" w:eastAsia="仿宋_GB2312"/>
          <w:b w:val="0"/>
          <w:sz w:val="32"/>
        </w:rPr>
        <w:t>八、《国有资本经营预算财政拨款收入支出决算表》</w:t>
      </w:r>
    </w:p>
    <w:p w14:paraId="35689817">
      <w:pPr>
        <w:spacing w:line="240" w:lineRule="auto"/>
        <w:ind w:firstLine="640"/>
        <w:jc w:val="both"/>
      </w:pPr>
      <w:r>
        <w:rPr>
          <w:rFonts w:ascii="仿宋_GB2312" w:hAnsi="仿宋_GB2312" w:eastAsia="仿宋_GB2312"/>
          <w:b w:val="0"/>
          <w:sz w:val="32"/>
        </w:rPr>
        <w:t>九、《财政拨款“三公”经费支出决算表》</w:t>
      </w:r>
    </w:p>
    <w:p w14:paraId="4878AF44">
      <w:pPr>
        <w:spacing w:line="240" w:lineRule="auto"/>
        <w:ind w:firstLine="640"/>
        <w:jc w:val="both"/>
      </w:pPr>
    </w:p>
    <w:p w14:paraId="7F1549E6">
      <w:pPr>
        <w:spacing w:line="240" w:lineRule="auto"/>
        <w:ind w:firstLine="640"/>
        <w:jc w:val="both"/>
      </w:pPr>
    </w:p>
    <w:p w14:paraId="0EB21797">
      <w:pPr>
        <w:spacing w:line="240" w:lineRule="auto"/>
        <w:ind w:firstLine="640"/>
        <w:jc w:val="both"/>
      </w:pPr>
    </w:p>
    <w:p w14:paraId="3829D568">
      <w:pPr>
        <w:spacing w:line="240" w:lineRule="auto"/>
        <w:ind w:firstLine="640"/>
        <w:jc w:val="both"/>
      </w:pPr>
    </w:p>
    <w:p w14:paraId="19D3280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E7B154-8305-404A-8B33-4563D542E44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D99FDBD-60A7-4E46-BBAD-970A29B3AAE9}"/>
  </w:font>
  <w:font w:name="仿宋_GB2312">
    <w:panose1 w:val="02010609030101010101"/>
    <w:charset w:val="86"/>
    <w:family w:val="modern"/>
    <w:pitch w:val="default"/>
    <w:sig w:usb0="00000001" w:usb1="080E0000" w:usb2="00000000" w:usb3="00000000" w:csb0="00040000" w:csb1="00000000"/>
    <w:embedRegular r:id="rId3" w:fontKey="{612FBC12-1A43-49A4-AA68-DF3ED089B265}"/>
  </w:font>
  <w:font w:name="楷体_GB2312">
    <w:panose1 w:val="02010609030101010101"/>
    <w:charset w:val="86"/>
    <w:family w:val="auto"/>
    <w:pitch w:val="default"/>
    <w:sig w:usb0="00000001" w:usb1="080E0000" w:usb2="00000000" w:usb3="00000000" w:csb0="00040000" w:csb1="00000000"/>
    <w:embedRegular r:id="rId4" w:fontKey="{04652E03-048F-47F5-BEBF-119D71EC4AF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1C21101"/>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063173"/>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5527</Words>
  <Characters>6365</Characters>
  <Lines>0</Lines>
  <Paragraphs>0</Paragraphs>
  <TotalTime>15</TotalTime>
  <ScaleCrop>false</ScaleCrop>
  <LinksUpToDate>false</LinksUpToDate>
  <CharactersWithSpaces>6373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2025-09-15T09:50:18Z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