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阿克陶县畜牧兽医站2024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CBDE79A">
      <w:r>
        <w:br w:type="page"/>
      </w:r>
    </w:p>
    <w:p w14:paraId="60835EE5">
      <w:pPr>
        <w:spacing w:line="640" w:lineRule="exact"/>
        <w:jc w:val="center"/>
        <w:outlineLvl w:val="1"/>
      </w:pPr>
      <w:r>
        <w:rPr>
          <w:rFonts w:ascii="黑体" w:hAnsi="黑体" w:eastAsia="黑体"/>
          <w:sz w:val="32"/>
        </w:rPr>
        <w:t>第一部分 单位概况</w:t>
      </w:r>
    </w:p>
    <w:p w14:paraId="6F93BE22">
      <w:pPr>
        <w:spacing w:line="640" w:lineRule="exact"/>
        <w:ind w:firstLine="640"/>
        <w:jc w:val="both"/>
        <w:outlineLvl w:val="2"/>
      </w:pPr>
      <w:r>
        <w:rPr>
          <w:rFonts w:ascii="黑体" w:hAnsi="黑体" w:eastAsia="黑体"/>
          <w:sz w:val="32"/>
        </w:rPr>
        <w:t>一、主要职能</w:t>
      </w:r>
    </w:p>
    <w:p w14:paraId="42BE6191">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防治畜禽</w:t>
      </w:r>
      <w:r>
        <w:rPr>
          <w:rFonts w:hint="eastAsia" w:ascii="仿宋_GB2312" w:hAnsi="仿宋_GB2312" w:eastAsia="仿宋_GB2312"/>
          <w:sz w:val="32"/>
          <w:lang w:val="en-US" w:eastAsia="zh-CN"/>
        </w:rPr>
        <w:t>疾病</w:t>
      </w:r>
      <w:r>
        <w:rPr>
          <w:rFonts w:ascii="仿宋_GB2312" w:hAnsi="仿宋_GB2312" w:eastAsia="仿宋_GB2312"/>
          <w:sz w:val="32"/>
        </w:rPr>
        <w:t>，畜禽品种改良、促进畜牧业发展，种畜禽质量管理繁育、畜禽</w:t>
      </w:r>
      <w:r>
        <w:rPr>
          <w:rFonts w:hint="eastAsia" w:ascii="仿宋_GB2312" w:hAnsi="仿宋_GB2312" w:eastAsia="仿宋_GB2312"/>
          <w:sz w:val="32"/>
          <w:lang w:eastAsia="zh-CN"/>
        </w:rPr>
        <w:t>YQ</w:t>
      </w:r>
      <w:r>
        <w:rPr>
          <w:rFonts w:ascii="仿宋_GB2312" w:hAnsi="仿宋_GB2312" w:eastAsia="仿宋_GB2312"/>
          <w:sz w:val="32"/>
        </w:rPr>
        <w:t>控制，畜禽</w:t>
      </w:r>
      <w:r>
        <w:rPr>
          <w:rFonts w:hint="eastAsia" w:ascii="仿宋_GB2312" w:hAnsi="仿宋_GB2312" w:eastAsia="仿宋_GB2312"/>
          <w:sz w:val="32"/>
          <w:lang w:eastAsia="zh-CN"/>
        </w:rPr>
        <w:t>YQ</w:t>
      </w:r>
      <w:r>
        <w:rPr>
          <w:rFonts w:ascii="仿宋_GB2312" w:hAnsi="仿宋_GB2312" w:eastAsia="仿宋_GB2312"/>
          <w:sz w:val="32"/>
        </w:rPr>
        <w:t>扑灭。</w:t>
      </w:r>
    </w:p>
    <w:p w14:paraId="552E627F">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现代畜牧业生产方式的建立和畜牧兽医新技术的推广、指导、服务。</w:t>
      </w:r>
    </w:p>
    <w:p w14:paraId="028F076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动物诊疗活动的监督管理村级动物防疫员的业务培训、畜禽</w:t>
      </w:r>
      <w:r>
        <w:rPr>
          <w:rFonts w:hint="eastAsia" w:ascii="仿宋_GB2312" w:hAnsi="仿宋_GB2312" w:eastAsia="仿宋_GB2312"/>
          <w:sz w:val="32"/>
          <w:lang w:eastAsia="zh-CN"/>
        </w:rPr>
        <w:t>YQ</w:t>
      </w:r>
      <w:r>
        <w:rPr>
          <w:rFonts w:ascii="仿宋_GB2312" w:hAnsi="仿宋_GB2312" w:eastAsia="仿宋_GB2312"/>
          <w:sz w:val="32"/>
        </w:rPr>
        <w:t>普查，指导、监督管理。</w:t>
      </w:r>
    </w:p>
    <w:p w14:paraId="12EC260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兽药、饲料和饲料添加剂、种畜禽、经营、使用的监督管理。</w:t>
      </w:r>
    </w:p>
    <w:p w14:paraId="0E7C5DE4">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畜禽免疫等信息化管理、畜产品市场信息提供和风险防范、统计、录入、报送。</w:t>
      </w:r>
    </w:p>
    <w:p w14:paraId="674555AB">
      <w:pPr>
        <w:spacing w:line="640" w:lineRule="exact"/>
        <w:ind w:firstLine="640"/>
        <w:jc w:val="both"/>
        <w:outlineLvl w:val="2"/>
      </w:pPr>
      <w:r>
        <w:rPr>
          <w:rFonts w:ascii="黑体" w:hAnsi="黑体" w:eastAsia="黑体"/>
          <w:sz w:val="32"/>
        </w:rPr>
        <w:t>二、机构设置及人员情况</w:t>
      </w:r>
    </w:p>
    <w:p w14:paraId="185783C8">
      <w:pPr>
        <w:spacing w:line="580" w:lineRule="exact"/>
        <w:ind w:firstLine="640"/>
        <w:jc w:val="both"/>
      </w:pPr>
      <w:r>
        <w:rPr>
          <w:rFonts w:ascii="仿宋_GB2312" w:hAnsi="仿宋_GB2312" w:eastAsia="仿宋_GB2312"/>
          <w:sz w:val="32"/>
        </w:rPr>
        <w:t>阿克陶县畜牧兽医站2024年度，实有人数33人，其中：在职人员21人，增加2人；离休人员0人，增加0人；退休人员12人</w:t>
      </w:r>
      <w:r>
        <w:rPr>
          <w:rFonts w:hint="eastAsia" w:ascii="仿宋_GB2312" w:hAnsi="仿宋_GB2312" w:eastAsia="仿宋_GB2312"/>
          <w:sz w:val="32"/>
          <w:lang w:eastAsia="zh-CN"/>
        </w:rPr>
        <w:t>，</w:t>
      </w:r>
      <w:r>
        <w:rPr>
          <w:rFonts w:ascii="仿宋_GB2312" w:hAnsi="仿宋_GB2312" w:eastAsia="仿宋_GB2312"/>
          <w:sz w:val="32"/>
        </w:rPr>
        <w:t>增加0人。</w:t>
      </w:r>
    </w:p>
    <w:p w14:paraId="7A725D73">
      <w:pPr>
        <w:spacing w:line="580" w:lineRule="exact"/>
        <w:ind w:firstLine="640"/>
        <w:jc w:val="both"/>
      </w:pPr>
      <w:r>
        <w:rPr>
          <w:rFonts w:ascii="仿宋_GB2312" w:hAnsi="仿宋_GB2312" w:eastAsia="仿宋_GB2312"/>
          <w:sz w:val="32"/>
        </w:rPr>
        <w:t>阿克陶县畜牧兽医站无下属预算单位，下设2个科室，分别是：办公室、财务室。</w:t>
      </w:r>
    </w:p>
    <w:p w14:paraId="24BD194B">
      <w:r>
        <w:br w:type="page"/>
      </w:r>
    </w:p>
    <w:p w14:paraId="50694C2F">
      <w:pPr>
        <w:spacing w:line="240" w:lineRule="auto"/>
        <w:jc w:val="center"/>
        <w:outlineLvl w:val="1"/>
      </w:pPr>
      <w:r>
        <w:rPr>
          <w:rFonts w:ascii="黑体" w:hAnsi="黑体" w:eastAsia="黑体"/>
          <w:sz w:val="32"/>
        </w:rPr>
        <w:t>第二部分 部门决算情况说明</w:t>
      </w:r>
    </w:p>
    <w:p w14:paraId="0E71C4F0">
      <w:pPr>
        <w:spacing w:line="640" w:lineRule="exact"/>
        <w:ind w:firstLine="640"/>
        <w:jc w:val="both"/>
        <w:outlineLvl w:val="2"/>
      </w:pPr>
      <w:r>
        <w:rPr>
          <w:rFonts w:ascii="黑体" w:hAnsi="黑体" w:eastAsia="黑体"/>
          <w:sz w:val="32"/>
        </w:rPr>
        <w:t>一、收入支出决算总体情况说明</w:t>
      </w:r>
    </w:p>
    <w:p w14:paraId="20E7C4A3">
      <w:pPr>
        <w:spacing w:line="580" w:lineRule="exact"/>
        <w:ind w:firstLine="640"/>
        <w:jc w:val="both"/>
      </w:pPr>
      <w:r>
        <w:rPr>
          <w:rFonts w:ascii="仿宋_GB2312" w:hAnsi="仿宋_GB2312" w:eastAsia="仿宋_GB2312"/>
          <w:b/>
          <w:sz w:val="32"/>
        </w:rPr>
        <w:t>2024年度收入总计574.73万元，</w:t>
      </w:r>
      <w:r>
        <w:rPr>
          <w:rFonts w:ascii="仿宋_GB2312" w:hAnsi="仿宋_GB2312" w:eastAsia="仿宋_GB2312"/>
          <w:b w:val="0"/>
          <w:sz w:val="32"/>
        </w:rPr>
        <w:t>其中：本年收入合计574.73万元，使用非财政拨款结余（含专用结余）0.00万元，年初结转和结余0.00万元。</w:t>
      </w:r>
    </w:p>
    <w:p w14:paraId="7D38F4B5">
      <w:pPr>
        <w:spacing w:line="580" w:lineRule="exact"/>
        <w:ind w:firstLine="640"/>
        <w:jc w:val="both"/>
      </w:pPr>
      <w:r>
        <w:rPr>
          <w:rFonts w:ascii="仿宋_GB2312" w:hAnsi="仿宋_GB2312" w:eastAsia="仿宋_GB2312"/>
          <w:b/>
          <w:sz w:val="32"/>
        </w:rPr>
        <w:t>2024年度支出总计574.73万元，</w:t>
      </w:r>
      <w:r>
        <w:rPr>
          <w:rFonts w:ascii="仿宋_GB2312" w:hAnsi="仿宋_GB2312" w:eastAsia="仿宋_GB2312"/>
          <w:b w:val="0"/>
          <w:sz w:val="32"/>
        </w:rPr>
        <w:t>其中：本年支出合计568.87万元，结余分配0.00万元，年末结转和结余5.85万元。</w:t>
      </w:r>
    </w:p>
    <w:p w14:paraId="3115E99A">
      <w:pPr>
        <w:spacing w:line="580" w:lineRule="exact"/>
        <w:ind w:firstLine="640"/>
        <w:jc w:val="both"/>
      </w:pPr>
      <w:r>
        <w:rPr>
          <w:rFonts w:ascii="仿宋_GB2312" w:hAnsi="仿宋_GB2312" w:eastAsia="仿宋_GB2312"/>
          <w:b w:val="0"/>
          <w:sz w:val="32"/>
        </w:rPr>
        <w:t>收入支出总体与上年相比，增加85.69万元，增长17.52%，主要原因是：本年新增2024年生猪牛羊调出大县奖励资金；新增</w:t>
      </w:r>
      <w:r>
        <w:rPr>
          <w:rFonts w:hint="eastAsia" w:ascii="仿宋_GB2312" w:hAnsi="仿宋_GB2312" w:eastAsia="仿宋_GB2312"/>
          <w:b w:val="0"/>
          <w:sz w:val="32"/>
          <w:lang w:eastAsia="zh-CN"/>
        </w:rPr>
        <w:t>县委组织部</w:t>
      </w:r>
      <w:r>
        <w:rPr>
          <w:rFonts w:ascii="仿宋_GB2312" w:hAnsi="仿宋_GB2312" w:eastAsia="仿宋_GB2312"/>
          <w:b w:val="0"/>
          <w:sz w:val="32"/>
        </w:rPr>
        <w:t>拨的畜牧兽医人才工作站经费项目。</w:t>
      </w:r>
    </w:p>
    <w:p w14:paraId="512D34C6">
      <w:pPr>
        <w:spacing w:line="640" w:lineRule="exact"/>
        <w:ind w:firstLine="640"/>
        <w:jc w:val="both"/>
        <w:outlineLvl w:val="2"/>
      </w:pPr>
      <w:r>
        <w:rPr>
          <w:rFonts w:ascii="黑体" w:hAnsi="黑体" w:eastAsia="黑体"/>
          <w:sz w:val="32"/>
        </w:rPr>
        <w:t>二、收入决算情况说明</w:t>
      </w:r>
    </w:p>
    <w:p w14:paraId="214E8ADF">
      <w:pPr>
        <w:spacing w:line="580" w:lineRule="exact"/>
        <w:ind w:firstLine="640"/>
        <w:jc w:val="both"/>
      </w:pPr>
      <w:r>
        <w:rPr>
          <w:rFonts w:ascii="仿宋_GB2312" w:hAnsi="仿宋_GB2312" w:eastAsia="仿宋_GB2312"/>
          <w:b/>
          <w:sz w:val="32"/>
        </w:rPr>
        <w:t>本年收入574.73万元，</w:t>
      </w:r>
      <w:r>
        <w:rPr>
          <w:rFonts w:ascii="仿宋_GB2312" w:hAnsi="仿宋_GB2312" w:eastAsia="仿宋_GB2312"/>
          <w:b w:val="0"/>
          <w:sz w:val="32"/>
        </w:rPr>
        <w:t>其中：财政拨款收入564.73万元，占98.26%；上级补助收入0.00万元，占0.00%；事业收入0.00万元，占0.00%；经营收入0.00万元，占0.00%；附属单位上缴收入0.00万元，占0.00%；其他收入10.00万元，占1.74%。</w:t>
      </w:r>
    </w:p>
    <w:p w14:paraId="78AFD1CB">
      <w:pPr>
        <w:spacing w:line="640" w:lineRule="exact"/>
        <w:ind w:firstLine="640"/>
        <w:jc w:val="both"/>
        <w:outlineLvl w:val="2"/>
      </w:pPr>
      <w:r>
        <w:rPr>
          <w:rFonts w:ascii="黑体" w:hAnsi="黑体" w:eastAsia="黑体"/>
          <w:sz w:val="32"/>
        </w:rPr>
        <w:t>三、支出决算情况说明</w:t>
      </w:r>
    </w:p>
    <w:p w14:paraId="0F417826">
      <w:pPr>
        <w:spacing w:line="580" w:lineRule="exact"/>
        <w:ind w:firstLine="640"/>
        <w:jc w:val="both"/>
      </w:pPr>
      <w:r>
        <w:rPr>
          <w:rFonts w:ascii="仿宋_GB2312" w:hAnsi="仿宋_GB2312" w:eastAsia="仿宋_GB2312"/>
          <w:b/>
          <w:sz w:val="32"/>
        </w:rPr>
        <w:t>本年支出568.87万元，</w:t>
      </w:r>
      <w:r>
        <w:rPr>
          <w:rFonts w:ascii="仿宋_GB2312" w:hAnsi="仿宋_GB2312" w:eastAsia="仿宋_GB2312"/>
          <w:b w:val="0"/>
          <w:sz w:val="32"/>
        </w:rPr>
        <w:t>其中：基本支出472.61万元，占83.08%；项目支出96.27万元，占16.92%；上缴上级支出0.00万元，占0.00%；经营支出0.00万元，占0.00%；对附属单位补助支出0.00万元，占0.00%。</w:t>
      </w:r>
    </w:p>
    <w:p w14:paraId="3C3ECE0F">
      <w:pPr>
        <w:spacing w:line="640" w:lineRule="exact"/>
        <w:ind w:firstLine="640"/>
        <w:jc w:val="both"/>
        <w:outlineLvl w:val="2"/>
      </w:pPr>
      <w:r>
        <w:rPr>
          <w:rFonts w:ascii="黑体" w:hAnsi="黑体" w:eastAsia="黑体"/>
          <w:sz w:val="32"/>
        </w:rPr>
        <w:t>四、财政拨款收入支出决算总体情况说明</w:t>
      </w:r>
    </w:p>
    <w:p w14:paraId="222B2ABC">
      <w:pPr>
        <w:spacing w:line="580" w:lineRule="exact"/>
        <w:ind w:firstLine="640"/>
        <w:jc w:val="both"/>
      </w:pPr>
      <w:r>
        <w:rPr>
          <w:rFonts w:ascii="仿宋_GB2312" w:hAnsi="仿宋_GB2312" w:eastAsia="仿宋_GB2312"/>
          <w:b/>
          <w:sz w:val="32"/>
        </w:rPr>
        <w:t>2024年度财政拨款收入总计564.73万元，</w:t>
      </w:r>
      <w:r>
        <w:rPr>
          <w:rFonts w:ascii="仿宋_GB2312" w:hAnsi="仿宋_GB2312" w:eastAsia="仿宋_GB2312"/>
          <w:b w:val="0"/>
          <w:sz w:val="32"/>
        </w:rPr>
        <w:t>其中：年初财政拨款结转和结余0.00万元，本年财政拨款收入564.73万元。</w:t>
      </w:r>
      <w:r>
        <w:rPr>
          <w:rFonts w:ascii="仿宋_GB2312" w:hAnsi="仿宋_GB2312" w:eastAsia="仿宋_GB2312"/>
          <w:b/>
          <w:sz w:val="32"/>
        </w:rPr>
        <w:t>财政拨款支出总计564.73万元，</w:t>
      </w:r>
      <w:r>
        <w:rPr>
          <w:rFonts w:ascii="仿宋_GB2312" w:hAnsi="仿宋_GB2312" w:eastAsia="仿宋_GB2312"/>
          <w:b w:val="0"/>
          <w:sz w:val="32"/>
        </w:rPr>
        <w:t>其中：年末财政拨款结转和结余0.00万元，本年财政拨款支出564.73万元。</w:t>
      </w:r>
    </w:p>
    <w:p w14:paraId="1F76121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增加75.69万元，增长15.48%，主要原因是：本年新增2024年生猪牛羊调出大县奖励资金。</w:t>
      </w:r>
      <w:r>
        <w:rPr>
          <w:rFonts w:ascii="仿宋_GB2312" w:hAnsi="仿宋_GB2312" w:eastAsia="仿宋_GB2312"/>
          <w:b/>
          <w:sz w:val="32"/>
        </w:rPr>
        <w:t>与年初预算相比，</w:t>
      </w:r>
      <w:r>
        <w:rPr>
          <w:rFonts w:ascii="仿宋_GB2312" w:hAnsi="仿宋_GB2312" w:eastAsia="仿宋_GB2312"/>
          <w:b w:val="0"/>
          <w:sz w:val="32"/>
        </w:rPr>
        <w:t>年初预算数485.56万元，决算数564.73万元，预决算差异率16.30%，主要原因是：年中追加人员工资、社保、公积金基数调增部分资金及2024年生猪牛羊调出大县奖励资金等，导致预决算存在差异。</w:t>
      </w:r>
    </w:p>
    <w:p w14:paraId="0BCF8D2E">
      <w:pPr>
        <w:spacing w:line="640" w:lineRule="exact"/>
        <w:ind w:firstLine="640"/>
        <w:jc w:val="both"/>
        <w:outlineLvl w:val="2"/>
      </w:pPr>
      <w:r>
        <w:rPr>
          <w:rFonts w:ascii="黑体" w:hAnsi="黑体" w:eastAsia="黑体"/>
          <w:sz w:val="32"/>
        </w:rPr>
        <w:t>五、一般公共预算财政拨款支出决算情况说明</w:t>
      </w:r>
    </w:p>
    <w:p w14:paraId="10CF84B6">
      <w:pPr>
        <w:spacing w:line="640" w:lineRule="exact"/>
        <w:ind w:firstLine="640"/>
        <w:jc w:val="both"/>
        <w:outlineLvl w:val="3"/>
      </w:pPr>
      <w:r>
        <w:rPr>
          <w:rFonts w:ascii="楷体_GB2312" w:hAnsi="楷体_GB2312" w:eastAsia="楷体_GB2312"/>
          <w:b/>
          <w:sz w:val="32"/>
        </w:rPr>
        <w:t>（一）一般公共预算财政拨款支出决算总体情况</w:t>
      </w:r>
    </w:p>
    <w:p w14:paraId="1919E3E1">
      <w:pPr>
        <w:spacing w:line="580" w:lineRule="exact"/>
        <w:ind w:firstLine="640"/>
        <w:jc w:val="both"/>
      </w:pPr>
      <w:r>
        <w:rPr>
          <w:rFonts w:ascii="仿宋_GB2312" w:hAnsi="仿宋_GB2312" w:eastAsia="仿宋_GB2312"/>
          <w:b/>
          <w:sz w:val="32"/>
        </w:rPr>
        <w:t>2024年度一般公共预算财政拨款支出564.73万元，</w:t>
      </w:r>
      <w:r>
        <w:rPr>
          <w:rFonts w:ascii="仿宋_GB2312" w:hAnsi="仿宋_GB2312" w:eastAsia="仿宋_GB2312"/>
          <w:b w:val="0"/>
          <w:sz w:val="32"/>
        </w:rPr>
        <w:t>占本年支出合计的99.27%。</w:t>
      </w:r>
      <w:r>
        <w:rPr>
          <w:rFonts w:ascii="仿宋_GB2312" w:hAnsi="仿宋_GB2312" w:eastAsia="仿宋_GB2312"/>
          <w:b/>
          <w:sz w:val="32"/>
        </w:rPr>
        <w:t>与上年相比，</w:t>
      </w:r>
      <w:r>
        <w:rPr>
          <w:rFonts w:ascii="仿宋_GB2312" w:hAnsi="仿宋_GB2312" w:eastAsia="仿宋_GB2312"/>
          <w:b w:val="0"/>
          <w:sz w:val="32"/>
        </w:rPr>
        <w:t>增加75.69万元，增长15.48%，主要原因是：本年新增2024年生猪牛羊调出大县奖励资金。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年初预算数485.56万元，决算数564.73万元，预决算差异率16.30%，主要原因是：年中追加人员工资、社保、公积金基数调增部分资金及2024年生猪牛羊调出大县奖励资金等，导致预决算存在差异。</w:t>
      </w:r>
    </w:p>
    <w:p w14:paraId="7F14FB98">
      <w:pPr>
        <w:spacing w:line="640" w:lineRule="exact"/>
        <w:ind w:firstLine="640"/>
        <w:jc w:val="both"/>
        <w:outlineLvl w:val="3"/>
      </w:pPr>
      <w:r>
        <w:rPr>
          <w:rFonts w:ascii="楷体_GB2312" w:hAnsi="楷体_GB2312" w:eastAsia="楷体_GB2312"/>
          <w:b/>
          <w:sz w:val="32"/>
        </w:rPr>
        <w:t>（二）一般公共预算财政拨款支出决算结构情况</w:t>
      </w:r>
    </w:p>
    <w:p w14:paraId="3D5D6615">
      <w:pPr>
        <w:spacing w:line="580" w:lineRule="exact"/>
        <w:ind w:firstLine="640"/>
        <w:jc w:val="both"/>
      </w:pPr>
      <w:r>
        <w:rPr>
          <w:rFonts w:ascii="仿宋_GB2312" w:hAnsi="仿宋_GB2312" w:eastAsia="仿宋_GB2312"/>
          <w:b w:val="0"/>
          <w:sz w:val="32"/>
        </w:rPr>
        <w:t>1.一般公共服务支出(类)2.49万元</w:t>
      </w:r>
      <w:r>
        <w:rPr>
          <w:rFonts w:hint="eastAsia" w:ascii="仿宋_GB2312" w:hAnsi="仿宋_GB2312" w:eastAsia="仿宋_GB2312"/>
          <w:b w:val="0"/>
          <w:sz w:val="32"/>
          <w:lang w:eastAsia="zh-CN"/>
        </w:rPr>
        <w:t>，</w:t>
      </w:r>
      <w:r>
        <w:rPr>
          <w:rFonts w:ascii="仿宋_GB2312" w:hAnsi="仿宋_GB2312" w:eastAsia="仿宋_GB2312"/>
          <w:b w:val="0"/>
          <w:sz w:val="32"/>
        </w:rPr>
        <w:t>占0.44%。</w:t>
      </w:r>
    </w:p>
    <w:p w14:paraId="6FE91630">
      <w:pPr>
        <w:spacing w:line="580" w:lineRule="exact"/>
        <w:ind w:firstLine="640"/>
        <w:jc w:val="both"/>
      </w:pPr>
      <w:r>
        <w:rPr>
          <w:rFonts w:ascii="仿宋_GB2312" w:hAnsi="仿宋_GB2312" w:eastAsia="仿宋_GB2312"/>
          <w:b w:val="0"/>
          <w:sz w:val="32"/>
        </w:rPr>
        <w:t>2.社会保障和就业支出(类)72.87万元</w:t>
      </w:r>
      <w:r>
        <w:rPr>
          <w:rFonts w:hint="eastAsia" w:ascii="仿宋_GB2312" w:hAnsi="仿宋_GB2312" w:eastAsia="仿宋_GB2312"/>
          <w:b w:val="0"/>
          <w:sz w:val="32"/>
          <w:lang w:eastAsia="zh-CN"/>
        </w:rPr>
        <w:t>，</w:t>
      </w:r>
      <w:r>
        <w:rPr>
          <w:rFonts w:ascii="仿宋_GB2312" w:hAnsi="仿宋_GB2312" w:eastAsia="仿宋_GB2312"/>
          <w:b w:val="0"/>
          <w:sz w:val="32"/>
        </w:rPr>
        <w:t>占12.90%。</w:t>
      </w:r>
    </w:p>
    <w:p w14:paraId="24CEEB10">
      <w:pPr>
        <w:spacing w:line="580" w:lineRule="exact"/>
        <w:ind w:firstLine="640"/>
        <w:jc w:val="both"/>
      </w:pPr>
      <w:r>
        <w:rPr>
          <w:rFonts w:ascii="仿宋_GB2312" w:hAnsi="仿宋_GB2312" w:eastAsia="仿宋_GB2312"/>
          <w:b w:val="0"/>
          <w:sz w:val="32"/>
        </w:rPr>
        <w:t>3.卫生健康支出(类)17.73万元</w:t>
      </w:r>
      <w:r>
        <w:rPr>
          <w:rFonts w:hint="eastAsia" w:ascii="仿宋_GB2312" w:hAnsi="仿宋_GB2312" w:eastAsia="仿宋_GB2312"/>
          <w:b w:val="0"/>
          <w:sz w:val="32"/>
          <w:lang w:eastAsia="zh-CN"/>
        </w:rPr>
        <w:t>，</w:t>
      </w:r>
      <w:r>
        <w:rPr>
          <w:rFonts w:ascii="仿宋_GB2312" w:hAnsi="仿宋_GB2312" w:eastAsia="仿宋_GB2312"/>
          <w:b w:val="0"/>
          <w:sz w:val="32"/>
        </w:rPr>
        <w:t>占3.14%。</w:t>
      </w:r>
    </w:p>
    <w:p w14:paraId="7373C1B9">
      <w:pPr>
        <w:spacing w:line="580" w:lineRule="exact"/>
        <w:ind w:firstLine="640"/>
        <w:jc w:val="both"/>
      </w:pPr>
      <w:r>
        <w:rPr>
          <w:rFonts w:ascii="仿宋_GB2312" w:hAnsi="仿宋_GB2312" w:eastAsia="仿宋_GB2312"/>
          <w:b w:val="0"/>
          <w:sz w:val="32"/>
        </w:rPr>
        <w:t>4.农林水支出(类)348.86万元</w:t>
      </w:r>
      <w:r>
        <w:rPr>
          <w:rFonts w:hint="eastAsia" w:ascii="仿宋_GB2312" w:hAnsi="仿宋_GB2312" w:eastAsia="仿宋_GB2312"/>
          <w:b w:val="0"/>
          <w:sz w:val="32"/>
          <w:lang w:eastAsia="zh-CN"/>
        </w:rPr>
        <w:t>，</w:t>
      </w:r>
      <w:r>
        <w:rPr>
          <w:rFonts w:ascii="仿宋_GB2312" w:hAnsi="仿宋_GB2312" w:eastAsia="仿宋_GB2312"/>
          <w:b w:val="0"/>
          <w:sz w:val="32"/>
        </w:rPr>
        <w:t>占61.77%。</w:t>
      </w:r>
    </w:p>
    <w:p w14:paraId="7A6EB8A6">
      <w:pPr>
        <w:spacing w:line="580" w:lineRule="exact"/>
        <w:ind w:firstLine="640"/>
        <w:jc w:val="both"/>
      </w:pPr>
      <w:r>
        <w:rPr>
          <w:rFonts w:ascii="仿宋_GB2312" w:hAnsi="仿宋_GB2312" w:eastAsia="仿宋_GB2312"/>
          <w:b w:val="0"/>
          <w:sz w:val="32"/>
        </w:rPr>
        <w:t>5.商业服务业等支出(类)84.42万元</w:t>
      </w:r>
      <w:r>
        <w:rPr>
          <w:rFonts w:hint="eastAsia" w:ascii="仿宋_GB2312" w:hAnsi="仿宋_GB2312" w:eastAsia="仿宋_GB2312"/>
          <w:b w:val="0"/>
          <w:sz w:val="32"/>
          <w:lang w:eastAsia="zh-CN"/>
        </w:rPr>
        <w:t>，</w:t>
      </w:r>
      <w:r>
        <w:rPr>
          <w:rFonts w:ascii="仿宋_GB2312" w:hAnsi="仿宋_GB2312" w:eastAsia="仿宋_GB2312"/>
          <w:b w:val="0"/>
          <w:sz w:val="32"/>
        </w:rPr>
        <w:t>占14.95%。</w:t>
      </w:r>
    </w:p>
    <w:p w14:paraId="0E6CB1D9">
      <w:pPr>
        <w:spacing w:line="580" w:lineRule="exact"/>
        <w:ind w:firstLine="640"/>
        <w:jc w:val="both"/>
      </w:pPr>
      <w:r>
        <w:rPr>
          <w:rFonts w:ascii="仿宋_GB2312" w:hAnsi="仿宋_GB2312" w:eastAsia="仿宋_GB2312"/>
          <w:b w:val="0"/>
          <w:sz w:val="32"/>
        </w:rPr>
        <w:t>6.住房保障支出(类)38.36万元</w:t>
      </w:r>
      <w:r>
        <w:rPr>
          <w:rFonts w:hint="eastAsia" w:ascii="仿宋_GB2312" w:hAnsi="仿宋_GB2312" w:eastAsia="仿宋_GB2312"/>
          <w:b w:val="0"/>
          <w:sz w:val="32"/>
          <w:lang w:eastAsia="zh-CN"/>
        </w:rPr>
        <w:t>，</w:t>
      </w:r>
      <w:r>
        <w:rPr>
          <w:rFonts w:ascii="仿宋_GB2312" w:hAnsi="仿宋_GB2312" w:eastAsia="仿宋_GB2312"/>
          <w:b w:val="0"/>
          <w:sz w:val="32"/>
        </w:rPr>
        <w:t>占6.79%。</w:t>
      </w:r>
    </w:p>
    <w:p w14:paraId="7A6395AD">
      <w:pPr>
        <w:spacing w:line="640" w:lineRule="exact"/>
        <w:ind w:firstLine="640"/>
        <w:jc w:val="both"/>
        <w:outlineLvl w:val="3"/>
      </w:pPr>
      <w:r>
        <w:rPr>
          <w:rFonts w:ascii="楷体_GB2312" w:hAnsi="楷体_GB2312" w:eastAsia="楷体_GB2312"/>
          <w:b/>
          <w:sz w:val="32"/>
        </w:rPr>
        <w:t>（三）一般公共预算财政拨款支出决算具体情况</w:t>
      </w:r>
    </w:p>
    <w:p w14:paraId="6F75B2CA">
      <w:pPr>
        <w:spacing w:line="580" w:lineRule="exact"/>
        <w:ind w:firstLine="640"/>
        <w:jc w:val="both"/>
      </w:pPr>
      <w:r>
        <w:rPr>
          <w:rFonts w:ascii="仿宋_GB2312" w:hAnsi="仿宋_GB2312" w:eastAsia="仿宋_GB2312"/>
          <w:b w:val="0"/>
          <w:sz w:val="32"/>
        </w:rPr>
        <w:t>1.一般公共服务支出(类)组织事务(款)其他组织事务支出(项):支出决算数为2.49万元，比上年决算减少8.90万元，下降78.14%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主要原因是：本年减少工作队第一书记为民办实事工作经费（县级）、2024年上半年自治区</w:t>
      </w:r>
      <w:r>
        <w:rPr>
          <w:rFonts w:hint="eastAsia" w:ascii="仿宋_GB2312" w:hAnsi="仿宋_GB2312" w:eastAsia="仿宋_GB2312"/>
          <w:b w:val="0"/>
          <w:sz w:val="32"/>
          <w:lang w:eastAsia="zh-CN"/>
        </w:rPr>
        <w:t>为民办实事</w:t>
      </w:r>
      <w:r>
        <w:rPr>
          <w:rFonts w:ascii="仿宋_GB2312" w:hAnsi="仿宋_GB2312" w:eastAsia="仿宋_GB2312"/>
          <w:b w:val="0"/>
          <w:sz w:val="32"/>
        </w:rPr>
        <w:t>工作专项经费。</w:t>
      </w:r>
    </w:p>
    <w:p w14:paraId="22615737">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2.社会保障和就业支出(类)行政事业单位养老支出(款)事业单位离退休(项):支出决算数为15.70万元，比上年决算增加3.69万元，增长30.72%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主要原因是：本年增加退休人员基础绩效奖，退休费支出增加。</w:t>
      </w:r>
    </w:p>
    <w:p w14:paraId="3C9AB199">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3.社会保障和就业支出(类)行政事业单位养老支出(款)机关事业单位基本养老保险缴费支出(项):支出决算数为49.20万元，比上年决算增加8.35万元，增长20.44%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主要原因是：本年在职人员工资基数调增，养老缴费基数上涨，相应支出增加。</w:t>
      </w:r>
    </w:p>
    <w:p w14:paraId="4DF89B78">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4.社会保障和就业支出(类)行政事业单位养老支出(款)机关事业单位职业年金缴费支出(项):支出决算数为7.97万元，比上年决算减少1.90万元，下降19.25%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主要原因是：本年无新增退休人员，发放资金为补发以前年度退休人员剩余职业年金缴费，职业年金缴费较上年减少。</w:t>
      </w:r>
    </w:p>
    <w:p w14:paraId="3CBF7C4F">
      <w:pPr>
        <w:spacing w:line="580" w:lineRule="exact"/>
        <w:ind w:firstLine="640"/>
        <w:jc w:val="both"/>
      </w:pPr>
      <w:r>
        <w:rPr>
          <w:rFonts w:ascii="仿宋_GB2312" w:hAnsi="仿宋_GB2312" w:eastAsia="仿宋_GB2312"/>
          <w:b w:val="0"/>
          <w:sz w:val="32"/>
        </w:rPr>
        <w:t>5.卫生健康支出(类)行政事业单位医疗(款)事业单位医疗(项):支出决算数为17.73万元，比上年决算增加3.35万元，增长23.30%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7BBE4157">
      <w:pPr>
        <w:spacing w:line="580" w:lineRule="exact"/>
        <w:ind w:firstLine="640"/>
        <w:jc w:val="both"/>
      </w:pPr>
      <w:r>
        <w:rPr>
          <w:rFonts w:ascii="仿宋_GB2312" w:hAnsi="仿宋_GB2312" w:eastAsia="仿宋_GB2312"/>
          <w:b w:val="0"/>
          <w:sz w:val="32"/>
        </w:rPr>
        <w:t>6.农林水支出(类)农业农村(款)事业运行(项):支出决算数为339.50万元，比上年决算减少16.21万元，下降4.56%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11F60E7C">
      <w:pPr>
        <w:spacing w:line="580" w:lineRule="exact"/>
        <w:ind w:firstLine="640"/>
        <w:jc w:val="both"/>
      </w:pPr>
      <w:r>
        <w:rPr>
          <w:rFonts w:ascii="仿宋_GB2312" w:hAnsi="仿宋_GB2312" w:eastAsia="仿宋_GB2312"/>
          <w:b w:val="0"/>
          <w:sz w:val="32"/>
        </w:rPr>
        <w:t>7.农林水支出(类)农业农村(款)病虫害控制(项):支出决算数为2.36万元，比上年决算减少9.46万元，下降80.03%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主要原因是：本年减少动物防疫补助资金。</w:t>
      </w:r>
    </w:p>
    <w:p w14:paraId="5B0F696C">
      <w:pPr>
        <w:spacing w:line="580" w:lineRule="exact"/>
        <w:ind w:firstLine="640"/>
        <w:jc w:val="both"/>
      </w:pPr>
      <w:r>
        <w:rPr>
          <w:rFonts w:ascii="仿宋_GB2312" w:hAnsi="仿宋_GB2312" w:eastAsia="仿宋_GB2312"/>
          <w:b w:val="0"/>
          <w:sz w:val="32"/>
        </w:rPr>
        <w:t>8.农林水支出(类)农业农村(款)防灾救灾(项):支出决算数为7.00万元，比上年决算增加7.00万元，增长100.00%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主要原因是：本年度新增中央农业防灾减灾和水利资金。</w:t>
      </w:r>
    </w:p>
    <w:p w14:paraId="3CA2118E">
      <w:pPr>
        <w:spacing w:line="580" w:lineRule="exact"/>
        <w:ind w:firstLine="640"/>
        <w:jc w:val="both"/>
      </w:pPr>
      <w:r>
        <w:rPr>
          <w:rFonts w:ascii="仿宋_GB2312" w:hAnsi="仿宋_GB2312" w:eastAsia="仿宋_GB2312"/>
          <w:b w:val="0"/>
          <w:sz w:val="32"/>
        </w:rPr>
        <w:t>9.商业服务业等支出(类)商业流通事务(款)其他商业流通事务支出(项):支出决算数为84.42万元，比上年决算增加84.42万元，增长100.00%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主要原因是：本年度新增2024年生猪牛羊调出大县奖励资金。</w:t>
      </w:r>
    </w:p>
    <w:p w14:paraId="3E4AC36D">
      <w:pPr>
        <w:spacing w:line="580" w:lineRule="exact"/>
        <w:ind w:firstLine="640"/>
        <w:jc w:val="both"/>
      </w:pPr>
      <w:r>
        <w:rPr>
          <w:rFonts w:ascii="仿宋_GB2312" w:hAnsi="仿宋_GB2312" w:eastAsia="仿宋_GB2312"/>
          <w:b w:val="0"/>
          <w:sz w:val="32"/>
        </w:rPr>
        <w:t>10.住房保障支出(类)住房改革支出(款)住房公积金(项):支出决算数为38.36万元，比上年决算增加5.35万元，增长16.21%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主要原因是：本年在职人员工资基数调增，公积金缴费基数上涨，相应支出增加。</w:t>
      </w:r>
    </w:p>
    <w:p w14:paraId="74707FC2">
      <w:pPr>
        <w:spacing w:line="640" w:lineRule="exact"/>
        <w:ind w:firstLine="640"/>
        <w:jc w:val="both"/>
        <w:outlineLvl w:val="2"/>
      </w:pPr>
      <w:r>
        <w:rPr>
          <w:rFonts w:ascii="黑体" w:hAnsi="黑体" w:eastAsia="黑体"/>
          <w:sz w:val="32"/>
        </w:rPr>
        <w:t>六、一般公共预算财政拨款基本支出决算情况说明</w:t>
      </w:r>
    </w:p>
    <w:p w14:paraId="3348FD7C">
      <w:pPr>
        <w:spacing w:line="580" w:lineRule="exact"/>
        <w:ind w:firstLine="640"/>
        <w:jc w:val="both"/>
      </w:pPr>
      <w:r>
        <w:rPr>
          <w:rFonts w:ascii="仿宋_GB2312" w:hAnsi="仿宋_GB2312" w:eastAsia="仿宋_GB2312"/>
          <w:b w:val="0"/>
          <w:sz w:val="32"/>
        </w:rPr>
        <w:t>2024年度一般公共预算财政拨款基本支出468.46万元，其中：</w:t>
      </w:r>
      <w:r>
        <w:rPr>
          <w:rFonts w:ascii="仿宋_GB2312" w:hAnsi="仿宋_GB2312" w:eastAsia="仿宋_GB2312"/>
          <w:b/>
          <w:sz w:val="32"/>
        </w:rPr>
        <w:t>人员经费462.14万元，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14:paraId="42D709A6">
      <w:pPr>
        <w:spacing w:line="580" w:lineRule="exact"/>
        <w:ind w:firstLine="640"/>
        <w:jc w:val="both"/>
      </w:pPr>
      <w:r>
        <w:rPr>
          <w:rFonts w:ascii="仿宋_GB2312" w:hAnsi="仿宋_GB2312" w:eastAsia="仿宋_GB2312"/>
          <w:b/>
          <w:sz w:val="32"/>
        </w:rPr>
        <w:t>公用经费6.32万元，</w:t>
      </w:r>
      <w:r>
        <w:rPr>
          <w:rFonts w:ascii="仿宋_GB2312" w:hAnsi="仿宋_GB2312" w:eastAsia="仿宋_GB2312"/>
          <w:b w:val="0"/>
          <w:sz w:val="32"/>
        </w:rPr>
        <w:t>包括：办公费、印刷费、差旅费、公务用车运行维护费、其他交通费用。</w:t>
      </w:r>
    </w:p>
    <w:p w14:paraId="5E3526B9">
      <w:pPr>
        <w:spacing w:line="640" w:lineRule="exact"/>
        <w:ind w:firstLine="640"/>
        <w:jc w:val="both"/>
        <w:outlineLvl w:val="2"/>
      </w:pPr>
      <w:r>
        <w:rPr>
          <w:rFonts w:ascii="黑体" w:hAnsi="黑体" w:eastAsia="黑体"/>
          <w:sz w:val="32"/>
        </w:rPr>
        <w:t>七、政府性基金预算财政拨款收入支出决算情况说明</w:t>
      </w:r>
    </w:p>
    <w:p w14:paraId="6A7B3EC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C2B1221">
      <w:pPr>
        <w:spacing w:line="640" w:lineRule="exact"/>
        <w:ind w:firstLine="640"/>
        <w:jc w:val="both"/>
        <w:outlineLvl w:val="2"/>
      </w:pPr>
      <w:r>
        <w:rPr>
          <w:rFonts w:ascii="黑体" w:hAnsi="黑体" w:eastAsia="黑体"/>
          <w:sz w:val="32"/>
        </w:rPr>
        <w:t>八、国有资本经营预算财政拨款收入支出决算情况说明</w:t>
      </w:r>
    </w:p>
    <w:p w14:paraId="6BBC800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0CBBB5">
      <w:pPr>
        <w:spacing w:line="640" w:lineRule="exact"/>
        <w:ind w:firstLine="640"/>
        <w:jc w:val="both"/>
        <w:outlineLvl w:val="2"/>
      </w:pPr>
      <w:r>
        <w:rPr>
          <w:rFonts w:ascii="黑体" w:hAnsi="黑体" w:eastAsia="黑体"/>
          <w:sz w:val="32"/>
        </w:rPr>
        <w:t>九、财政拨款“三公”经费支出决算情况说明</w:t>
      </w:r>
    </w:p>
    <w:p w14:paraId="585CE831">
      <w:pPr>
        <w:spacing w:line="580" w:lineRule="exact"/>
        <w:ind w:firstLine="640"/>
        <w:jc w:val="both"/>
      </w:pPr>
      <w:r>
        <w:rPr>
          <w:rFonts w:ascii="仿宋_GB2312" w:hAnsi="仿宋_GB2312" w:eastAsia="仿宋_GB2312"/>
          <w:b/>
          <w:sz w:val="32"/>
        </w:rPr>
        <w:t>2024年度财政拨款“三公”经费支出1.76万元，</w:t>
      </w:r>
      <w:r>
        <w:rPr>
          <w:rFonts w:ascii="仿宋_GB2312" w:hAnsi="仿宋_GB2312" w:eastAsia="仿宋_GB2312"/>
          <w:b w:val="0"/>
          <w:sz w:val="32"/>
        </w:rPr>
        <w:t>比上年增加0.15万元，增长9.32%，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1.76万元，占100.00%，比上年增加0.15万元，增长9.32%，主要原因是：本单位公务用车日渐老化，维修维护成本增加，导致公务用车运行维护费较上年增加。公务接待费支出0.00万元，占0.00%，比上年增加0.00万元，增长0.00%，主要原因是：2023年与2024年均未安排公务接待费支出。</w:t>
      </w:r>
    </w:p>
    <w:p w14:paraId="06B81538">
      <w:pPr>
        <w:spacing w:line="580" w:lineRule="exact"/>
        <w:ind w:firstLine="640"/>
        <w:jc w:val="both"/>
      </w:pPr>
      <w:r>
        <w:rPr>
          <w:rFonts w:ascii="仿宋_GB2312" w:hAnsi="仿宋_GB2312" w:eastAsia="仿宋_GB2312"/>
          <w:b/>
          <w:sz w:val="32"/>
        </w:rPr>
        <w:t>具体情况如下：</w:t>
      </w:r>
    </w:p>
    <w:p w14:paraId="3EB0A5B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2B12AA1">
      <w:pPr>
        <w:spacing w:line="580" w:lineRule="exact"/>
        <w:ind w:firstLine="640"/>
        <w:jc w:val="both"/>
      </w:pPr>
      <w:r>
        <w:rPr>
          <w:rFonts w:ascii="仿宋_GB2312" w:hAnsi="仿宋_GB2312" w:eastAsia="仿宋_GB2312"/>
          <w:b w:val="0"/>
          <w:sz w:val="32"/>
        </w:rPr>
        <w:t>公务用车购置及运行维护费1.76万元，其中：公务用车购置费0.00万元，公务用车运行维护费1.76万元。公务用车运行维护费开支内容包括公务用车保险费、车辆审验费、车辆燃油费、车辆维修费。公务用车购置数0辆，公务用车保有量1辆。国有资产占用情况中固定资产车辆1辆，与公务用车保有量差异原因是：本单位固定资产车辆与公务用车保有量一致无差异。</w:t>
      </w:r>
    </w:p>
    <w:p w14:paraId="04D1B5A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5E23CB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1.76万元，预决算差异率-2.22%，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1.76万元，预决算差异率-2.22%，主要原因是：严格落实中央八项规定精神，厉行节约，减少经费支出。公务接待费全年预算数0.00万元，决算数0.00万元，预决算差异率0.00%，主要原因是：本单位无公务接待费。</w:t>
      </w:r>
    </w:p>
    <w:p w14:paraId="1309196B">
      <w:pPr>
        <w:spacing w:line="640" w:lineRule="exact"/>
        <w:ind w:firstLine="640"/>
        <w:jc w:val="both"/>
        <w:outlineLvl w:val="2"/>
      </w:pPr>
      <w:r>
        <w:rPr>
          <w:rFonts w:ascii="黑体" w:hAnsi="黑体" w:eastAsia="黑体"/>
          <w:sz w:val="32"/>
        </w:rPr>
        <w:t>十、其他重要事项的情况说明</w:t>
      </w:r>
    </w:p>
    <w:p w14:paraId="3751E824">
      <w:pPr>
        <w:spacing w:line="640" w:lineRule="exact"/>
        <w:ind w:firstLine="640"/>
        <w:jc w:val="both"/>
        <w:outlineLvl w:val="3"/>
      </w:pPr>
      <w:r>
        <w:rPr>
          <w:rFonts w:ascii="楷体_GB2312" w:hAnsi="楷体_GB2312" w:eastAsia="楷体_GB2312"/>
          <w:b/>
          <w:sz w:val="32"/>
        </w:rPr>
        <w:t>（一）机关运行经费及公用经费支出情况</w:t>
      </w:r>
    </w:p>
    <w:p w14:paraId="2B44A807">
      <w:pPr>
        <w:spacing w:line="580" w:lineRule="exact"/>
        <w:ind w:firstLine="640"/>
        <w:jc w:val="both"/>
      </w:pPr>
      <w:r>
        <w:rPr>
          <w:rFonts w:ascii="仿宋_GB2312" w:hAnsi="仿宋_GB2312" w:eastAsia="仿宋_GB2312"/>
          <w:b w:val="0"/>
          <w:sz w:val="32"/>
        </w:rPr>
        <w:t>2024年度阿克陶县畜牧兽医站（事业单位）公用经费支出6.32万元，比上年减少1.76万元，下降21.78%，主要原因是：严格控制公用经费，合理节约办公用品，减少不必要开支。</w:t>
      </w:r>
    </w:p>
    <w:p w14:paraId="17A7B417">
      <w:pPr>
        <w:spacing w:line="640" w:lineRule="exact"/>
        <w:ind w:firstLine="640"/>
        <w:jc w:val="both"/>
        <w:outlineLvl w:val="3"/>
      </w:pPr>
      <w:r>
        <w:rPr>
          <w:rFonts w:ascii="楷体_GB2312" w:hAnsi="楷体_GB2312" w:eastAsia="楷体_GB2312"/>
          <w:b/>
          <w:sz w:val="32"/>
        </w:rPr>
        <w:t>（二）政府采购情况</w:t>
      </w:r>
    </w:p>
    <w:p w14:paraId="5EE09AD2">
      <w:pPr>
        <w:spacing w:line="580" w:lineRule="exact"/>
        <w:ind w:firstLine="640"/>
        <w:jc w:val="both"/>
      </w:pPr>
      <w:r>
        <w:rPr>
          <w:rFonts w:ascii="仿宋_GB2312" w:hAnsi="仿宋_GB2312" w:eastAsia="仿宋_GB2312"/>
          <w:b w:val="0"/>
          <w:sz w:val="32"/>
        </w:rPr>
        <w:t>2024年度政府采购支出总额2.44万元，其中：政府采购货物支出1.02万元、政府采购工程支出0.00万元、政府采购服务支出1.43万元。</w:t>
      </w:r>
    </w:p>
    <w:p w14:paraId="692A7E5B">
      <w:pPr>
        <w:spacing w:line="580" w:lineRule="exact"/>
        <w:ind w:firstLine="640"/>
        <w:jc w:val="both"/>
      </w:pPr>
      <w:r>
        <w:rPr>
          <w:rFonts w:ascii="仿宋_GB2312" w:hAnsi="仿宋_GB2312" w:eastAsia="仿宋_GB2312"/>
          <w:b w:val="0"/>
          <w:sz w:val="32"/>
        </w:rPr>
        <w:t>授予中小企业合同金额1.48万元，占政府采购支出总额的60.66%，其中：授予小微企业合同金额0.96万元，占政府采购支出总额的39.34%。</w:t>
      </w:r>
    </w:p>
    <w:p w14:paraId="2CD62BAF">
      <w:pPr>
        <w:spacing w:line="640" w:lineRule="exact"/>
        <w:ind w:firstLine="640"/>
        <w:jc w:val="both"/>
        <w:outlineLvl w:val="3"/>
      </w:pPr>
      <w:r>
        <w:rPr>
          <w:rFonts w:ascii="楷体_GB2312" w:hAnsi="楷体_GB2312" w:eastAsia="楷体_GB2312"/>
          <w:b/>
          <w:sz w:val="32"/>
        </w:rPr>
        <w:t>（三）国有资产占用情况说明</w:t>
      </w:r>
    </w:p>
    <w:p w14:paraId="4C0EB7FD">
      <w:pPr>
        <w:spacing w:line="580" w:lineRule="exact"/>
        <w:ind w:firstLine="640"/>
        <w:jc w:val="both"/>
      </w:pPr>
      <w:r>
        <w:rPr>
          <w:rFonts w:ascii="仿宋_GB2312" w:hAnsi="仿宋_GB2312" w:eastAsia="仿宋_GB2312"/>
          <w:b w:val="0"/>
          <w:sz w:val="32"/>
        </w:rPr>
        <w:t>截至2024年12月31日，房屋1,750.00平方米，价值40.77万元。车辆1辆，价值18.79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02D6972">
      <w:pPr>
        <w:spacing w:line="640" w:lineRule="exact"/>
        <w:ind w:firstLine="640"/>
        <w:jc w:val="both"/>
        <w:outlineLvl w:val="2"/>
      </w:pPr>
      <w:r>
        <w:rPr>
          <w:rFonts w:ascii="黑体" w:hAnsi="黑体" w:eastAsia="黑体"/>
          <w:sz w:val="32"/>
        </w:rPr>
        <w:t>十一、预算绩效的情况说明</w:t>
      </w:r>
    </w:p>
    <w:p w14:paraId="6F7CC59F">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574.73万元，实际执行总额568.87万元；预算绩效评价项目3个，全年预算数12.00万元，全年执行数3.86万元。预算绩效管理取得的成效：一是通过财政部门进一步完善预算绩效管理制度，推动“事前绩效评估、事中绩效监控、事后绩效评价”，提高了资金使用效率；二是推广“预算绩效管理一体化平台”，实现绩效数据实时监控，确保资金直达基层、精准使用。总之，2024年预算绩效管理通过制度创新、技术赋能和结果导向，显著提升了财政资源配置效率和公共政策效能。发现的问题及原因：一是在培训指导方面，现场开展工作力度和培训力度略显不足。二是在产业发展方面，涉及畜牧养殖的各项畜牧养殖补助未及时发放畜养殖场(户)生产积极性受到一定影响。三是大部分养殖场、保种场(区)技术人才队伍不稳定，专业技术人员培养力度不足，对基础育种技术的措施应用还不够扎实，育种软件的配备不足，数据资料的统计、分析、应用能力较弱。下一步改进措施：一是在后续项目支出预算编制工作中，充分借鉴以往经验，进一步完善、细化预算科目，强化预算编制的准确性、科学性。同时，在2025年预算执行过程中，加强日常财务管理，督促资金使用相关处室做好工作计划，有序推进项目实施，按序时进度要求及时支付项目资金，切实提高资金使用效率。二是进一步加强对绩效管理工作的组织领导，提高对预算绩效管理工作重要性的认识，总结经验查找问题，抓紧研究制定更全面更完善的绩效评价管理办法。三是进一步建立健全绩效工作考核制度，加大全局对全面实施预算绩效管理和绩效管理工作的学习力度，让“花钱必问效，无效必问责”的理念深入工作每个环节。具体附整体支出绩效自评表，项目支出绩效自评表和评价报告。</w:t>
      </w:r>
    </w:p>
    <w:p w14:paraId="2F922B7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562B130">
        <w:tblPrEx>
          <w:tblCellMar>
            <w:top w:w="0" w:type="dxa"/>
            <w:left w:w="108" w:type="dxa"/>
            <w:bottom w:w="0" w:type="dxa"/>
            <w:right w:w="108" w:type="dxa"/>
          </w:tblCellMar>
        </w:tblPrEx>
        <w:tc>
          <w:tcPr>
            <w:tcW w:w="8840" w:type="dxa"/>
            <w:gridSpan w:val="8"/>
            <w:vAlign w:val="center"/>
          </w:tcPr>
          <w:p w14:paraId="6B5B6536">
            <w:pPr>
              <w:jc w:val="center"/>
            </w:pPr>
            <w:r>
              <w:rPr>
                <w:rFonts w:ascii="宋体" w:hAnsi="宋体" w:eastAsia="宋体"/>
                <w:sz w:val="24"/>
              </w:rPr>
              <w:t>单位整体支出绩效自评表</w:t>
            </w:r>
          </w:p>
        </w:tc>
      </w:tr>
      <w:tr w14:paraId="7BE231BB">
        <w:tblPrEx>
          <w:tblCellMar>
            <w:top w:w="0" w:type="dxa"/>
            <w:left w:w="108" w:type="dxa"/>
            <w:bottom w:w="0" w:type="dxa"/>
            <w:right w:w="108" w:type="dxa"/>
          </w:tblCellMar>
        </w:tblPrEx>
        <w:tc>
          <w:tcPr>
            <w:tcW w:w="8840" w:type="dxa"/>
            <w:gridSpan w:val="8"/>
            <w:vAlign w:val="center"/>
          </w:tcPr>
          <w:p w14:paraId="17331ECD">
            <w:pPr>
              <w:jc w:val="center"/>
            </w:pPr>
            <w:r>
              <w:rPr>
                <w:rFonts w:ascii="宋体" w:hAnsi="宋体" w:eastAsia="宋体"/>
                <w:sz w:val="24"/>
              </w:rPr>
              <w:t>（2024年度）</w:t>
            </w:r>
          </w:p>
        </w:tc>
      </w:tr>
      <w:tr w14:paraId="3DE96F5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8D8DC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BE3F58">
            <w:pPr>
              <w:jc w:val="center"/>
            </w:pPr>
            <w:r>
              <w:rPr>
                <w:rFonts w:ascii="宋体" w:hAnsi="宋体" w:eastAsia="宋体"/>
                <w:sz w:val="16"/>
              </w:rPr>
              <w:t>阿克陶县畜牧兽医站</w:t>
            </w:r>
          </w:p>
        </w:tc>
      </w:tr>
      <w:tr w14:paraId="7C9C9A7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878F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9C48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4BD08">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2B5BD3">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0D1F3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CBB7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2DC0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EB576">
            <w:pPr>
              <w:jc w:val="center"/>
            </w:pPr>
            <w:r>
              <w:rPr>
                <w:rFonts w:ascii="宋体" w:hAnsi="宋体" w:eastAsia="宋体"/>
                <w:sz w:val="16"/>
              </w:rPr>
              <w:t>得分</w:t>
            </w:r>
          </w:p>
        </w:tc>
      </w:tr>
      <w:tr w14:paraId="432514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B801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E21E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9A7C2">
            <w:pPr>
              <w:jc w:val="center"/>
            </w:pPr>
            <w:r>
              <w:rPr>
                <w:rFonts w:ascii="宋体" w:hAnsi="宋体" w:eastAsia="宋体"/>
                <w:sz w:val="16"/>
              </w:rPr>
              <w:t>485.56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C3211">
            <w:pPr>
              <w:jc w:val="center"/>
            </w:pPr>
            <w:r>
              <w:rPr>
                <w:rFonts w:ascii="宋体" w:hAnsi="宋体" w:eastAsia="宋体"/>
                <w:sz w:val="16"/>
              </w:rPr>
              <w:t>574.73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7573E">
            <w:pPr>
              <w:jc w:val="center"/>
            </w:pPr>
            <w:r>
              <w:rPr>
                <w:rFonts w:ascii="宋体" w:hAnsi="宋体" w:eastAsia="宋体"/>
                <w:sz w:val="16"/>
              </w:rPr>
              <w:t>568.87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5F0F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799D02">
            <w:pPr>
              <w:jc w:val="center"/>
            </w:pPr>
            <w:r>
              <w:rPr>
                <w:rFonts w:ascii="宋体" w:hAnsi="宋体" w:eastAsia="宋体"/>
                <w:sz w:val="16"/>
              </w:rPr>
              <w:t>98.98%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59DFB">
            <w:pPr>
              <w:jc w:val="center"/>
            </w:pPr>
            <w:r>
              <w:rPr>
                <w:rFonts w:ascii="宋体" w:hAnsi="宋体" w:eastAsia="宋体"/>
                <w:sz w:val="16"/>
              </w:rPr>
              <w:t>9.9</w:t>
            </w:r>
          </w:p>
        </w:tc>
      </w:tr>
      <w:tr w14:paraId="69ADD2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4DC0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AA50C">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A8B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2BCA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2970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7A6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DB9D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F942A">
            <w:pPr>
              <w:jc w:val="center"/>
            </w:pPr>
            <w:r>
              <w:rPr>
                <w:rFonts w:ascii="宋体" w:hAnsi="宋体" w:eastAsia="宋体"/>
                <w:sz w:val="16"/>
              </w:rPr>
              <w:t>—</w:t>
            </w:r>
          </w:p>
        </w:tc>
      </w:tr>
      <w:tr w14:paraId="20D775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1752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F4E18">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C9224B">
            <w:pPr>
              <w:jc w:val="center"/>
            </w:pPr>
            <w:r>
              <w:rPr>
                <w:rFonts w:ascii="宋体" w:hAnsi="宋体" w:eastAsia="宋体"/>
                <w:sz w:val="16"/>
              </w:rPr>
              <w:t>485.56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F8C829">
            <w:pPr>
              <w:jc w:val="center"/>
            </w:pPr>
            <w:r>
              <w:rPr>
                <w:rFonts w:ascii="宋体" w:hAnsi="宋体" w:eastAsia="宋体"/>
                <w:sz w:val="16"/>
              </w:rPr>
              <w:t>574.73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53288">
            <w:pPr>
              <w:jc w:val="center"/>
            </w:pPr>
            <w:r>
              <w:rPr>
                <w:rFonts w:ascii="宋体" w:hAnsi="宋体" w:eastAsia="宋体"/>
                <w:sz w:val="16"/>
              </w:rPr>
              <w:t>568.87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5116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AA8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422D92">
            <w:pPr>
              <w:jc w:val="center"/>
            </w:pPr>
            <w:r>
              <w:rPr>
                <w:rFonts w:ascii="宋体" w:hAnsi="宋体" w:eastAsia="宋体"/>
                <w:sz w:val="16"/>
              </w:rPr>
              <w:t>—</w:t>
            </w:r>
          </w:p>
        </w:tc>
      </w:tr>
      <w:tr w14:paraId="203358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F850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6232BB">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5D8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552E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1EEB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DFD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05A6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4294B">
            <w:pPr>
              <w:jc w:val="center"/>
            </w:pPr>
            <w:r>
              <w:rPr>
                <w:rFonts w:ascii="宋体" w:hAnsi="宋体" w:eastAsia="宋体"/>
                <w:sz w:val="16"/>
              </w:rPr>
              <w:t>—</w:t>
            </w:r>
          </w:p>
        </w:tc>
      </w:tr>
      <w:tr w14:paraId="60EFABF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9030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6C48E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E99AC39">
            <w:pPr>
              <w:jc w:val="center"/>
            </w:pPr>
            <w:r>
              <w:rPr>
                <w:rFonts w:ascii="宋体" w:hAnsi="宋体" w:eastAsia="宋体"/>
                <w:sz w:val="16"/>
              </w:rPr>
              <w:t>实际完成情况</w:t>
            </w:r>
          </w:p>
        </w:tc>
      </w:tr>
      <w:tr w14:paraId="005D2C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E4B998"/>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EA166AD">
            <w:pPr>
              <w:jc w:val="both"/>
            </w:pPr>
            <w:r>
              <w:rPr>
                <w:rFonts w:ascii="宋体" w:hAnsi="宋体" w:eastAsia="宋体"/>
                <w:sz w:val="16"/>
              </w:rPr>
              <w:t>确保在职人员的工资、津贴、补贴、社保、医保、公积金等以及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强制免疫密度达到90%以上，抗体效价合格率年保持80%以上，已严格按照春，秋两季集中免疫工作开展指导检查，查找免疫漏洞，补偿疫苗不良反应导致的损失，保障农牧民的正常生活。经费统筹使用效率进一步提高</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C77F9A">
            <w:pPr>
              <w:jc w:val="both"/>
            </w:pPr>
            <w:r>
              <w:rPr>
                <w:rFonts w:ascii="宋体" w:hAnsi="宋体" w:eastAsia="宋体"/>
                <w:sz w:val="16"/>
              </w:rPr>
              <w:t>为依法规范开展阿克陶县动物疫病监测与流行病学调查工作，科学分析研判动物疫病发生风险和流行趋势，不断提高我县动物疫病风险评估和监测预警预报能力，有序推进全县动物疫病防控工作，切实做好 2024 年全县家畜强制免疫导致死亡补偿，为了促进养殖业发展全年春秋免疫疫苗完成，为了转变全县经济发展方式，促进畜牧业健康发展，本部门高度重视，进行全面、真实、准确的报送数据，坚持关口前移“人病兽防”，从源头前端阻断人畜共患病等疫病的传播扩散。加强对动物防疫活动的管理、预警评估、预防、 控制、净化、消灭动物病源，促进养殖业发展，防控人畜共患</w:t>
            </w:r>
            <w:r>
              <w:rPr>
                <w:rFonts w:hint="eastAsia" w:ascii="宋体" w:hAnsi="宋体"/>
                <w:sz w:val="16"/>
                <w:lang w:val="en-US" w:eastAsia="zh-CN"/>
              </w:rPr>
              <w:t>疾病</w:t>
            </w:r>
            <w:r>
              <w:rPr>
                <w:rFonts w:ascii="宋体" w:hAnsi="宋体" w:eastAsia="宋体"/>
                <w:sz w:val="16"/>
              </w:rPr>
              <w:t>，保障公共卫生安全和人体健康。</w:t>
            </w:r>
          </w:p>
        </w:tc>
      </w:tr>
      <w:tr w14:paraId="3ECE971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1418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F7E421">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EAE6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128DC">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06A6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D1951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8A16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4D2B3">
            <w:pPr>
              <w:jc w:val="center"/>
            </w:pPr>
            <w:r>
              <w:rPr>
                <w:rFonts w:ascii="宋体" w:hAnsi="宋体" w:eastAsia="宋体"/>
                <w:sz w:val="16"/>
              </w:rPr>
              <w:t>得分</w:t>
            </w:r>
          </w:p>
        </w:tc>
      </w:tr>
      <w:tr w14:paraId="1B15C65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D8360">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CC30C">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1899AA">
            <w:pPr>
              <w:jc w:val="center"/>
            </w:pPr>
            <w:r>
              <w:rPr>
                <w:rFonts w:ascii="宋体" w:hAnsi="宋体" w:eastAsia="宋体"/>
                <w:sz w:val="16"/>
              </w:rPr>
              <w:t>在职人员工资福利支出预算保障人数（人）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511C90">
            <w:pPr>
              <w:jc w:val="center"/>
            </w:pPr>
            <w:r>
              <w:rPr>
                <w:rFonts w:ascii="宋体" w:hAnsi="宋体" w:eastAsia="宋体"/>
                <w:sz w:val="16"/>
              </w:rPr>
              <w:t>&gt;=31人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C9A02">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D28A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9F1AEF">
            <w:pPr>
              <w:jc w:val="center"/>
            </w:pPr>
            <w:r>
              <w:rPr>
                <w:rFonts w:ascii="宋体" w:hAnsi="宋体" w:eastAsia="宋体"/>
                <w:sz w:val="16"/>
              </w:rPr>
              <w: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665359">
            <w:pPr>
              <w:jc w:val="center"/>
            </w:pPr>
            <w:r>
              <w:rPr>
                <w:rFonts w:ascii="宋体" w:hAnsi="宋体" w:eastAsia="宋体"/>
                <w:sz w:val="16"/>
              </w:rPr>
              <w:t>6.77</w:t>
            </w:r>
          </w:p>
        </w:tc>
      </w:tr>
      <w:tr w14:paraId="74BDDE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A7B1D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631AC">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EFA70">
            <w:pPr>
              <w:jc w:val="center"/>
            </w:pPr>
            <w:r>
              <w:rPr>
                <w:rFonts w:ascii="宋体" w:hAnsi="宋体" w:eastAsia="宋体"/>
                <w:sz w:val="16"/>
              </w:rPr>
              <w:t>年初部门整体预算控制数（万元）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D2693">
            <w:pPr>
              <w:jc w:val="center"/>
            </w:pPr>
            <w:r>
              <w:rPr>
                <w:rFonts w:ascii="宋体" w:hAnsi="宋体" w:eastAsia="宋体"/>
                <w:sz w:val="16"/>
              </w:rPr>
              <w:t>&lt;=485.56万元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FF4DB">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C7D9B8">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3C9E8A">
            <w:pPr>
              <w:jc w:val="center"/>
            </w:pPr>
            <w:r>
              <w:rPr>
                <w:rFonts w:ascii="宋体" w:hAnsi="宋体" w:eastAsia="宋体"/>
                <w:sz w:val="16"/>
              </w:rPr>
              <w:t>568.87万元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2B2D2">
            <w:pPr>
              <w:jc w:val="center"/>
            </w:pPr>
            <w:r>
              <w:rPr>
                <w:rFonts w:ascii="宋体" w:hAnsi="宋体" w:eastAsia="宋体"/>
                <w:sz w:val="16"/>
              </w:rPr>
              <w:t>12.8</w:t>
            </w:r>
          </w:p>
        </w:tc>
      </w:tr>
      <w:tr w14:paraId="29F3208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5C51E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0F274">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CCEFA">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8694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2DD443">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E716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7E233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C21D2">
            <w:pPr>
              <w:jc w:val="center"/>
            </w:pPr>
            <w:r>
              <w:rPr>
                <w:rFonts w:ascii="宋体" w:hAnsi="宋体" w:eastAsia="宋体"/>
                <w:sz w:val="16"/>
              </w:rPr>
              <w:t>15</w:t>
            </w:r>
          </w:p>
        </w:tc>
      </w:tr>
      <w:tr w14:paraId="5E7ED4F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A212B">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ED2F0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CA490">
            <w:pPr>
              <w:jc w:val="center"/>
            </w:pPr>
            <w:r>
              <w:rPr>
                <w:rFonts w:ascii="宋体" w:hAnsi="宋体" w:eastAsia="宋体"/>
                <w:sz w:val="16"/>
              </w:rPr>
              <w:t>提高动物疫病防治效率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B3B301">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4E686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8C09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1FA02A">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87599">
            <w:pPr>
              <w:jc w:val="center"/>
            </w:pPr>
            <w:r>
              <w:rPr>
                <w:rFonts w:ascii="宋体" w:hAnsi="宋体" w:eastAsia="宋体"/>
                <w:sz w:val="16"/>
              </w:rPr>
              <w:t>10</w:t>
            </w:r>
          </w:p>
        </w:tc>
      </w:tr>
      <w:tr w14:paraId="50ED44B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3F814">
            <w:pPr>
              <w:jc w:val="center"/>
            </w:pPr>
            <w:r>
              <w:rPr>
                <w:rFonts w:ascii="宋体" w:hAnsi="宋体" w:eastAsia="宋体"/>
                <w:sz w:val="16"/>
              </w:rPr>
              <w:t>履职效能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CA7FB">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B0E4D7">
            <w:pPr>
              <w:jc w:val="center"/>
            </w:pPr>
            <w:r>
              <w:rPr>
                <w:rFonts w:ascii="宋体" w:hAnsi="宋体" w:eastAsia="宋体"/>
                <w:sz w:val="16"/>
              </w:rPr>
              <w:t>应免畜禽免疫密度（%）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158BC">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C2918E">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E216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89CC4">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99D80">
            <w:pPr>
              <w:jc w:val="center"/>
            </w:pPr>
            <w:r>
              <w:rPr>
                <w:rFonts w:ascii="宋体" w:hAnsi="宋体" w:eastAsia="宋体"/>
                <w:sz w:val="16"/>
              </w:rPr>
              <w:t>10</w:t>
            </w:r>
          </w:p>
        </w:tc>
      </w:tr>
      <w:tr w14:paraId="13CE5F3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82478">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071801">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71D25D">
            <w:pPr>
              <w:jc w:val="center"/>
            </w:pPr>
            <w:r>
              <w:rPr>
                <w:rFonts w:ascii="宋体" w:hAnsi="宋体" w:eastAsia="宋体"/>
                <w:sz w:val="16"/>
              </w:rPr>
              <w:t>提供动物</w:t>
            </w:r>
            <w:r>
              <w:rPr>
                <w:rFonts w:hint="eastAsia" w:ascii="宋体" w:hAnsi="宋体"/>
                <w:sz w:val="16"/>
                <w:lang w:eastAsia="zh-CN"/>
              </w:rPr>
              <w:t>YQ</w:t>
            </w:r>
            <w:r>
              <w:rPr>
                <w:rFonts w:ascii="宋体" w:hAnsi="宋体" w:eastAsia="宋体"/>
                <w:sz w:val="16"/>
              </w:rPr>
              <w:t>检测，减少疫苗反应导致死亡，减轻农牧民经济损失。</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799D9">
            <w:pPr>
              <w:jc w:val="center"/>
            </w:pPr>
            <w:r>
              <w:rPr>
                <w:rFonts w:ascii="宋体" w:hAnsi="宋体" w:eastAsia="宋体"/>
                <w:sz w:val="16"/>
              </w:rPr>
              <w:t>提供</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E14C0">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12A20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9FA089">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94F2C">
            <w:pPr>
              <w:jc w:val="center"/>
            </w:pPr>
            <w:r>
              <w:rPr>
                <w:rFonts w:ascii="宋体" w:hAnsi="宋体" w:eastAsia="宋体"/>
                <w:sz w:val="16"/>
              </w:rPr>
              <w:t>10</w:t>
            </w:r>
          </w:p>
        </w:tc>
      </w:tr>
      <w:tr w14:paraId="4866571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D9E9F">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AB88D">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5186B">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C6ABA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092D6F">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0753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45B6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7E3357">
            <w:pPr>
              <w:jc w:val="center"/>
            </w:pPr>
            <w:r>
              <w:rPr>
                <w:rFonts w:ascii="宋体" w:hAnsi="宋体" w:eastAsia="宋体"/>
                <w:sz w:val="16"/>
              </w:rPr>
              <w:t>10</w:t>
            </w:r>
          </w:p>
        </w:tc>
      </w:tr>
      <w:tr w14:paraId="23A3B5B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50ACB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A76DB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BF27F">
            <w:pPr>
              <w:jc w:val="center"/>
            </w:pPr>
            <w:r>
              <w:rPr>
                <w:rFonts w:ascii="宋体" w:hAnsi="宋体" w:eastAsia="宋体"/>
                <w:sz w:val="16"/>
              </w:rPr>
              <w:t>社会公众部门履职</w:t>
            </w:r>
            <w:r>
              <w:rPr>
                <w:rFonts w:hint="eastAsia" w:ascii="宋体" w:hAnsi="宋体"/>
                <w:sz w:val="16"/>
                <w:lang w:eastAsia="zh-CN"/>
              </w:rPr>
              <w:t>效果</w:t>
            </w:r>
            <w:r>
              <w:rPr>
                <w:rFonts w:ascii="宋体" w:hAnsi="宋体" w:eastAsia="宋体"/>
                <w:sz w:val="16"/>
              </w:rPr>
              <w:t>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21F9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C16BC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605B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E37DE">
            <w:pPr>
              <w:jc w:val="center"/>
            </w:pPr>
            <w:r>
              <w:rPr>
                <w:rFonts w:ascii="宋体" w:hAnsi="宋体" w:eastAsia="宋体"/>
                <w:sz w:val="16"/>
              </w:rPr>
              <w:t>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99B53C">
            <w:pPr>
              <w:jc w:val="center"/>
            </w:pPr>
            <w:r>
              <w:rPr>
                <w:rFonts w:ascii="宋体" w:hAnsi="宋体" w:eastAsia="宋体"/>
                <w:sz w:val="16"/>
              </w:rPr>
              <w:t>10</w:t>
            </w:r>
          </w:p>
        </w:tc>
      </w:tr>
    </w:tbl>
    <w:p w14:paraId="28BD87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57DB33A">
        <w:tblPrEx>
          <w:tblCellMar>
            <w:top w:w="0" w:type="dxa"/>
            <w:left w:w="108" w:type="dxa"/>
            <w:bottom w:w="0" w:type="dxa"/>
            <w:right w:w="108" w:type="dxa"/>
          </w:tblCellMar>
        </w:tblPrEx>
        <w:tc>
          <w:tcPr>
            <w:tcW w:w="8848" w:type="dxa"/>
            <w:gridSpan w:val="14"/>
            <w:vAlign w:val="center"/>
          </w:tcPr>
          <w:p w14:paraId="00E6FD87">
            <w:pPr>
              <w:jc w:val="center"/>
            </w:pPr>
            <w:r>
              <w:rPr>
                <w:rFonts w:ascii="宋体" w:hAnsi="宋体" w:eastAsia="宋体"/>
                <w:sz w:val="24"/>
              </w:rPr>
              <w:t>项目支出绩效自评表</w:t>
            </w:r>
          </w:p>
        </w:tc>
      </w:tr>
      <w:tr w14:paraId="5A5462D0">
        <w:tblPrEx>
          <w:tblCellMar>
            <w:top w:w="0" w:type="dxa"/>
            <w:left w:w="108" w:type="dxa"/>
            <w:bottom w:w="0" w:type="dxa"/>
            <w:right w:w="108" w:type="dxa"/>
          </w:tblCellMar>
        </w:tblPrEx>
        <w:tc>
          <w:tcPr>
            <w:tcW w:w="8848" w:type="dxa"/>
            <w:gridSpan w:val="14"/>
            <w:vAlign w:val="center"/>
          </w:tcPr>
          <w:p w14:paraId="2B4207D5">
            <w:pPr>
              <w:jc w:val="center"/>
            </w:pPr>
            <w:r>
              <w:rPr>
                <w:rFonts w:ascii="宋体" w:hAnsi="宋体" w:eastAsia="宋体"/>
                <w:sz w:val="24"/>
              </w:rPr>
              <w:t>(2024年度)</w:t>
            </w:r>
          </w:p>
        </w:tc>
      </w:tr>
      <w:tr w14:paraId="48E574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18BF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E4404B">
            <w:pPr>
              <w:jc w:val="center"/>
            </w:pPr>
            <w:r>
              <w:rPr>
                <w:rFonts w:ascii="宋体" w:hAnsi="宋体" w:eastAsia="宋体"/>
                <w:sz w:val="16"/>
              </w:rPr>
              <w:t>2024年动物</w:t>
            </w:r>
            <w:r>
              <w:rPr>
                <w:rFonts w:hint="eastAsia" w:ascii="宋体" w:hAnsi="宋体"/>
                <w:sz w:val="16"/>
                <w:lang w:eastAsia="zh-CN"/>
              </w:rPr>
              <w:t>YQ</w:t>
            </w:r>
            <w:r>
              <w:rPr>
                <w:rFonts w:ascii="宋体" w:hAnsi="宋体" w:eastAsia="宋体"/>
                <w:sz w:val="16"/>
              </w:rPr>
              <w:t>监测经费(县级)</w:t>
            </w:r>
          </w:p>
        </w:tc>
      </w:tr>
      <w:tr w14:paraId="718CE4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B47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340C1">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CE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C0611F">
            <w:pPr>
              <w:jc w:val="center"/>
            </w:pPr>
            <w:r>
              <w:rPr>
                <w:rFonts w:ascii="宋体" w:hAnsi="宋体" w:eastAsia="宋体"/>
                <w:sz w:val="16"/>
              </w:rPr>
              <w:t>阿克陶县畜牧兽医站</w:t>
            </w:r>
          </w:p>
        </w:tc>
      </w:tr>
      <w:tr w14:paraId="62BF11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0218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00B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289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663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8B5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1FE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5748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540E">
            <w:pPr>
              <w:jc w:val="center"/>
            </w:pPr>
            <w:r>
              <w:rPr>
                <w:rFonts w:ascii="宋体" w:hAnsi="宋体" w:eastAsia="宋体"/>
                <w:sz w:val="16"/>
              </w:rPr>
              <w:t>得分</w:t>
            </w:r>
          </w:p>
        </w:tc>
      </w:tr>
      <w:tr w14:paraId="2E0DD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B31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D38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7CD8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5BB6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3A709">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4DD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85019">
            <w:pPr>
              <w:jc w:val="center"/>
            </w:pPr>
            <w:r>
              <w:rPr>
                <w:rFonts w:ascii="宋体" w:hAnsi="宋体" w:eastAsia="宋体"/>
                <w:sz w:val="16"/>
              </w:rPr>
              <w:t>47.2%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9C7FF">
            <w:pPr>
              <w:jc w:val="center"/>
            </w:pPr>
            <w:r>
              <w:rPr>
                <w:rFonts w:ascii="宋体" w:hAnsi="宋体" w:eastAsia="宋体"/>
                <w:sz w:val="16"/>
              </w:rPr>
              <w:t>0.00分</w:t>
            </w:r>
          </w:p>
        </w:tc>
      </w:tr>
      <w:tr w14:paraId="6F921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C47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BB15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BDB9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32E8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A5DA7">
            <w:pPr>
              <w:jc w:val="center"/>
            </w:pPr>
            <w:r>
              <w:rPr>
                <w:rFonts w:ascii="宋体" w:hAnsi="宋体" w:eastAsia="宋体"/>
                <w:sz w:val="16"/>
              </w:rPr>
              <w:t>2.36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8C9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31D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68FE7">
            <w:pPr>
              <w:jc w:val="center"/>
            </w:pPr>
            <w:r>
              <w:rPr>
                <w:rFonts w:ascii="宋体" w:hAnsi="宋体" w:eastAsia="宋体"/>
                <w:sz w:val="16"/>
              </w:rPr>
              <w:t>—</w:t>
            </w:r>
          </w:p>
        </w:tc>
      </w:tr>
      <w:tr w14:paraId="020E7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3A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0657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B6F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FF3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AA5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149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C04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F8371">
            <w:pPr>
              <w:jc w:val="center"/>
            </w:pPr>
            <w:r>
              <w:rPr>
                <w:rFonts w:ascii="宋体" w:hAnsi="宋体" w:eastAsia="宋体"/>
                <w:sz w:val="16"/>
              </w:rPr>
              <w:t>—</w:t>
            </w:r>
          </w:p>
        </w:tc>
      </w:tr>
      <w:tr w14:paraId="16EE55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697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590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613AA0">
            <w:pPr>
              <w:jc w:val="center"/>
            </w:pPr>
            <w:r>
              <w:rPr>
                <w:rFonts w:ascii="宋体" w:hAnsi="宋体" w:eastAsia="宋体"/>
                <w:sz w:val="16"/>
              </w:rPr>
              <w:t>实际完成情况</w:t>
            </w:r>
          </w:p>
        </w:tc>
      </w:tr>
      <w:tr w14:paraId="51544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C96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F9D19F">
            <w:pPr>
              <w:jc w:val="both"/>
            </w:pPr>
            <w:r>
              <w:rPr>
                <w:rFonts w:ascii="宋体" w:hAnsi="宋体" w:eastAsia="宋体"/>
                <w:sz w:val="16"/>
              </w:rPr>
              <w:t>用于动物疫病流行病学检测样品采集，免疫后样品采集，实验室所需诊断试剂，抗体抗原，药品，耗材医疗器械等物资的采购和车辆燃油费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B8E077">
            <w:pPr>
              <w:jc w:val="both"/>
            </w:pPr>
            <w:r>
              <w:rPr>
                <w:rFonts w:ascii="宋体" w:hAnsi="宋体" w:eastAsia="宋体"/>
                <w:sz w:val="16"/>
              </w:rPr>
              <w:t>切实做好 2024 年全县家畜强制免疫导致死亡补偿，为了促进养殖业发展全年春秋免疫疫苗完成，为了转变全县经济发展方式，促进畜牧业健康发展，本部门高度重视，进行全面、真实、准确的报送数据，坚持关口前移“人病兽防”，从源头前端阻断人畜共患病等疫病的传播扩散。在本站实验室659份疫病监测样品监测实验未发现可疑样品，完成1990余份口蹄疫、禽流感、小反刍兽疫、布病免疫抗体检测实验。</w:t>
            </w:r>
          </w:p>
        </w:tc>
      </w:tr>
      <w:tr w14:paraId="49496E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5CB5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E5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EA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F4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DF9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807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0B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751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47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4A0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8D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0BC7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4B3C8">
            <w:pPr>
              <w:jc w:val="center"/>
            </w:pPr>
            <w:r>
              <w:rPr>
                <w:rFonts w:ascii="宋体" w:hAnsi="宋体" w:eastAsia="宋体"/>
                <w:sz w:val="16"/>
              </w:rPr>
              <w:t>偏差原因分析及改进措施</w:t>
            </w:r>
          </w:p>
        </w:tc>
      </w:tr>
      <w:tr w14:paraId="3D11D0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492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ADE71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C5E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961B">
            <w:pPr>
              <w:jc w:val="center"/>
            </w:pPr>
            <w:r>
              <w:rPr>
                <w:rFonts w:ascii="宋体" w:hAnsi="宋体" w:eastAsia="宋体"/>
                <w:sz w:val="16"/>
              </w:rPr>
              <w:t>检测全动物抗体效价次数（次）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3887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1F7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08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70B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3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C8D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9D0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EA7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3F5E5">
            <w:pPr>
              <w:jc w:val="center"/>
            </w:pPr>
          </w:p>
        </w:tc>
      </w:tr>
      <w:tr w14:paraId="0E5C1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57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23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00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A32DA">
            <w:pPr>
              <w:jc w:val="center"/>
            </w:pPr>
            <w:r>
              <w:rPr>
                <w:rFonts w:ascii="宋体" w:hAnsi="宋体" w:eastAsia="宋体"/>
                <w:sz w:val="16"/>
              </w:rPr>
              <w:t>全县家畜强制免疫的免疫密度（%）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4A88">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8A2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6F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415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9B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45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B3F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1BC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73669">
            <w:pPr>
              <w:jc w:val="center"/>
            </w:pPr>
          </w:p>
        </w:tc>
      </w:tr>
      <w:tr w14:paraId="101BD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64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9F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0FE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2FD17">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9BB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0E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D4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56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95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35D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2C8F7">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CA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DEA25">
            <w:pPr>
              <w:jc w:val="center"/>
            </w:pPr>
          </w:p>
        </w:tc>
      </w:tr>
      <w:tr w14:paraId="730BD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FED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022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59C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802E1">
            <w:pPr>
              <w:jc w:val="center"/>
            </w:pPr>
            <w:r>
              <w:rPr>
                <w:rFonts w:ascii="宋体" w:hAnsi="宋体" w:eastAsia="宋体"/>
                <w:sz w:val="16"/>
              </w:rPr>
              <w:t>动物</w:t>
            </w:r>
            <w:r>
              <w:rPr>
                <w:rFonts w:hint="eastAsia" w:ascii="宋体" w:hAnsi="宋体"/>
                <w:sz w:val="16"/>
                <w:lang w:eastAsia="zh-CN"/>
              </w:rPr>
              <w:t>YQ</w:t>
            </w:r>
            <w:r>
              <w:rPr>
                <w:rFonts w:ascii="宋体" w:hAnsi="宋体" w:eastAsia="宋体"/>
                <w:sz w:val="16"/>
              </w:rPr>
              <w:t>检测经费（万元）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0D4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A8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7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34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03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8D3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E1F1D">
            <w:pPr>
              <w:jc w:val="center"/>
            </w:pPr>
            <w:r>
              <w:rPr>
                <w:rFonts w:ascii="宋体" w:hAnsi="宋体" w:eastAsia="宋体"/>
                <w:sz w:val="16"/>
              </w:rPr>
              <w:t>=2.36万元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AC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8738C">
            <w:pPr>
              <w:jc w:val="center"/>
            </w:pPr>
            <w:r>
              <w:rPr>
                <w:rFonts w:ascii="宋体" w:hAnsi="宋体" w:eastAsia="宋体"/>
                <w:sz w:val="16"/>
              </w:rPr>
              <w:t>阿克陶县畜牧兽医站2024年使用金额为2.36万元，2.64万元用于秋季免疫密度检测费用，采购实验室耗材，资金计划用于第四季度年末检测。工作已完成但来不及做采购计划，因支付资料缺少原因，无法完成项目资金使用率100%。</w:t>
            </w:r>
          </w:p>
        </w:tc>
      </w:tr>
      <w:tr w14:paraId="7E605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A78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CC1F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0B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DB8C">
            <w:pPr>
              <w:jc w:val="center"/>
            </w:pPr>
            <w:r>
              <w:rPr>
                <w:rFonts w:ascii="宋体" w:hAnsi="宋体" w:eastAsia="宋体"/>
                <w:sz w:val="16"/>
              </w:rPr>
              <w:t>促进养殖发展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C22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3C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E8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9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14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9F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2B2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FD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D17CE">
            <w:pPr>
              <w:jc w:val="center"/>
            </w:pPr>
          </w:p>
        </w:tc>
      </w:tr>
      <w:tr w14:paraId="0EDFA9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5F1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A50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55B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4717">
            <w:pPr>
              <w:jc w:val="center"/>
            </w:pPr>
            <w:r>
              <w:rPr>
                <w:rFonts w:ascii="宋体" w:hAnsi="宋体" w:eastAsia="宋体"/>
                <w:sz w:val="16"/>
              </w:rPr>
              <w:t>保障养殖业产出，提高农牧民收入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9509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40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08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9E9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F64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149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190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58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F2453">
            <w:pPr>
              <w:jc w:val="center"/>
            </w:pPr>
          </w:p>
        </w:tc>
      </w:tr>
      <w:tr w14:paraId="7D368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94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6B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634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718E9">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74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81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E8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9B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62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87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8DE3">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075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1266E">
            <w:pPr>
              <w:jc w:val="center"/>
            </w:pPr>
          </w:p>
        </w:tc>
      </w:tr>
      <w:tr w14:paraId="39C7380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E9DD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CD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26EC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F8556">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90A759"/>
        </w:tc>
      </w:tr>
    </w:tbl>
    <w:p w14:paraId="21DAB3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0B6AFA2">
        <w:tblPrEx>
          <w:tblCellMar>
            <w:top w:w="0" w:type="dxa"/>
            <w:left w:w="108" w:type="dxa"/>
            <w:bottom w:w="0" w:type="dxa"/>
            <w:right w:w="108" w:type="dxa"/>
          </w:tblCellMar>
        </w:tblPrEx>
        <w:tc>
          <w:tcPr>
            <w:tcW w:w="8848" w:type="dxa"/>
            <w:gridSpan w:val="14"/>
            <w:vAlign w:val="center"/>
          </w:tcPr>
          <w:p w14:paraId="3B8567A1">
            <w:pPr>
              <w:jc w:val="center"/>
            </w:pPr>
            <w:r>
              <w:rPr>
                <w:rFonts w:ascii="宋体" w:hAnsi="宋体" w:eastAsia="宋体"/>
                <w:sz w:val="24"/>
              </w:rPr>
              <w:t>项目支出绩效自评表</w:t>
            </w:r>
          </w:p>
        </w:tc>
      </w:tr>
      <w:tr w14:paraId="59FD76FF">
        <w:tblPrEx>
          <w:tblCellMar>
            <w:top w:w="0" w:type="dxa"/>
            <w:left w:w="108" w:type="dxa"/>
            <w:bottom w:w="0" w:type="dxa"/>
            <w:right w:w="108" w:type="dxa"/>
          </w:tblCellMar>
        </w:tblPrEx>
        <w:tc>
          <w:tcPr>
            <w:tcW w:w="8848" w:type="dxa"/>
            <w:gridSpan w:val="14"/>
            <w:vAlign w:val="center"/>
          </w:tcPr>
          <w:p w14:paraId="7837DB9F">
            <w:pPr>
              <w:jc w:val="center"/>
            </w:pPr>
            <w:r>
              <w:rPr>
                <w:rFonts w:ascii="宋体" w:hAnsi="宋体" w:eastAsia="宋体"/>
                <w:sz w:val="24"/>
              </w:rPr>
              <w:t>(2024年度)</w:t>
            </w:r>
          </w:p>
        </w:tc>
      </w:tr>
      <w:tr w14:paraId="1D9942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49B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4FC56B">
            <w:pPr>
              <w:jc w:val="center"/>
            </w:pPr>
            <w:r>
              <w:rPr>
                <w:rFonts w:ascii="宋体" w:hAnsi="宋体" w:eastAsia="宋体"/>
                <w:sz w:val="16"/>
              </w:rPr>
              <w:t>2024年疫苗反应导致牲畜死亡补偿金（县级）</w:t>
            </w:r>
          </w:p>
        </w:tc>
      </w:tr>
      <w:tr w14:paraId="230D01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AE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681FB">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615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E703DA">
            <w:pPr>
              <w:jc w:val="center"/>
            </w:pPr>
            <w:r>
              <w:rPr>
                <w:rFonts w:ascii="宋体" w:hAnsi="宋体" w:eastAsia="宋体"/>
                <w:sz w:val="16"/>
              </w:rPr>
              <w:t>阿克陶县畜牧兽医站</w:t>
            </w:r>
          </w:p>
        </w:tc>
      </w:tr>
      <w:tr w14:paraId="149481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9ACB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9D4E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942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9B8B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0377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245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6CA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A6FD">
            <w:pPr>
              <w:jc w:val="center"/>
            </w:pPr>
            <w:r>
              <w:rPr>
                <w:rFonts w:ascii="宋体" w:hAnsi="宋体" w:eastAsia="宋体"/>
                <w:sz w:val="16"/>
              </w:rPr>
              <w:t>得分</w:t>
            </w:r>
          </w:p>
        </w:tc>
      </w:tr>
      <w:tr w14:paraId="5F2337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DD3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33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D4F7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84C6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2AA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C5E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DD3B4">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BED6">
            <w:pPr>
              <w:jc w:val="center"/>
            </w:pPr>
            <w:r>
              <w:rPr>
                <w:rFonts w:ascii="宋体" w:hAnsi="宋体" w:eastAsia="宋体"/>
                <w:sz w:val="16"/>
              </w:rPr>
              <w:t>0.00分</w:t>
            </w:r>
          </w:p>
        </w:tc>
      </w:tr>
      <w:tr w14:paraId="65FD89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B12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AE0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6938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A4DD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F21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199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B92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04F9">
            <w:pPr>
              <w:jc w:val="center"/>
            </w:pPr>
            <w:r>
              <w:rPr>
                <w:rFonts w:ascii="宋体" w:hAnsi="宋体" w:eastAsia="宋体"/>
                <w:sz w:val="16"/>
              </w:rPr>
              <w:t>—</w:t>
            </w:r>
          </w:p>
        </w:tc>
      </w:tr>
      <w:tr w14:paraId="285C17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445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53C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BDC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AC0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0C0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7A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FBE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0D06">
            <w:pPr>
              <w:jc w:val="center"/>
            </w:pPr>
            <w:r>
              <w:rPr>
                <w:rFonts w:ascii="宋体" w:hAnsi="宋体" w:eastAsia="宋体"/>
                <w:sz w:val="16"/>
              </w:rPr>
              <w:t>—</w:t>
            </w:r>
          </w:p>
        </w:tc>
      </w:tr>
      <w:tr w14:paraId="5008BC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E53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72798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05A071">
            <w:pPr>
              <w:jc w:val="center"/>
            </w:pPr>
            <w:r>
              <w:rPr>
                <w:rFonts w:ascii="宋体" w:hAnsi="宋体" w:eastAsia="宋体"/>
                <w:sz w:val="16"/>
              </w:rPr>
              <w:t>实际完成情况</w:t>
            </w:r>
          </w:p>
        </w:tc>
      </w:tr>
      <w:tr w14:paraId="0FE09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528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EEEA70">
            <w:pPr>
              <w:jc w:val="both"/>
            </w:pPr>
            <w:r>
              <w:rPr>
                <w:rFonts w:ascii="宋体" w:hAnsi="宋体" w:eastAsia="宋体"/>
                <w:sz w:val="16"/>
              </w:rPr>
              <w:t>全县畜禽强制免疫工作中出现的口蹄疫、布病、小反刍兽疫等疫苗注射应激反应导致死亡补偿，为了减轻养殖户经济损失和减少因疫苗反应带来的负面社会影响，全年春秋免疫工作结束后一次性发放补助。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C2523B">
            <w:pPr>
              <w:jc w:val="both"/>
            </w:pPr>
            <w:r>
              <w:rPr>
                <w:rFonts w:ascii="宋体" w:hAnsi="宋体" w:eastAsia="宋体"/>
                <w:sz w:val="16"/>
              </w:rPr>
              <w:t>用于在畜牧业动物强制免疫工作中，由于牲畜个体差异原因，注射口蹄疫等疫苗后出现不良反应，有时发生导致牲畜死亡、怀孕母畜流产等现象。为减少牲畜疫苗不良反应对农牧民所带来的经济损失和社会负面影响。</w:t>
            </w:r>
          </w:p>
        </w:tc>
      </w:tr>
      <w:tr w14:paraId="6B27F2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655B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97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14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17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317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5B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D2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A0F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64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D38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B6D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BCC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0F66B">
            <w:pPr>
              <w:jc w:val="center"/>
            </w:pPr>
            <w:r>
              <w:rPr>
                <w:rFonts w:ascii="宋体" w:hAnsi="宋体" w:eastAsia="宋体"/>
                <w:sz w:val="16"/>
              </w:rPr>
              <w:t>偏差原因分析及改进措施</w:t>
            </w:r>
          </w:p>
        </w:tc>
      </w:tr>
      <w:tr w14:paraId="3F949C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C18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2150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B97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05D1">
            <w:pPr>
              <w:jc w:val="center"/>
            </w:pPr>
            <w:r>
              <w:rPr>
                <w:rFonts w:ascii="宋体" w:hAnsi="宋体" w:eastAsia="宋体"/>
                <w:sz w:val="16"/>
              </w:rPr>
              <w:t>补助疫苗反应导致死亡补偿金（年/次）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558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86D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C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3C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931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99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FCE2">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2B2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CFA1F">
            <w:pPr>
              <w:jc w:val="center"/>
            </w:pPr>
            <w:r>
              <w:rPr>
                <w:rFonts w:ascii="宋体" w:hAnsi="宋体" w:eastAsia="宋体"/>
                <w:sz w:val="16"/>
              </w:rPr>
              <w:t>2024年抗体检测未达标原因，第四季度秋季接触疫苗时全县动物重新开始补免疫苗工作</w:t>
            </w:r>
            <w:r>
              <w:rPr>
                <w:rFonts w:hint="eastAsia" w:ascii="宋体" w:hAnsi="宋体"/>
                <w:sz w:val="16"/>
                <w:lang w:eastAsia="zh-CN"/>
              </w:rPr>
              <w:t>截至</w:t>
            </w:r>
            <w:r>
              <w:rPr>
                <w:rFonts w:ascii="宋体" w:hAnsi="宋体" w:eastAsia="宋体"/>
                <w:sz w:val="16"/>
              </w:rPr>
              <w:t>12月20日。同时乡镇提供数据和资料收集不全面的原因无法统计动物疫苗反应导致死亡数据，无法完成这项工作，无法完成项目资金使用率100%。</w:t>
            </w:r>
          </w:p>
        </w:tc>
      </w:tr>
      <w:tr w14:paraId="7D2EA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B4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176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913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0F64A">
            <w:pPr>
              <w:jc w:val="center"/>
            </w:pPr>
            <w:r>
              <w:rPr>
                <w:rFonts w:ascii="宋体" w:hAnsi="宋体" w:eastAsia="宋体"/>
                <w:sz w:val="16"/>
              </w:rPr>
              <w:t>全县家畜强制免疫导致死亡补偿（%）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5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8A51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A57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90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E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63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5FA9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EBA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B4354">
            <w:pPr>
              <w:jc w:val="center"/>
            </w:pPr>
            <w:r>
              <w:rPr>
                <w:rFonts w:ascii="宋体" w:hAnsi="宋体" w:eastAsia="宋体"/>
                <w:sz w:val="16"/>
              </w:rPr>
              <w:t>2024年抗体检测未达标原因，第四季度秋季接触疫苗时全县动物重新开始补免疫苗工作</w:t>
            </w:r>
            <w:r>
              <w:rPr>
                <w:rFonts w:hint="eastAsia" w:ascii="宋体" w:hAnsi="宋体"/>
                <w:sz w:val="16"/>
                <w:lang w:eastAsia="zh-CN"/>
              </w:rPr>
              <w:t>截至</w:t>
            </w:r>
            <w:r>
              <w:rPr>
                <w:rFonts w:ascii="宋体" w:hAnsi="宋体" w:eastAsia="宋体"/>
                <w:sz w:val="16"/>
              </w:rPr>
              <w:t>12月20日。同时乡镇提供数据和资料收集不全面的原因无法统计动物疫苗反应导致死亡数据，无法完成这项工作，无法完成项目资金使用率100%。</w:t>
            </w:r>
          </w:p>
        </w:tc>
      </w:tr>
      <w:tr w14:paraId="5AA78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2EB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38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A8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08275">
            <w:pPr>
              <w:jc w:val="center"/>
            </w:pPr>
            <w:r>
              <w:rPr>
                <w:rFonts w:ascii="宋体" w:hAnsi="宋体" w:eastAsia="宋体"/>
                <w:sz w:val="16"/>
              </w:rPr>
              <w:t>项目完成时限（月）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391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00A3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D2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E90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3C4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00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4F53">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8EE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F61C5">
            <w:pPr>
              <w:jc w:val="center"/>
            </w:pPr>
            <w:r>
              <w:rPr>
                <w:rFonts w:ascii="宋体" w:hAnsi="宋体" w:eastAsia="宋体"/>
                <w:sz w:val="16"/>
              </w:rPr>
              <w:t>2024年抗体检测未达标原因，第四季度秋季接触疫苗时全县动物重新开始补免疫苗工作</w:t>
            </w:r>
            <w:r>
              <w:rPr>
                <w:rFonts w:hint="eastAsia" w:ascii="宋体" w:hAnsi="宋体"/>
                <w:sz w:val="16"/>
                <w:lang w:eastAsia="zh-CN"/>
              </w:rPr>
              <w:t>截至</w:t>
            </w:r>
            <w:r>
              <w:rPr>
                <w:rFonts w:ascii="宋体" w:hAnsi="宋体" w:eastAsia="宋体"/>
                <w:sz w:val="16"/>
              </w:rPr>
              <w:t>12月20日。同时乡镇提供数据和资料收集不全面的原因无法统计动物疫苗反应导致死亡数据，无法完成这项工作，无法完成项目资金使用率100%。</w:t>
            </w:r>
          </w:p>
        </w:tc>
      </w:tr>
      <w:tr w14:paraId="0F682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3F1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599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D6F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E3A4">
            <w:pPr>
              <w:jc w:val="center"/>
            </w:pPr>
            <w:r>
              <w:rPr>
                <w:rFonts w:ascii="宋体" w:hAnsi="宋体" w:eastAsia="宋体"/>
                <w:sz w:val="16"/>
              </w:rPr>
              <w:t>疫苗反应导致死亡补偿金（万元）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DE0D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05CB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1B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F70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8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5E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388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A76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72125">
            <w:pPr>
              <w:jc w:val="center"/>
            </w:pPr>
            <w:r>
              <w:rPr>
                <w:rFonts w:ascii="宋体" w:hAnsi="宋体" w:eastAsia="宋体"/>
                <w:sz w:val="16"/>
              </w:rPr>
              <w:t>2024年抗体检测未达标原因，第四季度秋季接触疫苗时全县动物重新开始补免疫苗工作</w:t>
            </w:r>
            <w:r>
              <w:rPr>
                <w:rFonts w:hint="eastAsia" w:ascii="宋体" w:hAnsi="宋体"/>
                <w:sz w:val="16"/>
                <w:lang w:eastAsia="zh-CN"/>
              </w:rPr>
              <w:t>截至</w:t>
            </w:r>
            <w:r>
              <w:rPr>
                <w:rFonts w:ascii="宋体" w:hAnsi="宋体" w:eastAsia="宋体"/>
                <w:sz w:val="16"/>
              </w:rPr>
              <w:t>12月20日。同时乡镇提供数据和资料收集不全面的原因无法统计动物疫苗反应导致死亡数据，无法完成这项工作，无法完成项目资金使用率100%。</w:t>
            </w:r>
          </w:p>
        </w:tc>
      </w:tr>
      <w:tr w14:paraId="1885C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83C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9BDE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40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11C2">
            <w:pPr>
              <w:jc w:val="center"/>
            </w:pPr>
            <w:r>
              <w:rPr>
                <w:rFonts w:ascii="宋体" w:hAnsi="宋体" w:eastAsia="宋体"/>
                <w:sz w:val="16"/>
              </w:rPr>
              <w:t>促进养殖业发展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24E7">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A8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30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1B9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E9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9D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2C7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CF2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3021B">
            <w:pPr>
              <w:jc w:val="center"/>
            </w:pPr>
            <w:r>
              <w:rPr>
                <w:rFonts w:ascii="宋体" w:hAnsi="宋体" w:eastAsia="宋体"/>
                <w:sz w:val="16"/>
              </w:rPr>
              <w:t>2024年抗体检测未达标原因，第四季度秋季接触疫苗时全县动物重新开始补免疫苗工作</w:t>
            </w:r>
            <w:r>
              <w:rPr>
                <w:rFonts w:hint="eastAsia" w:ascii="宋体" w:hAnsi="宋体"/>
                <w:sz w:val="16"/>
                <w:lang w:eastAsia="zh-CN"/>
              </w:rPr>
              <w:t>截至</w:t>
            </w:r>
            <w:r>
              <w:rPr>
                <w:rFonts w:ascii="宋体" w:hAnsi="宋体" w:eastAsia="宋体"/>
                <w:sz w:val="16"/>
              </w:rPr>
              <w:t>12月20日。同时乡镇提供数据和资料收集不全面的原因无法统计动物疫苗反应导致死亡数据，无法完成这项工作，无法完成项目资金使用率100%。</w:t>
            </w:r>
          </w:p>
        </w:tc>
      </w:tr>
      <w:tr w14:paraId="614085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6B0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DDA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C92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7F47">
            <w:pPr>
              <w:jc w:val="center"/>
            </w:pPr>
            <w:r>
              <w:rPr>
                <w:rFonts w:ascii="宋体" w:hAnsi="宋体" w:eastAsia="宋体"/>
                <w:sz w:val="16"/>
              </w:rPr>
              <w:t>保障养殖业产出，提高农牧民收入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BEF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04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7A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72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92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18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8C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6E1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7AF00">
            <w:pPr>
              <w:jc w:val="center"/>
            </w:pPr>
            <w:r>
              <w:rPr>
                <w:rFonts w:ascii="宋体" w:hAnsi="宋体" w:eastAsia="宋体"/>
                <w:sz w:val="16"/>
              </w:rPr>
              <w:t>2024年抗体检测未达标原因，第四季度秋季接触疫苗时全县动物重新开始补免疫苗工作</w:t>
            </w:r>
            <w:r>
              <w:rPr>
                <w:rFonts w:hint="eastAsia" w:ascii="宋体" w:hAnsi="宋体"/>
                <w:sz w:val="16"/>
                <w:lang w:eastAsia="zh-CN"/>
              </w:rPr>
              <w:t>截至</w:t>
            </w:r>
            <w:r>
              <w:rPr>
                <w:rFonts w:ascii="宋体" w:hAnsi="宋体" w:eastAsia="宋体"/>
                <w:sz w:val="16"/>
              </w:rPr>
              <w:t>12月20日。同时乡镇提供数据和资料收集不全面的原因无法统计动物疫苗反应导致死亡数据，无法完成这项工作，无法完成项目资金使用率100%。</w:t>
            </w:r>
          </w:p>
        </w:tc>
      </w:tr>
      <w:tr w14:paraId="645016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E28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66F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47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3B06">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07D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381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939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96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06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8FA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B61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7910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66AD8">
            <w:pPr>
              <w:jc w:val="center"/>
            </w:pPr>
            <w:r>
              <w:rPr>
                <w:rFonts w:ascii="宋体" w:hAnsi="宋体" w:eastAsia="宋体"/>
                <w:sz w:val="16"/>
              </w:rPr>
              <w:t>2024年抗体检测未达标原因，第四季度秋季接触疫苗时全县动物重新开始补免疫苗工作</w:t>
            </w:r>
            <w:r>
              <w:rPr>
                <w:rFonts w:hint="eastAsia" w:ascii="宋体" w:hAnsi="宋体"/>
                <w:sz w:val="16"/>
                <w:lang w:eastAsia="zh-CN"/>
              </w:rPr>
              <w:t>截至</w:t>
            </w:r>
            <w:r>
              <w:rPr>
                <w:rFonts w:ascii="宋体" w:hAnsi="宋体" w:eastAsia="宋体"/>
                <w:sz w:val="16"/>
              </w:rPr>
              <w:t>12月20日。同时乡镇提供数据和资料收集不全面的原因无法统计动物疫苗反应导致死亡数据，无法完成这项工作，无法完成项目资金使用率100%。</w:t>
            </w:r>
          </w:p>
        </w:tc>
      </w:tr>
      <w:tr w14:paraId="28C410E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8AB4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8B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1E520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93DAF">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ECFACA5"/>
        </w:tc>
      </w:tr>
    </w:tbl>
    <w:p w14:paraId="411B0AE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B6510CA">
        <w:tblPrEx>
          <w:tblCellMar>
            <w:top w:w="0" w:type="dxa"/>
            <w:left w:w="108" w:type="dxa"/>
            <w:bottom w:w="0" w:type="dxa"/>
            <w:right w:w="108" w:type="dxa"/>
          </w:tblCellMar>
        </w:tblPrEx>
        <w:tc>
          <w:tcPr>
            <w:tcW w:w="8848" w:type="dxa"/>
            <w:gridSpan w:val="14"/>
            <w:vAlign w:val="center"/>
          </w:tcPr>
          <w:p w14:paraId="792AB2E6">
            <w:pPr>
              <w:jc w:val="center"/>
            </w:pPr>
            <w:r>
              <w:rPr>
                <w:rFonts w:ascii="宋体" w:hAnsi="宋体" w:eastAsia="宋体"/>
                <w:sz w:val="24"/>
              </w:rPr>
              <w:t>项目支出绩效自评表</w:t>
            </w:r>
          </w:p>
        </w:tc>
      </w:tr>
      <w:tr w14:paraId="7BDCFE32">
        <w:tblPrEx>
          <w:tblCellMar>
            <w:top w:w="0" w:type="dxa"/>
            <w:left w:w="108" w:type="dxa"/>
            <w:bottom w:w="0" w:type="dxa"/>
            <w:right w:w="108" w:type="dxa"/>
          </w:tblCellMar>
        </w:tblPrEx>
        <w:tc>
          <w:tcPr>
            <w:tcW w:w="8848" w:type="dxa"/>
            <w:gridSpan w:val="14"/>
            <w:vAlign w:val="center"/>
          </w:tcPr>
          <w:p w14:paraId="0801E8C2">
            <w:pPr>
              <w:jc w:val="center"/>
            </w:pPr>
            <w:r>
              <w:rPr>
                <w:rFonts w:ascii="宋体" w:hAnsi="宋体" w:eastAsia="宋体"/>
                <w:sz w:val="24"/>
              </w:rPr>
              <w:t>(2024年度)</w:t>
            </w:r>
          </w:p>
        </w:tc>
      </w:tr>
      <w:tr w14:paraId="0569CB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4C20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26F670">
            <w:pPr>
              <w:jc w:val="center"/>
            </w:pPr>
            <w:r>
              <w:rPr>
                <w:rFonts w:ascii="宋体" w:hAnsi="宋体" w:eastAsia="宋体"/>
                <w:sz w:val="16"/>
              </w:rPr>
              <w:t>2024年工作队第一书记为民办实事好事工作经费（县级）</w:t>
            </w:r>
          </w:p>
        </w:tc>
      </w:tr>
      <w:tr w14:paraId="5CB274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D24C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7770CF">
            <w:pPr>
              <w:jc w:val="center"/>
            </w:pPr>
            <w:r>
              <w:rPr>
                <w:rFonts w:ascii="宋体" w:hAnsi="宋体" w:eastAsia="宋体"/>
                <w:sz w:val="16"/>
              </w:rPr>
              <w:t>阿克陶县农业农村局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F5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427539">
            <w:pPr>
              <w:jc w:val="center"/>
            </w:pPr>
            <w:r>
              <w:rPr>
                <w:rFonts w:ascii="宋体" w:hAnsi="宋体" w:eastAsia="宋体"/>
                <w:sz w:val="16"/>
              </w:rPr>
              <w:t>阿克陶县畜牧兽医站</w:t>
            </w:r>
          </w:p>
        </w:tc>
      </w:tr>
      <w:tr w14:paraId="12B0BF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3647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C55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DF5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5EB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48EB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CEC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8D1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53F0">
            <w:pPr>
              <w:jc w:val="center"/>
            </w:pPr>
            <w:r>
              <w:rPr>
                <w:rFonts w:ascii="宋体" w:hAnsi="宋体" w:eastAsia="宋体"/>
                <w:sz w:val="16"/>
              </w:rPr>
              <w:t>得分</w:t>
            </w:r>
          </w:p>
        </w:tc>
      </w:tr>
      <w:tr w14:paraId="2736E7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0C4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C15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ADB8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DE5E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45A5F">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96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211ED">
            <w:pPr>
              <w:jc w:val="center"/>
            </w:pPr>
            <w:r>
              <w:rPr>
                <w:rFonts w:ascii="宋体" w:hAnsi="宋体" w:eastAsia="宋体"/>
                <w:sz w:val="16"/>
              </w:rPr>
              <w:t>75.0%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1C9C">
            <w:pPr>
              <w:jc w:val="center"/>
            </w:pPr>
            <w:r>
              <w:rPr>
                <w:rFonts w:ascii="宋体" w:hAnsi="宋体" w:eastAsia="宋体"/>
                <w:sz w:val="16"/>
              </w:rPr>
              <w:t>3.75分</w:t>
            </w:r>
          </w:p>
        </w:tc>
      </w:tr>
      <w:tr w14:paraId="1856E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AE6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C24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0E77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9D3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9175D">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5CF7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78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BBAF">
            <w:pPr>
              <w:jc w:val="center"/>
            </w:pPr>
            <w:r>
              <w:rPr>
                <w:rFonts w:ascii="宋体" w:hAnsi="宋体" w:eastAsia="宋体"/>
                <w:sz w:val="16"/>
              </w:rPr>
              <w:t>—</w:t>
            </w:r>
          </w:p>
        </w:tc>
      </w:tr>
      <w:tr w14:paraId="700B9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AE3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9CE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B0A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C35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471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5C3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E2A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0FB51">
            <w:pPr>
              <w:jc w:val="center"/>
            </w:pPr>
            <w:r>
              <w:rPr>
                <w:rFonts w:ascii="宋体" w:hAnsi="宋体" w:eastAsia="宋体"/>
                <w:sz w:val="16"/>
              </w:rPr>
              <w:t>—</w:t>
            </w:r>
          </w:p>
        </w:tc>
      </w:tr>
      <w:tr w14:paraId="38464D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E1A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FE8A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899EA9">
            <w:pPr>
              <w:jc w:val="center"/>
            </w:pPr>
            <w:r>
              <w:rPr>
                <w:rFonts w:ascii="宋体" w:hAnsi="宋体" w:eastAsia="宋体"/>
                <w:sz w:val="16"/>
              </w:rPr>
              <w:t>实际完成情况</w:t>
            </w:r>
          </w:p>
        </w:tc>
      </w:tr>
      <w:tr w14:paraId="70700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34C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CD6FA7">
            <w:pPr>
              <w:jc w:val="both"/>
            </w:pPr>
            <w:r>
              <w:rPr>
                <w:rFonts w:ascii="宋体" w:hAnsi="宋体" w:eastAsia="宋体"/>
                <w:sz w:val="16"/>
              </w:rPr>
              <w:t>工作第一书记为民办实事经费，主要用于</w:t>
            </w:r>
            <w:r>
              <w:rPr>
                <w:rFonts w:hint="eastAsia" w:ascii="宋体" w:hAnsi="宋体"/>
                <w:sz w:val="16"/>
                <w:lang w:eastAsia="zh-CN"/>
              </w:rPr>
              <w:t>为</w:t>
            </w:r>
            <w:r>
              <w:rPr>
                <w:rFonts w:ascii="宋体" w:hAnsi="宋体" w:eastAsia="宋体"/>
                <w:sz w:val="16"/>
              </w:rPr>
              <w:t>村委会村民办实事，好事。通过开展各项活动，进一步增进群众之间的感情，让他们感受到党和政府的温暖，增进各民族互帮互助、邻里关系更加和谐，增强全体群众对伟大祖国、对中华民族、对中华文化、对中国特色社会主义道路的认同，引导群众</w:t>
            </w:r>
            <w:r>
              <w:rPr>
                <w:rFonts w:hint="eastAsia" w:ascii="宋体" w:hAnsi="宋体"/>
                <w:sz w:val="16"/>
                <w:lang w:eastAsia="zh-CN"/>
              </w:rPr>
              <w:t>感党恩、听党话、跟党走</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492E48">
            <w:pPr>
              <w:jc w:val="both"/>
            </w:pPr>
            <w:r>
              <w:rPr>
                <w:rFonts w:ascii="宋体" w:hAnsi="宋体" w:eastAsia="宋体"/>
                <w:sz w:val="16"/>
              </w:rPr>
              <w:t>通过开展各项活动，进一步增进群众之间的感情，让他们感受到党和政府的温暖，增进各民族互帮互助、邻里关系更加和谐，增强全体群众对伟大祖国、对中华民族、对中华文化、对中国特色社会主义道路的认同，引导群众</w:t>
            </w:r>
            <w:r>
              <w:rPr>
                <w:rFonts w:hint="eastAsia" w:ascii="宋体" w:hAnsi="宋体"/>
                <w:sz w:val="16"/>
                <w:lang w:eastAsia="zh-CN"/>
              </w:rPr>
              <w:t>感党恩、听党话、跟党走</w:t>
            </w:r>
            <w:r>
              <w:rPr>
                <w:rFonts w:ascii="宋体" w:hAnsi="宋体" w:eastAsia="宋体"/>
                <w:sz w:val="16"/>
              </w:rPr>
              <w:t>。</w:t>
            </w:r>
          </w:p>
        </w:tc>
      </w:tr>
      <w:tr w14:paraId="26DC40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770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AF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647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18CA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03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97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A0A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22A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08A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FE1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7F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B9D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B128">
            <w:pPr>
              <w:jc w:val="center"/>
            </w:pPr>
            <w:r>
              <w:rPr>
                <w:rFonts w:ascii="宋体" w:hAnsi="宋体" w:eastAsia="宋体"/>
                <w:sz w:val="16"/>
              </w:rPr>
              <w:t>偏差原因分析及改进措施</w:t>
            </w:r>
          </w:p>
        </w:tc>
      </w:tr>
      <w:tr w14:paraId="653805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3F8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D8B1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D6D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F8AF">
            <w:pPr>
              <w:jc w:val="center"/>
            </w:pPr>
            <w:r>
              <w:rPr>
                <w:rFonts w:ascii="宋体" w:hAnsi="宋体" w:eastAsia="宋体"/>
                <w:sz w:val="16"/>
              </w:rPr>
              <w:t>惠及村委会（个）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AE5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58DA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B42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6C4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B1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FDF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33B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98F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F28AE">
            <w:pPr>
              <w:jc w:val="center"/>
            </w:pPr>
          </w:p>
        </w:tc>
      </w:tr>
      <w:tr w14:paraId="6707BC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AF5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57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994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CEB0">
            <w:pPr>
              <w:jc w:val="center"/>
            </w:pPr>
            <w:r>
              <w:rPr>
                <w:rFonts w:ascii="宋体" w:hAnsi="宋体" w:eastAsia="宋体"/>
                <w:sz w:val="16"/>
              </w:rPr>
              <w:t>活动举办及时率（%）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9B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7E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02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4E24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BB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D1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4E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9C7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51CD5">
            <w:pPr>
              <w:jc w:val="center"/>
            </w:pPr>
          </w:p>
        </w:tc>
      </w:tr>
      <w:tr w14:paraId="10FD8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AE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A71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3BD0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0C67">
            <w:pPr>
              <w:jc w:val="center"/>
            </w:pPr>
            <w:r>
              <w:rPr>
                <w:rFonts w:ascii="宋体" w:hAnsi="宋体" w:eastAsia="宋体"/>
                <w:sz w:val="16"/>
              </w:rPr>
              <w:t>截至2023年12月底慰问村民2次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A01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C9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2A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70B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41C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86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C1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04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B56D0">
            <w:pPr>
              <w:jc w:val="center"/>
            </w:pPr>
          </w:p>
        </w:tc>
      </w:tr>
      <w:tr w14:paraId="70D077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A9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117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E8E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2E7C">
            <w:pPr>
              <w:jc w:val="center"/>
            </w:pPr>
            <w:r>
              <w:rPr>
                <w:rFonts w:ascii="宋体" w:hAnsi="宋体" w:eastAsia="宋体"/>
                <w:sz w:val="16"/>
              </w:rPr>
              <w:t>项目经费（万元）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E3BD">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2D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E99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79F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DD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C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1C13">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4311">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E3AF">
            <w:pPr>
              <w:jc w:val="center"/>
            </w:pPr>
            <w:r>
              <w:rPr>
                <w:rFonts w:ascii="宋体" w:hAnsi="宋体" w:eastAsia="宋体"/>
                <w:sz w:val="16"/>
              </w:rPr>
              <w:t>工作已完成但来不及支出，因支付资料缺少，无法完成项目资金使用率100%。整改措施为：准备2025年年初支出。</w:t>
            </w:r>
          </w:p>
        </w:tc>
      </w:tr>
      <w:tr w14:paraId="4863A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BAE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826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70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6A07">
            <w:pPr>
              <w:jc w:val="center"/>
            </w:pPr>
            <w:r>
              <w:rPr>
                <w:rFonts w:ascii="宋体" w:hAnsi="宋体" w:eastAsia="宋体"/>
                <w:sz w:val="16"/>
              </w:rPr>
              <w:t>保障工作队各项活动顺利开展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201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CD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B4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F4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D4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5F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8E45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76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E4844">
            <w:pPr>
              <w:jc w:val="center"/>
            </w:pPr>
          </w:p>
        </w:tc>
      </w:tr>
      <w:tr w14:paraId="37A3F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C1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03F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F30E">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852D">
            <w:pPr>
              <w:jc w:val="center"/>
            </w:pPr>
            <w:r>
              <w:rPr>
                <w:rFonts w:ascii="宋体" w:hAnsi="宋体" w:eastAsia="宋体"/>
                <w:sz w:val="16"/>
              </w:rPr>
              <w:t>服务群众能力有效提升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9C6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731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24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E0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3F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EA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628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E8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C18F8">
            <w:pPr>
              <w:jc w:val="center"/>
            </w:pPr>
          </w:p>
        </w:tc>
      </w:tr>
      <w:tr w14:paraId="6B070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7A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9E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13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940F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1E1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63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1F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563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9C1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03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444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1F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9C28F">
            <w:pPr>
              <w:jc w:val="center"/>
            </w:pPr>
          </w:p>
        </w:tc>
      </w:tr>
      <w:tr w14:paraId="358F3B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2933B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D5D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F100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43EF3">
            <w:pPr>
              <w:jc w:val="center"/>
            </w:pPr>
            <w:r>
              <w:rPr>
                <w:rFonts w:ascii="宋体" w:hAnsi="宋体" w:eastAsia="宋体"/>
                <w:sz w:val="16"/>
              </w:rPr>
              <w:t>81.25分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6827F4"/>
        </w:tc>
      </w:tr>
    </w:tbl>
    <w:p w14:paraId="0DA02E9E">
      <w:r>
        <w:br w:type="page"/>
      </w:r>
    </w:p>
    <w:p w14:paraId="2C8EA851">
      <w:pPr>
        <w:spacing w:line="640" w:lineRule="exact"/>
        <w:ind w:firstLine="640"/>
        <w:jc w:val="both"/>
        <w:outlineLvl w:val="2"/>
      </w:pPr>
      <w:r>
        <w:rPr>
          <w:rFonts w:ascii="黑体" w:hAnsi="黑体" w:eastAsia="黑体"/>
          <w:sz w:val="32"/>
        </w:rPr>
        <w:t>十二、其他需说明的事项</w:t>
      </w:r>
    </w:p>
    <w:p w14:paraId="1361662C">
      <w:pPr>
        <w:spacing w:line="580" w:lineRule="exact"/>
        <w:ind w:firstLine="640"/>
        <w:jc w:val="both"/>
      </w:pPr>
      <w:r>
        <w:rPr>
          <w:rFonts w:ascii="仿宋_GB2312" w:hAnsi="仿宋_GB2312" w:eastAsia="仿宋_GB2312"/>
          <w:b w:val="0"/>
          <w:sz w:val="32"/>
        </w:rPr>
        <w:t>本单位无其他需说明的事项。</w:t>
      </w:r>
    </w:p>
    <w:p w14:paraId="35CA398D">
      <w:r>
        <w:br w:type="page"/>
      </w:r>
    </w:p>
    <w:p w14:paraId="681CFC8D">
      <w:pPr>
        <w:spacing w:line="240" w:lineRule="auto"/>
        <w:jc w:val="center"/>
        <w:outlineLvl w:val="1"/>
      </w:pPr>
      <w:r>
        <w:rPr>
          <w:rFonts w:ascii="黑体" w:hAnsi="黑体" w:eastAsia="黑体"/>
          <w:sz w:val="32"/>
        </w:rPr>
        <w:t>第三部分 专业名词解释</w:t>
      </w:r>
    </w:p>
    <w:p w14:paraId="67E7454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D11169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0DA82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A03F1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60A851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975973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5792C1">
      <w:pPr>
        <w:spacing w:line="240" w:lineRule="auto"/>
        <w:ind w:firstLine="640"/>
        <w:jc w:val="both"/>
      </w:pPr>
      <w:r>
        <w:rPr>
          <w:rFonts w:ascii="仿宋_GB2312" w:hAnsi="仿宋_GB2312" w:eastAsia="仿宋_GB2312"/>
          <w:b/>
          <w:sz w:val="32"/>
        </w:rPr>
        <w:t>七、年初结转和</w:t>
      </w:r>
      <w:bookmarkStart w:id="0" w:name="_GoBack"/>
      <w:r>
        <w:rPr>
          <w:rFonts w:ascii="仿宋_GB2312" w:hAnsi="仿宋_GB2312" w:eastAsia="仿宋_GB2312"/>
          <w:b/>
          <w:sz w:val="32"/>
        </w:rPr>
        <w:t>结余</w:t>
      </w:r>
      <w:bookmarkEnd w:id="0"/>
      <w:r>
        <w:rPr>
          <w:rFonts w:ascii="仿宋_GB2312" w:hAnsi="仿宋_GB2312" w:eastAsia="仿宋_GB2312"/>
          <w:b/>
          <w:sz w:val="32"/>
        </w:rPr>
        <w:t>：</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0107F1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F15C84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4FEBD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860C1D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84749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5B18FE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CC4A44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474B89D">
      <w:r>
        <w:br w:type="page"/>
      </w:r>
    </w:p>
    <w:p w14:paraId="085A23D6">
      <w:pPr>
        <w:spacing w:line="240" w:lineRule="auto"/>
        <w:jc w:val="center"/>
        <w:outlineLvl w:val="1"/>
      </w:pPr>
      <w:r>
        <w:rPr>
          <w:rFonts w:ascii="黑体" w:hAnsi="黑体" w:eastAsia="黑体"/>
          <w:sz w:val="32"/>
        </w:rPr>
        <w:t>第四部分 部门决算报表（见附表）</w:t>
      </w:r>
    </w:p>
    <w:p w14:paraId="5B46D195">
      <w:pPr>
        <w:spacing w:line="240" w:lineRule="auto"/>
        <w:ind w:firstLine="640"/>
        <w:jc w:val="both"/>
      </w:pPr>
      <w:r>
        <w:rPr>
          <w:rFonts w:ascii="仿宋_GB2312" w:hAnsi="仿宋_GB2312" w:eastAsia="仿宋_GB2312"/>
          <w:b w:val="0"/>
          <w:sz w:val="32"/>
        </w:rPr>
        <w:t>一、《收入支出决算总表》</w:t>
      </w:r>
    </w:p>
    <w:p w14:paraId="4F0D1075">
      <w:pPr>
        <w:spacing w:line="240" w:lineRule="auto"/>
        <w:ind w:firstLine="640"/>
        <w:jc w:val="both"/>
      </w:pPr>
      <w:r>
        <w:rPr>
          <w:rFonts w:ascii="仿宋_GB2312" w:hAnsi="仿宋_GB2312" w:eastAsia="仿宋_GB2312"/>
          <w:b w:val="0"/>
          <w:sz w:val="32"/>
        </w:rPr>
        <w:t>二、《收入决算表》</w:t>
      </w:r>
    </w:p>
    <w:p w14:paraId="6629059E">
      <w:pPr>
        <w:spacing w:line="240" w:lineRule="auto"/>
        <w:ind w:firstLine="640"/>
        <w:jc w:val="both"/>
      </w:pPr>
      <w:r>
        <w:rPr>
          <w:rFonts w:ascii="仿宋_GB2312" w:hAnsi="仿宋_GB2312" w:eastAsia="仿宋_GB2312"/>
          <w:b w:val="0"/>
          <w:sz w:val="32"/>
        </w:rPr>
        <w:t>三、《支出决算表》</w:t>
      </w:r>
    </w:p>
    <w:p w14:paraId="692BE4A1">
      <w:pPr>
        <w:spacing w:line="240" w:lineRule="auto"/>
        <w:ind w:firstLine="640"/>
        <w:jc w:val="both"/>
      </w:pPr>
      <w:r>
        <w:rPr>
          <w:rFonts w:ascii="仿宋_GB2312" w:hAnsi="仿宋_GB2312" w:eastAsia="仿宋_GB2312"/>
          <w:b w:val="0"/>
          <w:sz w:val="32"/>
        </w:rPr>
        <w:t>四、《财政拨款收入支出决算总表》</w:t>
      </w:r>
    </w:p>
    <w:p w14:paraId="25AA81F0">
      <w:pPr>
        <w:spacing w:line="240" w:lineRule="auto"/>
        <w:ind w:firstLine="640"/>
        <w:jc w:val="both"/>
      </w:pPr>
      <w:r>
        <w:rPr>
          <w:rFonts w:ascii="仿宋_GB2312" w:hAnsi="仿宋_GB2312" w:eastAsia="仿宋_GB2312"/>
          <w:b w:val="0"/>
          <w:sz w:val="32"/>
        </w:rPr>
        <w:t>五、《一般公共预算财政拨款支出决算表》</w:t>
      </w:r>
    </w:p>
    <w:p w14:paraId="1BEE1DBB">
      <w:pPr>
        <w:spacing w:line="240" w:lineRule="auto"/>
        <w:ind w:firstLine="640"/>
        <w:jc w:val="both"/>
      </w:pPr>
      <w:r>
        <w:rPr>
          <w:rFonts w:ascii="仿宋_GB2312" w:hAnsi="仿宋_GB2312" w:eastAsia="仿宋_GB2312"/>
          <w:b w:val="0"/>
          <w:sz w:val="32"/>
        </w:rPr>
        <w:t>六、《一般公共预算财政拨款基本支出决算表》</w:t>
      </w:r>
    </w:p>
    <w:p w14:paraId="08612AFF">
      <w:pPr>
        <w:spacing w:line="240" w:lineRule="auto"/>
        <w:ind w:firstLine="640"/>
        <w:jc w:val="both"/>
      </w:pPr>
      <w:r>
        <w:rPr>
          <w:rFonts w:ascii="仿宋_GB2312" w:hAnsi="仿宋_GB2312" w:eastAsia="仿宋_GB2312"/>
          <w:b w:val="0"/>
          <w:sz w:val="32"/>
        </w:rPr>
        <w:t>七、《政府性基金预算财政拨款收入支出决算表》</w:t>
      </w:r>
    </w:p>
    <w:p w14:paraId="4E77DC09">
      <w:pPr>
        <w:spacing w:line="240" w:lineRule="auto"/>
        <w:ind w:firstLine="640"/>
        <w:jc w:val="both"/>
      </w:pPr>
      <w:r>
        <w:rPr>
          <w:rFonts w:ascii="仿宋_GB2312" w:hAnsi="仿宋_GB2312" w:eastAsia="仿宋_GB2312"/>
          <w:b w:val="0"/>
          <w:sz w:val="32"/>
        </w:rPr>
        <w:t>八、《国有资本经营预算财政拨款收入支出决算表》</w:t>
      </w:r>
    </w:p>
    <w:p w14:paraId="603BB2AB">
      <w:pPr>
        <w:spacing w:line="240" w:lineRule="auto"/>
        <w:ind w:firstLine="640"/>
        <w:jc w:val="both"/>
      </w:pPr>
      <w:r>
        <w:rPr>
          <w:rFonts w:ascii="仿宋_GB2312" w:hAnsi="仿宋_GB2312" w:eastAsia="仿宋_GB2312"/>
          <w:b w:val="0"/>
          <w:sz w:val="32"/>
        </w:rPr>
        <w:t>九、《财政拨款“三公”经费支出决算表》</w:t>
      </w:r>
    </w:p>
    <w:p w14:paraId="08257B0E">
      <w:pPr>
        <w:spacing w:line="240" w:lineRule="auto"/>
        <w:ind w:firstLine="640"/>
        <w:jc w:val="both"/>
      </w:pPr>
    </w:p>
    <w:p w14:paraId="0FD0F1CE">
      <w:pPr>
        <w:spacing w:line="240" w:lineRule="auto"/>
        <w:ind w:firstLine="640"/>
        <w:jc w:val="both"/>
      </w:pPr>
    </w:p>
    <w:p w14:paraId="2360753B">
      <w:pPr>
        <w:spacing w:line="240" w:lineRule="auto"/>
        <w:ind w:firstLine="640"/>
        <w:jc w:val="both"/>
      </w:pPr>
    </w:p>
    <w:p w14:paraId="085CABCC">
      <w:pPr>
        <w:spacing w:line="240" w:lineRule="auto"/>
        <w:ind w:firstLine="640"/>
        <w:jc w:val="both"/>
      </w:pPr>
    </w:p>
    <w:p w14:paraId="6CB50AD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AC23A1"/>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380076"/>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4996</Words>
  <Characters>5721</Characters>
  <Lines>0</Lines>
  <Paragraphs>0</Paragraphs>
  <TotalTime>11</TotalTime>
  <ScaleCrop>false</ScaleCrop>
  <LinksUpToDate>false</LinksUpToDate>
  <CharactersWithSpaces>5729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2025-09-15T08:34:22Z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