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6CEB2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阿克陶县审计局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590B75">
      <w:r>
        <w:br w:type="page"/>
      </w:r>
    </w:p>
    <w:p w14:paraId="298D31B7">
      <w:pPr>
        <w:spacing w:line="640" w:lineRule="exact"/>
        <w:jc w:val="center"/>
        <w:outlineLvl w:val="1"/>
      </w:pPr>
      <w:r>
        <w:rPr>
          <w:rFonts w:ascii="黑体" w:hAnsi="黑体" w:eastAsia="黑体"/>
          <w:sz w:val="32"/>
        </w:rPr>
        <w:t>第一部分 单位概况</w:t>
      </w:r>
    </w:p>
    <w:p w14:paraId="5617E830">
      <w:pPr>
        <w:spacing w:line="640" w:lineRule="exact"/>
        <w:ind w:firstLine="640"/>
        <w:jc w:val="both"/>
        <w:outlineLvl w:val="2"/>
      </w:pPr>
      <w:r>
        <w:rPr>
          <w:rFonts w:ascii="黑体" w:hAnsi="黑体" w:eastAsia="黑体"/>
          <w:sz w:val="32"/>
        </w:rPr>
        <w:t>一、主要职能</w:t>
      </w:r>
    </w:p>
    <w:p w14:paraId="17404038">
      <w:pPr>
        <w:spacing w:line="580" w:lineRule="exact"/>
        <w:ind w:firstLine="640"/>
        <w:jc w:val="both"/>
      </w:pPr>
      <w:r>
        <w:rPr>
          <w:rFonts w:ascii="仿宋_GB2312" w:hAnsi="仿宋_GB2312" w:eastAsia="仿宋_GB2312"/>
          <w:sz w:val="32"/>
        </w:rPr>
        <w:t>（一）主管全县审计工作。负责对全县财政收支和法律法规规定属于审计监督范围的财务收支的真实、合法和效益进行审计监督，对</w:t>
      </w:r>
      <w:r>
        <w:rPr>
          <w:rFonts w:hint="eastAsia" w:ascii="仿宋_GB2312" w:hAnsi="仿宋_GB2312" w:eastAsia="仿宋_GB2312"/>
          <w:sz w:val="32"/>
          <w:lang w:eastAsia="zh-CN"/>
        </w:rPr>
        <w:t>公共资金、国有资产、国有资源</w:t>
      </w:r>
      <w:r>
        <w:rPr>
          <w:rFonts w:ascii="仿宋_GB2312" w:hAnsi="仿宋_GB2312" w:eastAsia="仿宋_GB2312"/>
          <w:sz w:val="32"/>
        </w:rPr>
        <w:t>和领导干部履行经济责任情况实行审计全覆盖，对领导干部实施自然资源资产离任审计，对国家有关重大政策措施贯彻落实情况进行跟踪审计，对审计、专项审计调查和核查社会审计机构相关审计报告的结果承担责任，并负有督促被审计单位整改的责任。</w:t>
      </w:r>
    </w:p>
    <w:p w14:paraId="124C389A">
      <w:pPr>
        <w:spacing w:line="580" w:lineRule="exact"/>
        <w:ind w:firstLine="640"/>
        <w:jc w:val="both"/>
      </w:pPr>
      <w:r>
        <w:rPr>
          <w:rFonts w:ascii="仿宋_GB2312" w:hAnsi="仿宋_GB2312" w:eastAsia="仿宋_GB2312"/>
          <w:sz w:val="32"/>
        </w:rPr>
        <w:t>（二）起草符合我县实际审计工作方面的规范性文件，贯彻执行审计法律法规规章、国家审计准则和指南并监督执行，制定并组织实施专业领域审计工作规划，参与起草地方性财政经济及相关的法规和规章草案，对直接审计、调查和核查的事项依法进行审计评价，作出审计决定或提出审计建议。</w:t>
      </w:r>
    </w:p>
    <w:p w14:paraId="04FEA26C">
      <w:pPr>
        <w:spacing w:line="580" w:lineRule="exact"/>
        <w:ind w:firstLine="640"/>
        <w:jc w:val="both"/>
      </w:pPr>
      <w:r>
        <w:rPr>
          <w:rFonts w:ascii="仿宋_GB2312" w:hAnsi="仿宋_GB2312" w:eastAsia="仿宋_GB2312"/>
          <w:sz w:val="32"/>
        </w:rPr>
        <w:t>（三）向</w:t>
      </w:r>
      <w:r>
        <w:rPr>
          <w:rFonts w:hint="eastAsia" w:ascii="仿宋_GB2312" w:hAnsi="仿宋_GB2312" w:eastAsia="仿宋_GB2312"/>
          <w:sz w:val="32"/>
          <w:lang w:eastAsia="zh-CN"/>
        </w:rPr>
        <w:t>县委审计委员会</w:t>
      </w:r>
      <w:r>
        <w:rPr>
          <w:rFonts w:ascii="仿宋_GB2312" w:hAnsi="仿宋_GB2312" w:eastAsia="仿宋_GB2312"/>
          <w:sz w:val="32"/>
        </w:rPr>
        <w:t>提出年度县预算执行和其他财政支出情况的审计结果报告，受</w:t>
      </w:r>
      <w:r>
        <w:rPr>
          <w:rFonts w:hint="eastAsia" w:ascii="仿宋_GB2312" w:hAnsi="仿宋_GB2312" w:eastAsia="仿宋_GB2312"/>
          <w:sz w:val="32"/>
          <w:lang w:eastAsia="zh-CN"/>
        </w:rPr>
        <w:t>县人民政府</w:t>
      </w:r>
      <w:r>
        <w:rPr>
          <w:rFonts w:ascii="仿宋_GB2312" w:hAnsi="仿宋_GB2312" w:eastAsia="仿宋_GB2312"/>
          <w:sz w:val="32"/>
        </w:rPr>
        <w:t>委托向县</w:t>
      </w:r>
      <w:r>
        <w:rPr>
          <w:rFonts w:hint="eastAsia" w:ascii="仿宋_GB2312" w:hAnsi="仿宋_GB2312" w:eastAsia="仿宋_GB2312"/>
          <w:sz w:val="32"/>
          <w:lang w:eastAsia="zh-CN"/>
        </w:rPr>
        <w:t>人大常委会</w:t>
      </w:r>
      <w:r>
        <w:rPr>
          <w:rFonts w:ascii="仿宋_GB2312" w:hAnsi="仿宋_GB2312" w:eastAsia="仿宋_GB2312"/>
          <w:sz w:val="32"/>
        </w:rPr>
        <w:t>提出阿克陶县本级预算执行和其他财政收支情况的审计工作报告、审计查出的问题整改报告，向县党委、</w:t>
      </w:r>
      <w:r>
        <w:rPr>
          <w:rFonts w:hint="eastAsia" w:ascii="仿宋_GB2312" w:hAnsi="仿宋_GB2312" w:eastAsia="仿宋_GB2312"/>
          <w:sz w:val="32"/>
          <w:lang w:eastAsia="zh-CN"/>
        </w:rPr>
        <w:t>县人民政府</w:t>
      </w:r>
      <w:r>
        <w:rPr>
          <w:rFonts w:ascii="仿宋_GB2312" w:hAnsi="仿宋_GB2312" w:eastAsia="仿宋_GB2312"/>
          <w:sz w:val="32"/>
        </w:rPr>
        <w:t>报告对其他事项的审计专项审计调查情况及结果。依法向社会公布审计结果，向县有关部门，乡（镇）场党委和政府通报审计情况和审计结果。</w:t>
      </w:r>
    </w:p>
    <w:p w14:paraId="79F3991C">
      <w:pPr>
        <w:spacing w:line="580" w:lineRule="exact"/>
        <w:ind w:firstLine="640"/>
        <w:jc w:val="both"/>
      </w:pPr>
      <w:r>
        <w:rPr>
          <w:rFonts w:ascii="仿宋_GB2312" w:hAnsi="仿宋_GB2312" w:eastAsia="仿宋_GB2312"/>
          <w:sz w:val="32"/>
        </w:rPr>
        <w:t>（四）直接审计下列事项，出具</w:t>
      </w:r>
      <w:r>
        <w:rPr>
          <w:rFonts w:hint="eastAsia" w:ascii="仿宋_GB2312" w:hAnsi="仿宋_GB2312" w:eastAsia="仿宋_GB2312"/>
          <w:sz w:val="32"/>
          <w:lang w:eastAsia="zh-CN"/>
        </w:rPr>
        <w:t>审计</w:t>
      </w:r>
      <w:r>
        <w:rPr>
          <w:rFonts w:ascii="仿宋_GB2312" w:hAnsi="仿宋_GB2312" w:eastAsia="仿宋_GB2312"/>
          <w:sz w:val="32"/>
        </w:rPr>
        <w:t>报告，在法定职权范围内作出审计决定，包括国家有关重大政策措施贯彻落实情况；县</w:t>
      </w:r>
      <w:r>
        <w:rPr>
          <w:rFonts w:hint="eastAsia" w:ascii="仿宋_GB2312" w:hAnsi="仿宋_GB2312" w:eastAsia="仿宋_GB2312"/>
          <w:sz w:val="32"/>
          <w:lang w:eastAsia="zh-CN"/>
        </w:rPr>
        <w:t>本级</w:t>
      </w:r>
      <w:r>
        <w:rPr>
          <w:rFonts w:ascii="仿宋_GB2312" w:hAnsi="仿宋_GB2312" w:eastAsia="仿宋_GB2312"/>
          <w:sz w:val="32"/>
        </w:rPr>
        <w:t>预算执行情况和其他财政收支；县本级各部门（含直属单位）预算的执行情况，决算草案和其他财政收支；使用县财政资金的事业单位和社会团体的财务收支；县投资和以投资为主的建设项目的预算执行情况和决算；县重大公共工程项目的资金管理使用和建设运营情况；自然资源管理、污染防治和生态保护与修复情况；县国有企业和金融机构，</w:t>
      </w:r>
      <w:r>
        <w:rPr>
          <w:rFonts w:hint="eastAsia" w:ascii="仿宋_GB2312" w:hAnsi="仿宋_GB2312" w:eastAsia="仿宋_GB2312"/>
          <w:sz w:val="32"/>
          <w:lang w:eastAsia="zh-CN"/>
        </w:rPr>
        <w:t>县人民政府</w:t>
      </w:r>
      <w:r>
        <w:rPr>
          <w:rFonts w:ascii="仿宋_GB2312" w:hAnsi="仿宋_GB2312" w:eastAsia="仿宋_GB2312"/>
          <w:sz w:val="32"/>
        </w:rPr>
        <w:t>规定的县国有资本占控股或主导地位的企业和金融机构境内外资产、负债和损益；有关社会保障基金，社会捐赠资金及其他基金，资金和财务收支；国际组织和国外政府援助、贷款项目；法律法规规定的其他事项。</w:t>
      </w:r>
    </w:p>
    <w:p w14:paraId="5C3672F7">
      <w:pPr>
        <w:spacing w:line="580" w:lineRule="exact"/>
        <w:ind w:firstLine="640"/>
        <w:jc w:val="both"/>
      </w:pPr>
      <w:r>
        <w:rPr>
          <w:rFonts w:ascii="仿宋_GB2312" w:hAnsi="仿宋_GB2312" w:eastAsia="仿宋_GB2312"/>
          <w:sz w:val="32"/>
        </w:rPr>
        <w:t>（五）按规定对属于本级审计机关审计监督对象的党政主要领导干部及其他单位主要负责人实施经济责任审计和自然资源资产离任审计。</w:t>
      </w:r>
    </w:p>
    <w:p w14:paraId="44DD9614">
      <w:pPr>
        <w:spacing w:line="580" w:lineRule="exact"/>
        <w:ind w:firstLine="640"/>
        <w:jc w:val="both"/>
      </w:pPr>
      <w:r>
        <w:rPr>
          <w:rFonts w:ascii="仿宋_GB2312" w:hAnsi="仿宋_GB2312" w:eastAsia="仿宋_GB2312"/>
          <w:sz w:val="32"/>
        </w:rPr>
        <w:t>（六）组织实施对国家财经法律法规规章、政策和宏观调控措施执行情况，财政预算管理及国有资产管理使用与国家财政收支有关的特定事项进行专项审计调查。</w:t>
      </w:r>
    </w:p>
    <w:p w14:paraId="78E8DF21">
      <w:pPr>
        <w:spacing w:line="580" w:lineRule="exact"/>
        <w:ind w:firstLine="640"/>
        <w:jc w:val="both"/>
      </w:pPr>
      <w:r>
        <w:rPr>
          <w:rFonts w:ascii="仿宋_GB2312" w:hAnsi="仿宋_GB2312" w:eastAsia="仿宋_GB2312"/>
          <w:sz w:val="32"/>
        </w:rPr>
        <w:t>（七）依法检查审计决定执行情况、督促整改审计查出的问题，依法办理被审计单位对审计决定提出申请行政复议、行政诉讼或</w:t>
      </w:r>
      <w:r>
        <w:rPr>
          <w:rFonts w:hint="eastAsia" w:ascii="仿宋_GB2312" w:hAnsi="仿宋_GB2312" w:eastAsia="仿宋_GB2312"/>
          <w:sz w:val="32"/>
          <w:lang w:eastAsia="zh-CN"/>
        </w:rPr>
        <w:t>县人民政府</w:t>
      </w:r>
      <w:r>
        <w:rPr>
          <w:rFonts w:ascii="仿宋_GB2312" w:hAnsi="仿宋_GB2312" w:eastAsia="仿宋_GB2312"/>
          <w:sz w:val="32"/>
        </w:rPr>
        <w:t>裁决中的有关事项，协助配合有关部门查处相关重大案件。</w:t>
      </w:r>
    </w:p>
    <w:p w14:paraId="40FD5E98">
      <w:pPr>
        <w:spacing w:line="580" w:lineRule="exact"/>
        <w:ind w:firstLine="640"/>
        <w:jc w:val="both"/>
      </w:pPr>
      <w:r>
        <w:rPr>
          <w:rFonts w:ascii="仿宋_GB2312" w:hAnsi="仿宋_GB2312" w:eastAsia="仿宋_GB2312"/>
          <w:sz w:val="32"/>
        </w:rPr>
        <w:t>（八）指导和监督内部审计工作、核查社会审计机构对依法属于审计监督对象的单位出具的相关审计报告。</w:t>
      </w:r>
    </w:p>
    <w:p w14:paraId="49168D37">
      <w:pPr>
        <w:spacing w:line="580" w:lineRule="exact"/>
        <w:ind w:firstLine="640"/>
        <w:jc w:val="both"/>
      </w:pPr>
      <w:r>
        <w:rPr>
          <w:rFonts w:ascii="仿宋_GB2312" w:hAnsi="仿宋_GB2312" w:eastAsia="仿宋_GB2312"/>
          <w:sz w:val="32"/>
        </w:rPr>
        <w:t>（九）指导和推广信息技术在审计领域的应用。</w:t>
      </w:r>
    </w:p>
    <w:p w14:paraId="10C60840">
      <w:pPr>
        <w:spacing w:line="580" w:lineRule="exact"/>
        <w:ind w:firstLine="640"/>
        <w:jc w:val="both"/>
      </w:pPr>
      <w:r>
        <w:rPr>
          <w:rFonts w:ascii="仿宋_GB2312" w:hAnsi="仿宋_GB2312" w:eastAsia="仿宋_GB2312"/>
          <w:sz w:val="32"/>
        </w:rPr>
        <w:t>（十）完成阿克陶县党委、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13AB9FB3">
      <w:pPr>
        <w:spacing w:line="580" w:lineRule="exact"/>
        <w:ind w:firstLine="640"/>
        <w:jc w:val="both"/>
      </w:pPr>
      <w:r>
        <w:rPr>
          <w:rFonts w:ascii="仿宋_GB2312" w:hAnsi="仿宋_GB2312" w:eastAsia="仿宋_GB2312"/>
          <w:sz w:val="32"/>
        </w:rPr>
        <w:t>（十一）职能转变，进一步完善阿克陶县审计管理体制，加强阿克陶县审计工作统筹，理顺内部职责关系，优化审计资源配置，充分加强一线审计力量，构建集中统一，全面覆盖，权威高效的审计监督体系，优化审计工作机制，坚持科技强审，完善业务流程，改进工作方式，加强与有关部门的沟通协调，充分调动内部审计和社会审计力量，增强监督合力。</w:t>
      </w:r>
    </w:p>
    <w:p w14:paraId="7A8A0954">
      <w:pPr>
        <w:spacing w:line="640" w:lineRule="exact"/>
        <w:ind w:firstLine="640"/>
        <w:jc w:val="both"/>
        <w:outlineLvl w:val="2"/>
      </w:pPr>
      <w:r>
        <w:rPr>
          <w:rFonts w:ascii="黑体" w:hAnsi="黑体" w:eastAsia="黑体"/>
          <w:sz w:val="32"/>
        </w:rPr>
        <w:t>二、机构设置及人员情况</w:t>
      </w:r>
    </w:p>
    <w:p w14:paraId="534E4D21">
      <w:pPr>
        <w:spacing w:line="580" w:lineRule="exact"/>
        <w:ind w:firstLine="640"/>
        <w:jc w:val="both"/>
      </w:pPr>
      <w:r>
        <w:rPr>
          <w:rFonts w:ascii="仿宋_GB2312" w:hAnsi="仿宋_GB2312" w:eastAsia="仿宋_GB2312"/>
          <w:sz w:val="32"/>
        </w:rPr>
        <w:t>阿克陶县审计局2024年度，实有人数34人，其中：在职人员16人，减少2人；离休人员0人，增加0人；退休人员18人</w:t>
      </w:r>
      <w:bookmarkStart w:id="0" w:name="_GoBack"/>
      <w:r>
        <w:rPr>
          <w:rFonts w:ascii="仿宋_GB2312" w:hAnsi="仿宋_GB2312" w:eastAsia="仿宋_GB2312"/>
          <w:sz w:val="32"/>
        </w:rPr>
        <w:t>,</w:t>
      </w:r>
      <w:bookmarkEnd w:id="0"/>
      <w:r>
        <w:rPr>
          <w:rFonts w:ascii="仿宋_GB2312" w:hAnsi="仿宋_GB2312" w:eastAsia="仿宋_GB2312"/>
          <w:sz w:val="32"/>
        </w:rPr>
        <w:t>增加2人。</w:t>
      </w:r>
    </w:p>
    <w:p w14:paraId="6BAAED8A">
      <w:pPr>
        <w:spacing w:line="580" w:lineRule="exact"/>
        <w:ind w:firstLine="640"/>
        <w:jc w:val="both"/>
      </w:pPr>
      <w:r>
        <w:rPr>
          <w:rFonts w:ascii="仿宋_GB2312" w:hAnsi="仿宋_GB2312" w:eastAsia="仿宋_GB2312"/>
          <w:sz w:val="32"/>
        </w:rPr>
        <w:t>阿克陶县审计局无下属预算单位，下设5个科室，分别是：综合一室、综合二室、综合三室、综合四室、计算机中心。</w:t>
      </w:r>
    </w:p>
    <w:p w14:paraId="40619304">
      <w:r>
        <w:br w:type="page"/>
      </w:r>
    </w:p>
    <w:p w14:paraId="54B87DBA">
      <w:pPr>
        <w:spacing w:line="240" w:lineRule="auto"/>
        <w:jc w:val="center"/>
        <w:outlineLvl w:val="1"/>
      </w:pPr>
      <w:r>
        <w:rPr>
          <w:rFonts w:ascii="黑体" w:hAnsi="黑体" w:eastAsia="黑体"/>
          <w:sz w:val="32"/>
        </w:rPr>
        <w:t>第二部分 部门决算情况说明</w:t>
      </w:r>
    </w:p>
    <w:p w14:paraId="64EB0F49">
      <w:pPr>
        <w:spacing w:line="640" w:lineRule="exact"/>
        <w:ind w:firstLine="640"/>
        <w:jc w:val="both"/>
        <w:outlineLvl w:val="2"/>
      </w:pPr>
      <w:r>
        <w:rPr>
          <w:rFonts w:ascii="黑体" w:hAnsi="黑体" w:eastAsia="黑体"/>
          <w:sz w:val="32"/>
        </w:rPr>
        <w:t>一、收入支出决算总体情况说明</w:t>
      </w:r>
    </w:p>
    <w:p w14:paraId="097B5FBE">
      <w:pPr>
        <w:spacing w:line="580" w:lineRule="exact"/>
        <w:ind w:firstLine="640"/>
        <w:jc w:val="both"/>
      </w:pPr>
      <w:r>
        <w:rPr>
          <w:rFonts w:ascii="仿宋_GB2312" w:hAnsi="仿宋_GB2312" w:eastAsia="仿宋_GB2312"/>
          <w:b/>
          <w:sz w:val="32"/>
        </w:rPr>
        <w:t>2024年度收入总计661.84万元，</w:t>
      </w:r>
      <w:r>
        <w:rPr>
          <w:rFonts w:ascii="仿宋_GB2312" w:hAnsi="仿宋_GB2312" w:eastAsia="仿宋_GB2312"/>
          <w:b w:val="0"/>
          <w:sz w:val="32"/>
        </w:rPr>
        <w:t>其中：本年收入合计641.46万元，使用非财政拨款结余（含专用结余）0.00万元，年初结转和结余20.37万元。</w:t>
      </w:r>
    </w:p>
    <w:p w14:paraId="374A868D">
      <w:pPr>
        <w:spacing w:line="580" w:lineRule="exact"/>
        <w:ind w:firstLine="640"/>
        <w:jc w:val="both"/>
      </w:pPr>
      <w:r>
        <w:rPr>
          <w:rFonts w:ascii="仿宋_GB2312" w:hAnsi="仿宋_GB2312" w:eastAsia="仿宋_GB2312"/>
          <w:b/>
          <w:sz w:val="32"/>
        </w:rPr>
        <w:t>2024年度支出总计661.84万元，</w:t>
      </w:r>
      <w:r>
        <w:rPr>
          <w:rFonts w:ascii="仿宋_GB2312" w:hAnsi="仿宋_GB2312" w:eastAsia="仿宋_GB2312"/>
          <w:b w:val="0"/>
          <w:sz w:val="32"/>
        </w:rPr>
        <w:t>其中：本年支出合计644.53万元，结余分配0.00万元，年末结转和结余17.30万元。</w:t>
      </w:r>
    </w:p>
    <w:p w14:paraId="79F0E923">
      <w:pPr>
        <w:spacing w:line="580" w:lineRule="exact"/>
        <w:ind w:firstLine="640"/>
        <w:jc w:val="both"/>
      </w:pPr>
      <w:r>
        <w:rPr>
          <w:rFonts w:ascii="仿宋_GB2312" w:hAnsi="仿宋_GB2312" w:eastAsia="仿宋_GB2312"/>
          <w:b w:val="0"/>
          <w:sz w:val="32"/>
        </w:rPr>
        <w:t>收入支出总体与上年相比，增加70.22万元，增长11.87%，主要原因是：本年增加固定资产投资中介审计费。</w:t>
      </w:r>
    </w:p>
    <w:p w14:paraId="472402BA">
      <w:pPr>
        <w:spacing w:line="640" w:lineRule="exact"/>
        <w:ind w:firstLine="640"/>
        <w:jc w:val="both"/>
        <w:outlineLvl w:val="2"/>
      </w:pPr>
      <w:r>
        <w:rPr>
          <w:rFonts w:ascii="黑体" w:hAnsi="黑体" w:eastAsia="黑体"/>
          <w:sz w:val="32"/>
        </w:rPr>
        <w:t>二、收入决算情况说明</w:t>
      </w:r>
    </w:p>
    <w:p w14:paraId="68116277">
      <w:pPr>
        <w:spacing w:line="580" w:lineRule="exact"/>
        <w:ind w:firstLine="640"/>
        <w:jc w:val="both"/>
      </w:pPr>
      <w:r>
        <w:rPr>
          <w:rFonts w:ascii="仿宋_GB2312" w:hAnsi="仿宋_GB2312" w:eastAsia="仿宋_GB2312"/>
          <w:b/>
          <w:sz w:val="32"/>
        </w:rPr>
        <w:t>本年收入641.46万元，</w:t>
      </w:r>
      <w:r>
        <w:rPr>
          <w:rFonts w:ascii="仿宋_GB2312" w:hAnsi="仿宋_GB2312" w:eastAsia="仿宋_GB2312"/>
          <w:b w:val="0"/>
          <w:sz w:val="32"/>
        </w:rPr>
        <w:t>其中：财政拨款收入610.46万元，占95.17%；上级补助收入0.00万元，占0.00%；事业收入0.00万元，占0.00%；经营收入0.00万元，占0.00%；附属单位上缴收入0.00万元，占0.00%；其他收入31.00万元，占4.83%。</w:t>
      </w:r>
    </w:p>
    <w:p w14:paraId="450132CC">
      <w:pPr>
        <w:spacing w:line="640" w:lineRule="exact"/>
        <w:ind w:firstLine="640"/>
        <w:jc w:val="both"/>
        <w:outlineLvl w:val="2"/>
      </w:pPr>
      <w:r>
        <w:rPr>
          <w:rFonts w:ascii="黑体" w:hAnsi="黑体" w:eastAsia="黑体"/>
          <w:sz w:val="32"/>
        </w:rPr>
        <w:t>三、支出决算情况说明</w:t>
      </w:r>
    </w:p>
    <w:p w14:paraId="567E5CD9">
      <w:pPr>
        <w:spacing w:line="580" w:lineRule="exact"/>
        <w:ind w:firstLine="640"/>
        <w:jc w:val="both"/>
      </w:pPr>
      <w:r>
        <w:rPr>
          <w:rFonts w:ascii="仿宋_GB2312" w:hAnsi="仿宋_GB2312" w:eastAsia="仿宋_GB2312"/>
          <w:b/>
          <w:sz w:val="32"/>
        </w:rPr>
        <w:t>本年支出644.53万元，</w:t>
      </w:r>
      <w:r>
        <w:rPr>
          <w:rFonts w:ascii="仿宋_GB2312" w:hAnsi="仿宋_GB2312" w:eastAsia="仿宋_GB2312"/>
          <w:b w:val="0"/>
          <w:sz w:val="32"/>
        </w:rPr>
        <w:t>其中：基本支出413.54万元，占64.16%；项目支出230.99万元，占35.84%；上缴上级支出0.00万元，占0.00%；经营支出0.00万元，占0.00%；对附属单位补助支出0.00万元，占0.00%。</w:t>
      </w:r>
    </w:p>
    <w:p w14:paraId="385E613F">
      <w:pPr>
        <w:spacing w:line="640" w:lineRule="exact"/>
        <w:ind w:firstLine="640"/>
        <w:jc w:val="both"/>
        <w:outlineLvl w:val="2"/>
      </w:pPr>
      <w:r>
        <w:rPr>
          <w:rFonts w:ascii="黑体" w:hAnsi="黑体" w:eastAsia="黑体"/>
          <w:sz w:val="32"/>
        </w:rPr>
        <w:t>四、财政拨款收入支出决算总体情况说明</w:t>
      </w:r>
    </w:p>
    <w:p w14:paraId="653D73F2">
      <w:pPr>
        <w:spacing w:line="580" w:lineRule="exact"/>
        <w:ind w:firstLine="640"/>
        <w:jc w:val="both"/>
      </w:pPr>
      <w:r>
        <w:rPr>
          <w:rFonts w:ascii="仿宋_GB2312" w:hAnsi="仿宋_GB2312" w:eastAsia="仿宋_GB2312"/>
          <w:b/>
          <w:sz w:val="32"/>
        </w:rPr>
        <w:t>2024年度财政拨款收入总计610.46万元，</w:t>
      </w:r>
      <w:r>
        <w:rPr>
          <w:rFonts w:ascii="仿宋_GB2312" w:hAnsi="仿宋_GB2312" w:eastAsia="仿宋_GB2312"/>
          <w:b w:val="0"/>
          <w:sz w:val="32"/>
        </w:rPr>
        <w:t>其中：年初财政拨款结转和结余0.00万元，本年财政拨款收入610.46万元。</w:t>
      </w:r>
      <w:r>
        <w:rPr>
          <w:rFonts w:ascii="仿宋_GB2312" w:hAnsi="仿宋_GB2312" w:eastAsia="仿宋_GB2312"/>
          <w:b/>
          <w:sz w:val="32"/>
        </w:rPr>
        <w:t>财政拨款支出总计610.46万元，</w:t>
      </w:r>
      <w:r>
        <w:rPr>
          <w:rFonts w:ascii="仿宋_GB2312" w:hAnsi="仿宋_GB2312" w:eastAsia="仿宋_GB2312"/>
          <w:b w:val="0"/>
          <w:sz w:val="32"/>
        </w:rPr>
        <w:t>其中：年末财政拨款结转和结余0.00万元，本年财政拨款支出610.46万元。</w:t>
      </w:r>
    </w:p>
    <w:p w14:paraId="08B494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增加134.05万元，增长28.14%，主要原因是：本年增加固定资产投资中介审计费</w:t>
      </w:r>
      <w:r>
        <w:rPr>
          <w:rFonts w:hint="eastAsia" w:ascii="仿宋_GB2312" w:hAnsi="仿宋_GB2312" w:eastAsia="仿宋_GB2312"/>
          <w:b w:val="0"/>
          <w:sz w:val="32"/>
          <w:lang w:eastAsia="zh-CN"/>
        </w:rPr>
        <w:t>、</w:t>
      </w:r>
      <w:r>
        <w:rPr>
          <w:rFonts w:ascii="仿宋_GB2312" w:hAnsi="仿宋_GB2312" w:eastAsia="仿宋_GB2312"/>
          <w:b w:val="0"/>
          <w:sz w:val="32"/>
        </w:rPr>
        <w:t>自治区援疆干部人才南疆工作补贴资金。</w:t>
      </w:r>
      <w:r>
        <w:rPr>
          <w:rFonts w:ascii="仿宋_GB2312" w:hAnsi="仿宋_GB2312" w:eastAsia="仿宋_GB2312"/>
          <w:b/>
          <w:sz w:val="32"/>
        </w:rPr>
        <w:t>与年初预算相比，</w:t>
      </w:r>
      <w:r>
        <w:rPr>
          <w:rFonts w:ascii="仿宋_GB2312" w:hAnsi="仿宋_GB2312" w:eastAsia="仿宋_GB2312"/>
          <w:b w:val="0"/>
          <w:sz w:val="32"/>
        </w:rPr>
        <w:t>年初预算数1,046.35万元，决算数610.46万元，预决算差异率-41.66%，主要原因是：本年在职人员减少，年中调减人员经费，年中调减乡村振兴专项审计经费，导致预决算存在差异。</w:t>
      </w:r>
    </w:p>
    <w:p w14:paraId="6DB638BC">
      <w:pPr>
        <w:spacing w:line="640" w:lineRule="exact"/>
        <w:ind w:firstLine="640"/>
        <w:jc w:val="both"/>
        <w:outlineLvl w:val="2"/>
      </w:pPr>
      <w:r>
        <w:rPr>
          <w:rFonts w:ascii="黑体" w:hAnsi="黑体" w:eastAsia="黑体"/>
          <w:sz w:val="32"/>
        </w:rPr>
        <w:t>五、一般公共预算财政拨款支出决算情况说明</w:t>
      </w:r>
    </w:p>
    <w:p w14:paraId="4B42E7F6">
      <w:pPr>
        <w:spacing w:line="640" w:lineRule="exact"/>
        <w:ind w:firstLine="640"/>
        <w:jc w:val="both"/>
        <w:outlineLvl w:val="3"/>
      </w:pPr>
      <w:r>
        <w:rPr>
          <w:rFonts w:ascii="楷体_GB2312" w:hAnsi="楷体_GB2312" w:eastAsia="楷体_GB2312"/>
          <w:b/>
          <w:sz w:val="32"/>
        </w:rPr>
        <w:t>（一）一般公共预算财政拨款支出决算总体情况</w:t>
      </w:r>
    </w:p>
    <w:p w14:paraId="7700A6AC">
      <w:pPr>
        <w:spacing w:line="580" w:lineRule="exact"/>
        <w:ind w:firstLine="640"/>
        <w:jc w:val="both"/>
      </w:pPr>
      <w:r>
        <w:rPr>
          <w:rFonts w:ascii="仿宋_GB2312" w:hAnsi="仿宋_GB2312" w:eastAsia="仿宋_GB2312"/>
          <w:b/>
          <w:sz w:val="32"/>
        </w:rPr>
        <w:t>2024年度一般公共预算财政拨款支出610.46万元，</w:t>
      </w:r>
      <w:r>
        <w:rPr>
          <w:rFonts w:ascii="仿宋_GB2312" w:hAnsi="仿宋_GB2312" w:eastAsia="仿宋_GB2312"/>
          <w:b w:val="0"/>
          <w:sz w:val="32"/>
        </w:rPr>
        <w:t>占本年支出合计的94.71%。</w:t>
      </w:r>
      <w:r>
        <w:rPr>
          <w:rFonts w:ascii="仿宋_GB2312" w:hAnsi="仿宋_GB2312" w:eastAsia="仿宋_GB2312"/>
          <w:b/>
          <w:sz w:val="32"/>
        </w:rPr>
        <w:t>与上年相比，</w:t>
      </w:r>
      <w:r>
        <w:rPr>
          <w:rFonts w:ascii="仿宋_GB2312" w:hAnsi="仿宋_GB2312" w:eastAsia="仿宋_GB2312"/>
          <w:b w:val="0"/>
          <w:sz w:val="32"/>
        </w:rPr>
        <w:t>增加134.05万元，增长28.14%，主要原因是：本年增加固定资产投资中介审计费</w:t>
      </w:r>
      <w:r>
        <w:rPr>
          <w:rFonts w:hint="eastAsia" w:ascii="仿宋_GB2312" w:hAnsi="仿宋_GB2312" w:eastAsia="仿宋_GB2312"/>
          <w:b w:val="0"/>
          <w:sz w:val="32"/>
          <w:lang w:eastAsia="zh-CN"/>
        </w:rPr>
        <w:t>、</w:t>
      </w:r>
      <w:r>
        <w:rPr>
          <w:rFonts w:ascii="仿宋_GB2312" w:hAnsi="仿宋_GB2312" w:eastAsia="仿宋_GB2312"/>
          <w:b w:val="0"/>
          <w:sz w:val="32"/>
        </w:rPr>
        <w:t>自治区援疆干部人才南疆工作补贴资金。</w:t>
      </w:r>
      <w:r>
        <w:rPr>
          <w:rFonts w:ascii="仿宋_GB2312" w:hAnsi="仿宋_GB2312" w:eastAsia="仿宋_GB2312"/>
          <w:b/>
          <w:sz w:val="32"/>
        </w:rPr>
        <w:t>与年初预算相比,</w:t>
      </w:r>
      <w:r>
        <w:rPr>
          <w:rFonts w:ascii="仿宋_GB2312" w:hAnsi="仿宋_GB2312" w:eastAsia="仿宋_GB2312"/>
          <w:b w:val="0"/>
          <w:sz w:val="32"/>
        </w:rPr>
        <w:t>年初预算数1,046.35万元，决算数610.46万元，预决算差异率-41.66%，主要原因是：本年在职人员减少，年中调减人员经费，年中调减乡村振兴专项审计经费，导致预决算存在差异。</w:t>
      </w:r>
    </w:p>
    <w:p w14:paraId="7C77F41E">
      <w:pPr>
        <w:spacing w:line="640" w:lineRule="exact"/>
        <w:ind w:firstLine="640"/>
        <w:jc w:val="both"/>
        <w:outlineLvl w:val="3"/>
      </w:pPr>
      <w:r>
        <w:rPr>
          <w:rFonts w:ascii="楷体_GB2312" w:hAnsi="楷体_GB2312" w:eastAsia="楷体_GB2312"/>
          <w:b/>
          <w:sz w:val="32"/>
        </w:rPr>
        <w:t>（二）一般公共预算财政拨款支出决算结构情况</w:t>
      </w:r>
    </w:p>
    <w:p w14:paraId="6AF3A083">
      <w:pPr>
        <w:spacing w:line="580" w:lineRule="exact"/>
        <w:ind w:firstLine="640"/>
        <w:jc w:val="both"/>
      </w:pPr>
      <w:r>
        <w:rPr>
          <w:rFonts w:ascii="仿宋_GB2312" w:hAnsi="仿宋_GB2312" w:eastAsia="仿宋_GB2312"/>
          <w:b w:val="0"/>
          <w:sz w:val="32"/>
        </w:rPr>
        <w:t>1.一般公共服务支出(类)486.57万元,占79.71%。</w:t>
      </w:r>
    </w:p>
    <w:p w14:paraId="2A9172DD">
      <w:pPr>
        <w:spacing w:line="580" w:lineRule="exact"/>
        <w:ind w:firstLine="640"/>
        <w:jc w:val="both"/>
      </w:pPr>
      <w:r>
        <w:rPr>
          <w:rFonts w:ascii="仿宋_GB2312" w:hAnsi="仿宋_GB2312" w:eastAsia="仿宋_GB2312"/>
          <w:b w:val="0"/>
          <w:sz w:val="32"/>
        </w:rPr>
        <w:t>2.社会保障和就业支出(类)80.50万元,占13.19%。</w:t>
      </w:r>
    </w:p>
    <w:p w14:paraId="147D1BCC">
      <w:pPr>
        <w:spacing w:line="580" w:lineRule="exact"/>
        <w:ind w:firstLine="640"/>
        <w:jc w:val="both"/>
      </w:pPr>
      <w:r>
        <w:rPr>
          <w:rFonts w:ascii="仿宋_GB2312" w:hAnsi="仿宋_GB2312" w:eastAsia="仿宋_GB2312"/>
          <w:b w:val="0"/>
          <w:sz w:val="32"/>
        </w:rPr>
        <w:t>3.卫生健康支出(类)15.11万元,占2.48%。</w:t>
      </w:r>
    </w:p>
    <w:p w14:paraId="7AB9DFCB">
      <w:pPr>
        <w:spacing w:line="580" w:lineRule="exact"/>
        <w:ind w:firstLine="640"/>
        <w:jc w:val="both"/>
      </w:pPr>
      <w:r>
        <w:rPr>
          <w:rFonts w:ascii="仿宋_GB2312" w:hAnsi="仿宋_GB2312" w:eastAsia="仿宋_GB2312"/>
          <w:b w:val="0"/>
          <w:sz w:val="32"/>
        </w:rPr>
        <w:t>4.住房保障支出(类)27.69万元,占4.54%。</w:t>
      </w:r>
    </w:p>
    <w:p w14:paraId="17E7B93C">
      <w:pPr>
        <w:spacing w:line="580" w:lineRule="exact"/>
        <w:ind w:firstLine="640"/>
        <w:jc w:val="both"/>
      </w:pPr>
      <w:r>
        <w:rPr>
          <w:rFonts w:ascii="仿宋_GB2312" w:hAnsi="仿宋_GB2312" w:eastAsia="仿宋_GB2312"/>
          <w:b w:val="0"/>
          <w:sz w:val="32"/>
        </w:rPr>
        <w:t>5.其他支出(类)0.59万元,占0.10%。</w:t>
      </w:r>
    </w:p>
    <w:p w14:paraId="5E812799">
      <w:pPr>
        <w:spacing w:line="640" w:lineRule="exact"/>
        <w:ind w:firstLine="640"/>
        <w:jc w:val="both"/>
        <w:outlineLvl w:val="3"/>
      </w:pPr>
      <w:r>
        <w:rPr>
          <w:rFonts w:ascii="楷体_GB2312" w:hAnsi="楷体_GB2312" w:eastAsia="楷体_GB2312"/>
          <w:b/>
          <w:sz w:val="32"/>
        </w:rPr>
        <w:t>（三）一般公共预算财政拨款支出决算具体情况</w:t>
      </w:r>
    </w:p>
    <w:p w14:paraId="3F72968F">
      <w:pPr>
        <w:spacing w:line="580" w:lineRule="exact"/>
        <w:ind w:firstLine="640"/>
        <w:jc w:val="both"/>
      </w:pPr>
      <w:r>
        <w:rPr>
          <w:rFonts w:ascii="仿宋_GB2312" w:hAnsi="仿宋_GB2312" w:eastAsia="仿宋_GB2312"/>
          <w:b w:val="0"/>
          <w:sz w:val="32"/>
        </w:rPr>
        <w:t>1.一般公共服务支出(类)审计事务(款)行政运行(项):支出决算数为165.61万元，比上年决算减少44.82万元，下降21.30%,主要原因是：本年在职人员减少，相应人员经费较上年减少。本年减少差旅费、生活补助、津贴补贴等经费。</w:t>
      </w:r>
    </w:p>
    <w:p w14:paraId="611D5939">
      <w:pPr>
        <w:spacing w:line="580" w:lineRule="exact"/>
        <w:ind w:firstLine="640"/>
        <w:jc w:val="both"/>
      </w:pPr>
      <w:r>
        <w:rPr>
          <w:rFonts w:ascii="仿宋_GB2312" w:hAnsi="仿宋_GB2312" w:eastAsia="仿宋_GB2312"/>
          <w:b w:val="0"/>
          <w:sz w:val="32"/>
        </w:rPr>
        <w:t>2.一般公共服务支出(类)审计事务(款)审计业务(项):支出决算数为215.68万元，比上年决算增加203.68万元，增长1,697.33%,主要原因是：本年增加固定资产投资中介审计费。</w:t>
      </w:r>
    </w:p>
    <w:p w14:paraId="6915C83A">
      <w:pPr>
        <w:spacing w:line="580" w:lineRule="exact"/>
        <w:ind w:firstLine="640"/>
        <w:jc w:val="both"/>
      </w:pPr>
      <w:r>
        <w:rPr>
          <w:rFonts w:ascii="仿宋_GB2312" w:hAnsi="仿宋_GB2312" w:eastAsia="仿宋_GB2312"/>
          <w:b w:val="0"/>
          <w:sz w:val="32"/>
        </w:rPr>
        <w:t>3.一般公共服务支出(类)审计事务(款)事业运行(项):支出决算数为104.25万元，比上年决算减少11.68万元，下降10.08%,主要原因是：本年在职人员减少，相应人员经费较上年减少。</w:t>
      </w:r>
    </w:p>
    <w:p w14:paraId="756B01EE">
      <w:pPr>
        <w:spacing w:line="580" w:lineRule="exact"/>
        <w:ind w:firstLine="640"/>
        <w:jc w:val="both"/>
      </w:pPr>
      <w:r>
        <w:rPr>
          <w:rFonts w:ascii="仿宋_GB2312" w:hAnsi="仿宋_GB2312" w:eastAsia="仿宋_GB2312"/>
          <w:b w:val="0"/>
          <w:sz w:val="32"/>
        </w:rPr>
        <w:t>4.一般公共服务支出(类)组织事务(款)其他组织事务支出(项):支出决算数为1.03万元，比上年决算增加0.13万元，增长14.44%,主要原因是：本年增加自治区援疆干部人才南疆工作补贴资金。</w:t>
      </w:r>
    </w:p>
    <w:p w14:paraId="66A166B3">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5.社会保障和就业支出(类)行政事业单位养老支出(款)行政单位离退休(项):支出决算数为24.01万元，比上年决算增加4.93万元，增长25.84%,主要原因是：本年退休人员增加，退休费支出增加。</w:t>
      </w:r>
    </w:p>
    <w:p w14:paraId="5D1F48D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35.41万元，比上年决算增加1.93万元，增长5.76%,主要原因是：本年在职人员工资基数调增，养老缴费基数上涨，相应支出增加。</w:t>
      </w:r>
    </w:p>
    <w:p w14:paraId="0B4C5FF6">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7.社会保障和就业支出(类)行政事业单位养老支出(款)机关事业单位职业年金缴费支出(项):支出决算数为21.07万元，比上年决算增加14.58万元，增长224.65%,主要原因是：本年新增退休人员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3545E93E">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8.社会保障和就业支出(类)抚恤(款)死亡抚恤(项):支出决算数为0.00万元，比上年决算减少36.20万元，下降100.00%,主要原因是：本年无新增死亡人员，死亡抚恤支出较上年减少。</w:t>
      </w:r>
    </w:p>
    <w:p w14:paraId="42CB882F">
      <w:pPr>
        <w:spacing w:line="580" w:lineRule="exact"/>
        <w:ind w:firstLine="640"/>
        <w:jc w:val="both"/>
      </w:pPr>
      <w:r>
        <w:rPr>
          <w:rFonts w:ascii="仿宋_GB2312" w:hAnsi="仿宋_GB2312" w:eastAsia="仿宋_GB2312"/>
          <w:b w:val="0"/>
          <w:sz w:val="32"/>
        </w:rPr>
        <w:t>9.卫生健康支出(类)行政事业单位医疗(款)行政单位医疗(项):支出决算数为10.04万元，比上年决算减少1.21万元，下降10.76%,主要原因是：本年在职人员减少，行政单位医疗支出较上年减少。</w:t>
      </w:r>
    </w:p>
    <w:p w14:paraId="774856AD">
      <w:pPr>
        <w:spacing w:line="580" w:lineRule="exact"/>
        <w:ind w:firstLine="640"/>
        <w:jc w:val="both"/>
      </w:pPr>
      <w:r>
        <w:rPr>
          <w:rFonts w:ascii="仿宋_GB2312" w:hAnsi="仿宋_GB2312" w:eastAsia="仿宋_GB2312"/>
          <w:b w:val="0"/>
          <w:sz w:val="32"/>
        </w:rPr>
        <w:t>10.卫生健康支出(类)行政事业单位医疗(款)事业单位医疗(项):支出决算数为5.08万元，比上年决算增加1.65万元，增长48.10%,主要原因是：本年在职人员工资基数调增，医疗缴费基数上涨，相应支出增加。</w:t>
      </w:r>
    </w:p>
    <w:p w14:paraId="02461203">
      <w:pPr>
        <w:spacing w:line="580" w:lineRule="exact"/>
        <w:ind w:firstLine="640"/>
        <w:jc w:val="both"/>
      </w:pPr>
      <w:r>
        <w:rPr>
          <w:rFonts w:ascii="仿宋_GB2312" w:hAnsi="仿宋_GB2312" w:eastAsia="仿宋_GB2312"/>
          <w:b w:val="0"/>
          <w:sz w:val="32"/>
        </w:rPr>
        <w:t>11.住房保障支出(类)住房改革支出(款)住房公积金(项):支出决算数为27.69万元，比上年决算增加0.48万元，增长1.76%,主要原因是：本年在职人员工资基数调增，公积金缴费基数上涨，相应支出增加。</w:t>
      </w:r>
    </w:p>
    <w:p w14:paraId="5A40E730">
      <w:pPr>
        <w:spacing w:line="580" w:lineRule="exact"/>
        <w:ind w:firstLine="640"/>
        <w:jc w:val="both"/>
      </w:pPr>
      <w:r>
        <w:rPr>
          <w:rFonts w:ascii="仿宋_GB2312" w:hAnsi="仿宋_GB2312" w:eastAsia="仿宋_GB2312"/>
          <w:b w:val="0"/>
          <w:sz w:val="32"/>
        </w:rPr>
        <w:t>12.其他支出(类)其他支出(款)其他支出(项):支出决算数为0.59万元，比上年决算增加0.59万元，增长100.00%,主要原因是：本年第一书记为民办实事经费支出增加。</w:t>
      </w:r>
    </w:p>
    <w:p w14:paraId="3F56398C">
      <w:pPr>
        <w:spacing w:line="640" w:lineRule="exact"/>
        <w:ind w:firstLine="640"/>
        <w:jc w:val="both"/>
        <w:outlineLvl w:val="2"/>
      </w:pPr>
      <w:r>
        <w:rPr>
          <w:rFonts w:ascii="黑体" w:hAnsi="黑体" w:eastAsia="黑体"/>
          <w:sz w:val="32"/>
        </w:rPr>
        <w:t>六、一般公共预算财政拨款基本支出决算情况说明</w:t>
      </w:r>
    </w:p>
    <w:p w14:paraId="67907A99">
      <w:pPr>
        <w:spacing w:line="580" w:lineRule="exact"/>
        <w:ind w:firstLine="640"/>
        <w:jc w:val="both"/>
      </w:pPr>
      <w:r>
        <w:rPr>
          <w:rFonts w:ascii="仿宋_GB2312" w:hAnsi="仿宋_GB2312" w:eastAsia="仿宋_GB2312"/>
          <w:b w:val="0"/>
          <w:sz w:val="32"/>
        </w:rPr>
        <w:t>2024年度一般公共预算财政拨款基本支出393.16万元，其中：</w:t>
      </w:r>
      <w:r>
        <w:rPr>
          <w:rFonts w:ascii="仿宋_GB2312" w:hAnsi="仿宋_GB2312" w:eastAsia="仿宋_GB2312"/>
          <w:b/>
          <w:sz w:val="32"/>
        </w:rPr>
        <w:t>人员经费386.85万元，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4E0A9454">
      <w:pPr>
        <w:spacing w:line="580" w:lineRule="exact"/>
        <w:ind w:firstLine="640"/>
        <w:jc w:val="both"/>
      </w:pPr>
      <w:r>
        <w:rPr>
          <w:rFonts w:ascii="仿宋_GB2312" w:hAnsi="仿宋_GB2312" w:eastAsia="仿宋_GB2312"/>
          <w:b/>
          <w:sz w:val="32"/>
        </w:rPr>
        <w:t>公用经费6.31万元，</w:t>
      </w:r>
      <w:r>
        <w:rPr>
          <w:rFonts w:ascii="仿宋_GB2312" w:hAnsi="仿宋_GB2312" w:eastAsia="仿宋_GB2312"/>
          <w:b w:val="0"/>
          <w:sz w:val="32"/>
        </w:rPr>
        <w:t>包括：办公费、水费、邮电费、取暖费、差旅费、公务用车运行维护费。</w:t>
      </w:r>
    </w:p>
    <w:p w14:paraId="506267DA">
      <w:pPr>
        <w:spacing w:line="640" w:lineRule="exact"/>
        <w:ind w:firstLine="640"/>
        <w:jc w:val="both"/>
        <w:outlineLvl w:val="2"/>
      </w:pPr>
      <w:r>
        <w:rPr>
          <w:rFonts w:ascii="黑体" w:hAnsi="黑体" w:eastAsia="黑体"/>
          <w:sz w:val="32"/>
        </w:rPr>
        <w:t>七、政府性基金预算财政拨款收入支出决算情况说明</w:t>
      </w:r>
    </w:p>
    <w:p w14:paraId="5F5FF30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BFD02D">
      <w:pPr>
        <w:spacing w:line="640" w:lineRule="exact"/>
        <w:ind w:firstLine="640"/>
        <w:jc w:val="both"/>
        <w:outlineLvl w:val="2"/>
      </w:pPr>
      <w:r>
        <w:rPr>
          <w:rFonts w:ascii="黑体" w:hAnsi="黑体" w:eastAsia="黑体"/>
          <w:sz w:val="32"/>
        </w:rPr>
        <w:t>八、国有资本经营预算财政拨款收入支出决算情况说明</w:t>
      </w:r>
    </w:p>
    <w:p w14:paraId="7EDCA40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4A8A43">
      <w:pPr>
        <w:spacing w:line="640" w:lineRule="exact"/>
        <w:ind w:firstLine="640"/>
        <w:jc w:val="both"/>
        <w:outlineLvl w:val="2"/>
      </w:pPr>
      <w:r>
        <w:rPr>
          <w:rFonts w:ascii="黑体" w:hAnsi="黑体" w:eastAsia="黑体"/>
          <w:sz w:val="32"/>
        </w:rPr>
        <w:t>九、财政拨款“三公”经费支出决算情况说明</w:t>
      </w:r>
    </w:p>
    <w:p w14:paraId="04714525">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1.50万元，增长500.00%，主要原因是：本单位公务用车日渐老化，维修维护成本增加、燃油费增加，导致公务用车运行维护费较上年增加。其中：因公出国（境）费支出0.00万元，占0.00%，比上年增加0.00万元，增长0.00%，主要原因是：2023年与2024年均未安排因公出国（境）费支出。公务用车购置及运行维护费支出1.80万元，占100.00%，比上年增加1.50万元，增长500.00%，主要原因是：本单位公务用车日渐老化，维修维护成本增加、燃油费增加，导致公务用车运行维护费较上年增加。公务接待费支出0.00万元，占0.00%，比上年增加0.00万元，增长0.00%，主要原因是：2023年与2024年均未安排公务接待费支出。</w:t>
      </w:r>
    </w:p>
    <w:p w14:paraId="4E70526B">
      <w:pPr>
        <w:spacing w:line="580" w:lineRule="exact"/>
        <w:ind w:firstLine="640"/>
        <w:jc w:val="both"/>
      </w:pPr>
      <w:r>
        <w:rPr>
          <w:rFonts w:ascii="仿宋_GB2312" w:hAnsi="仿宋_GB2312" w:eastAsia="仿宋_GB2312"/>
          <w:b/>
          <w:sz w:val="32"/>
        </w:rPr>
        <w:t>具体情况如下：</w:t>
      </w:r>
    </w:p>
    <w:p w14:paraId="58461EF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F97EC5">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单位车辆保险费、维修维护费、车辆审验费、燃油费。公务用车购置数0辆，公务用车保有量1辆。国有资产占用情况中固定资产车辆1辆，与公务用车保有量差异原因是：本单位固定资产车辆与公务用车保有量一致无差异。</w:t>
      </w:r>
    </w:p>
    <w:p w14:paraId="685B7E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B9649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0.00万元，决算数0.00万元，预决算差异率0.00%，主要原因是：本单位无公务接待费。</w:t>
      </w:r>
    </w:p>
    <w:p w14:paraId="21B881EB">
      <w:pPr>
        <w:spacing w:line="640" w:lineRule="exact"/>
        <w:ind w:firstLine="640"/>
        <w:jc w:val="both"/>
        <w:outlineLvl w:val="2"/>
      </w:pPr>
      <w:r>
        <w:rPr>
          <w:rFonts w:ascii="黑体" w:hAnsi="黑体" w:eastAsia="黑体"/>
          <w:sz w:val="32"/>
        </w:rPr>
        <w:t>十、其他重要事项的情况说明</w:t>
      </w:r>
    </w:p>
    <w:p w14:paraId="4A4AFEDA">
      <w:pPr>
        <w:spacing w:line="640" w:lineRule="exact"/>
        <w:ind w:firstLine="640"/>
        <w:jc w:val="both"/>
        <w:outlineLvl w:val="3"/>
      </w:pPr>
      <w:r>
        <w:rPr>
          <w:rFonts w:ascii="楷体_GB2312" w:hAnsi="楷体_GB2312" w:eastAsia="楷体_GB2312"/>
          <w:b/>
          <w:sz w:val="32"/>
        </w:rPr>
        <w:t>（一）机关运行经费及公用经费支出情况</w:t>
      </w:r>
    </w:p>
    <w:p w14:paraId="1875AA50">
      <w:pPr>
        <w:spacing w:line="580" w:lineRule="exact"/>
        <w:ind w:firstLine="640"/>
        <w:jc w:val="both"/>
      </w:pPr>
      <w:r>
        <w:rPr>
          <w:rFonts w:ascii="仿宋_GB2312" w:hAnsi="仿宋_GB2312" w:eastAsia="仿宋_GB2312"/>
          <w:b w:val="0"/>
          <w:sz w:val="32"/>
        </w:rPr>
        <w:t>2024年度阿克陶县审计局（行政单位和参照公务员法管理事业单位）机关运行经费支出6.31万元，比上年增加3.88万元，增长159.67%，主要原因是：本年更新、维护补充办公用品，导致机关运行经费较上年增加。</w:t>
      </w:r>
    </w:p>
    <w:p w14:paraId="4A4775ED">
      <w:pPr>
        <w:spacing w:line="640" w:lineRule="exact"/>
        <w:ind w:firstLine="640"/>
        <w:jc w:val="both"/>
        <w:outlineLvl w:val="3"/>
      </w:pPr>
      <w:r>
        <w:rPr>
          <w:rFonts w:ascii="楷体_GB2312" w:hAnsi="楷体_GB2312" w:eastAsia="楷体_GB2312"/>
          <w:b/>
          <w:sz w:val="32"/>
        </w:rPr>
        <w:t>（二）政府采购情况</w:t>
      </w:r>
    </w:p>
    <w:p w14:paraId="5E133486">
      <w:pPr>
        <w:spacing w:line="580" w:lineRule="exact"/>
        <w:ind w:firstLine="640"/>
        <w:jc w:val="both"/>
      </w:pPr>
      <w:r>
        <w:rPr>
          <w:rFonts w:ascii="仿宋_GB2312" w:hAnsi="仿宋_GB2312" w:eastAsia="仿宋_GB2312"/>
          <w:b w:val="0"/>
          <w:sz w:val="32"/>
        </w:rPr>
        <w:t>2024年度政府采购支出总额1.31万元，其中：政府采购货物支出0.48万元、政府采购工程支出0.00万元、政府采购服务支出0.83万元。</w:t>
      </w:r>
    </w:p>
    <w:p w14:paraId="1035E1F6">
      <w:pPr>
        <w:spacing w:line="580" w:lineRule="exact"/>
        <w:ind w:firstLine="640"/>
        <w:jc w:val="both"/>
      </w:pPr>
      <w:r>
        <w:rPr>
          <w:rFonts w:ascii="仿宋_GB2312" w:hAnsi="仿宋_GB2312" w:eastAsia="仿宋_GB2312"/>
          <w:b w:val="0"/>
          <w:sz w:val="32"/>
        </w:rPr>
        <w:t>授予中小企业合同金额0.53万元，占政府采购支出总额的40.46%，其中：授予小微企业合同金额0.53万元，占政府采购支出总额的40.46%。</w:t>
      </w:r>
    </w:p>
    <w:p w14:paraId="0E83975E">
      <w:pPr>
        <w:spacing w:line="640" w:lineRule="exact"/>
        <w:ind w:firstLine="640"/>
        <w:jc w:val="both"/>
        <w:outlineLvl w:val="3"/>
      </w:pPr>
      <w:r>
        <w:rPr>
          <w:rFonts w:ascii="楷体_GB2312" w:hAnsi="楷体_GB2312" w:eastAsia="楷体_GB2312"/>
          <w:b/>
          <w:sz w:val="32"/>
        </w:rPr>
        <w:t>（三）国有资产占用情况说明</w:t>
      </w:r>
    </w:p>
    <w:p w14:paraId="17FAA57A">
      <w:pPr>
        <w:spacing w:line="580" w:lineRule="exact"/>
        <w:ind w:firstLine="640"/>
        <w:jc w:val="both"/>
      </w:pPr>
      <w:r>
        <w:rPr>
          <w:rFonts w:ascii="仿宋_GB2312" w:hAnsi="仿宋_GB2312" w:eastAsia="仿宋_GB2312"/>
          <w:b w:val="0"/>
          <w:sz w:val="32"/>
        </w:rPr>
        <w:t>截至2024年12月31日，房屋0.00平方米，价值0.00万元。车辆1辆，价值29.26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87B866E">
      <w:pPr>
        <w:spacing w:line="640" w:lineRule="exact"/>
        <w:ind w:firstLine="640"/>
        <w:jc w:val="both"/>
        <w:outlineLvl w:val="2"/>
      </w:pPr>
      <w:r>
        <w:rPr>
          <w:rFonts w:ascii="黑体" w:hAnsi="黑体" w:eastAsia="黑体"/>
          <w:sz w:val="32"/>
        </w:rPr>
        <w:t>十一、预算绩效的情况说明</w:t>
      </w:r>
    </w:p>
    <w:p w14:paraId="1101DF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661.84万元，实际执行总额644.53万元；预算绩效评价项目3个，全年预算数610.00万元，全年执行数217.67万元。预算绩效管理取得的成效：1.加强预算绩效目标管理工作。明确预算项目绩效目标编制要求，分类别建立科学合理、细化量化、可比可测预算绩效指标体系，突出结果导向，重点考核实绩。2.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本单位</w:t>
      </w:r>
      <w:r>
        <w:rPr>
          <w:rFonts w:ascii="仿宋_GB2312" w:hAnsi="仿宋_GB2312" w:eastAsia="仿宋_GB2312"/>
          <w:b w:val="0"/>
          <w:sz w:val="32"/>
        </w:rPr>
        <w:t>下一年度预算绩效管理工作常态化、规范化。3.通过强化专业培训、学习考察、业务交流等措施，帮助和促进本单位现有人员提高绩效管理业务水平、实际工作能力。强化预算绩效执行工作，指定专人负责预算执行监督管理，进一步推动预算绩效管理工作。4.借助第三方专业机构力量，贯彻落实全面预算绩效管理工作，建立全过程预算绩效管理链条，将绩效各个环节紧密贯通。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下一步改进措施：1.继续加大绩效工作宣传力度，强化绩效理念。2.继续完善绩效指标，提高整体绩效目标质量。提升预算精细化管理水平。具体附整体支出绩效自评表，项目支出绩效自评表和评价报告。</w:t>
      </w:r>
    </w:p>
    <w:p w14:paraId="05B2F8B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A5537C">
        <w:tblPrEx>
          <w:tblCellMar>
            <w:top w:w="0" w:type="dxa"/>
            <w:left w:w="108" w:type="dxa"/>
            <w:bottom w:w="0" w:type="dxa"/>
            <w:right w:w="108" w:type="dxa"/>
          </w:tblCellMar>
        </w:tblPrEx>
        <w:tc>
          <w:tcPr>
            <w:tcW w:w="8840" w:type="dxa"/>
            <w:gridSpan w:val="8"/>
            <w:vAlign w:val="center"/>
          </w:tcPr>
          <w:p w14:paraId="5669FC19">
            <w:pPr>
              <w:jc w:val="center"/>
            </w:pPr>
            <w:r>
              <w:rPr>
                <w:rFonts w:ascii="宋体" w:hAnsi="宋体" w:eastAsia="宋体"/>
                <w:sz w:val="24"/>
              </w:rPr>
              <w:t>单位整体支出绩效自评表</w:t>
            </w:r>
          </w:p>
        </w:tc>
      </w:tr>
      <w:tr w14:paraId="48D2A1B9">
        <w:tblPrEx>
          <w:tblCellMar>
            <w:top w:w="0" w:type="dxa"/>
            <w:left w:w="108" w:type="dxa"/>
            <w:bottom w:w="0" w:type="dxa"/>
            <w:right w:w="108" w:type="dxa"/>
          </w:tblCellMar>
        </w:tblPrEx>
        <w:tc>
          <w:tcPr>
            <w:tcW w:w="8840" w:type="dxa"/>
            <w:gridSpan w:val="8"/>
            <w:vAlign w:val="center"/>
          </w:tcPr>
          <w:p w14:paraId="751F4621">
            <w:pPr>
              <w:jc w:val="center"/>
            </w:pPr>
            <w:r>
              <w:rPr>
                <w:rFonts w:ascii="宋体" w:hAnsi="宋体" w:eastAsia="宋体"/>
                <w:sz w:val="24"/>
              </w:rPr>
              <w:t>（2024年度）</w:t>
            </w:r>
          </w:p>
        </w:tc>
      </w:tr>
      <w:tr w14:paraId="6FCE2A4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1AD4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E3DB0">
            <w:pPr>
              <w:jc w:val="center"/>
            </w:pPr>
            <w:r>
              <w:rPr>
                <w:rFonts w:ascii="宋体" w:hAnsi="宋体" w:eastAsia="宋体"/>
                <w:sz w:val="16"/>
              </w:rPr>
              <w:t>阿克陶县审计局</w:t>
            </w:r>
          </w:p>
        </w:tc>
      </w:tr>
      <w:tr w14:paraId="5A07CF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80B1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A6F5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599C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C3AF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32BA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737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A42E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CC99A">
            <w:pPr>
              <w:jc w:val="center"/>
            </w:pPr>
            <w:r>
              <w:rPr>
                <w:rFonts w:ascii="宋体" w:hAnsi="宋体" w:eastAsia="宋体"/>
                <w:sz w:val="16"/>
              </w:rPr>
              <w:t>得分</w:t>
            </w:r>
          </w:p>
        </w:tc>
      </w:tr>
      <w:tr w14:paraId="225C39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C18E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6D6E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C1344">
            <w:pPr>
              <w:jc w:val="center"/>
            </w:pPr>
            <w:r>
              <w:rPr>
                <w:rFonts w:ascii="宋体" w:hAnsi="宋体" w:eastAsia="宋体"/>
                <w:sz w:val="16"/>
              </w:rPr>
              <w:t>1,046.35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FA3CB">
            <w:pPr>
              <w:jc w:val="center"/>
            </w:pPr>
            <w:r>
              <w:rPr>
                <w:rFonts w:ascii="宋体" w:hAnsi="宋体" w:eastAsia="宋体"/>
                <w:sz w:val="16"/>
              </w:rPr>
              <w:t>661.84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8B375">
            <w:pPr>
              <w:jc w:val="center"/>
            </w:pPr>
            <w:r>
              <w:rPr>
                <w:rFonts w:ascii="宋体" w:hAnsi="宋体" w:eastAsia="宋体"/>
                <w:sz w:val="16"/>
              </w:rPr>
              <w:t>644.53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1C0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47327">
            <w:pPr>
              <w:jc w:val="center"/>
            </w:pPr>
            <w:r>
              <w:rPr>
                <w:rFonts w:ascii="宋体" w:hAnsi="宋体" w:eastAsia="宋体"/>
                <w:sz w:val="16"/>
              </w:rPr>
              <w:t>97.38%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C2527">
            <w:pPr>
              <w:jc w:val="center"/>
            </w:pPr>
            <w:r>
              <w:rPr>
                <w:rFonts w:ascii="宋体" w:hAnsi="宋体" w:eastAsia="宋体"/>
                <w:sz w:val="16"/>
              </w:rPr>
              <w:t>9.74</w:t>
            </w:r>
          </w:p>
        </w:tc>
      </w:tr>
      <w:tr w14:paraId="16676B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C855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17C1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8C464">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E163B">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68B89">
            <w:pPr>
              <w:jc w:val="center"/>
            </w:pPr>
            <w:r>
              <w:rPr>
                <w:rFonts w:ascii="宋体" w:hAnsi="宋体" w:eastAsia="宋体"/>
                <w:sz w:val="16"/>
              </w:rPr>
              <w:t>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6CF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9A5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605F2">
            <w:pPr>
              <w:jc w:val="center"/>
            </w:pPr>
            <w:r>
              <w:rPr>
                <w:rFonts w:ascii="宋体" w:hAnsi="宋体" w:eastAsia="宋体"/>
                <w:sz w:val="16"/>
              </w:rPr>
              <w:t>—</w:t>
            </w:r>
          </w:p>
        </w:tc>
      </w:tr>
      <w:tr w14:paraId="0FC76D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D9DC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7AAC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0ED4B">
            <w:pPr>
              <w:jc w:val="center"/>
            </w:pPr>
            <w:r>
              <w:rPr>
                <w:rFonts w:ascii="宋体" w:hAnsi="宋体" w:eastAsia="宋体"/>
                <w:sz w:val="16"/>
              </w:rPr>
              <w:t>1,038.35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6C716">
            <w:pPr>
              <w:jc w:val="center"/>
            </w:pPr>
            <w:r>
              <w:rPr>
                <w:rFonts w:ascii="宋体" w:hAnsi="宋体" w:eastAsia="宋体"/>
                <w:sz w:val="16"/>
              </w:rPr>
              <w:t>653.84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3F5B2">
            <w:pPr>
              <w:jc w:val="center"/>
            </w:pPr>
            <w:r>
              <w:rPr>
                <w:rFonts w:ascii="宋体" w:hAnsi="宋体" w:eastAsia="宋体"/>
                <w:sz w:val="16"/>
              </w:rPr>
              <w:t>642.62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617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2B8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19586">
            <w:pPr>
              <w:jc w:val="center"/>
            </w:pPr>
            <w:r>
              <w:rPr>
                <w:rFonts w:ascii="宋体" w:hAnsi="宋体" w:eastAsia="宋体"/>
                <w:sz w:val="16"/>
              </w:rPr>
              <w:t>—</w:t>
            </w:r>
          </w:p>
        </w:tc>
      </w:tr>
      <w:tr w14:paraId="2F7D2C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67DD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86E8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252A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E78A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9628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5A7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588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2A755">
            <w:pPr>
              <w:jc w:val="center"/>
            </w:pPr>
            <w:r>
              <w:rPr>
                <w:rFonts w:ascii="宋体" w:hAnsi="宋体" w:eastAsia="宋体"/>
                <w:sz w:val="16"/>
              </w:rPr>
              <w:t>—</w:t>
            </w:r>
          </w:p>
        </w:tc>
      </w:tr>
      <w:tr w14:paraId="18B343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6B38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9D592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4A1781">
            <w:pPr>
              <w:jc w:val="center"/>
            </w:pPr>
            <w:r>
              <w:rPr>
                <w:rFonts w:ascii="宋体" w:hAnsi="宋体" w:eastAsia="宋体"/>
                <w:sz w:val="16"/>
              </w:rPr>
              <w:t>实际完成情况</w:t>
            </w:r>
          </w:p>
        </w:tc>
      </w:tr>
      <w:tr w14:paraId="78840E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0F8B6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A6ED91">
            <w:pPr>
              <w:jc w:val="both"/>
            </w:pPr>
            <w:r>
              <w:rPr>
                <w:rFonts w:ascii="宋体" w:hAnsi="宋体" w:eastAsia="宋体"/>
                <w:sz w:val="16"/>
              </w:rPr>
              <w:t>1.保障阿克陶县审计局在职人员的工资、津贴、补贴、社保、医保、公积金以及离退休人员的工资、医疗费，长期临聘人员生活补助等人员保障性经费能够依规、按时、足额发放或缴纳；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2.保障乡村振兴专项审计工作正常；</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3.保障24年县级固定资产投资中介审计费及时足额支付；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4.保障</w:t>
            </w:r>
            <w:r>
              <w:rPr>
                <w:rFonts w:hint="eastAsia" w:ascii="宋体" w:hAnsi="宋体"/>
                <w:sz w:val="16"/>
                <w:lang w:eastAsia="zh-CN"/>
              </w:rPr>
              <w:t>为民办实事</w:t>
            </w:r>
            <w:r>
              <w:rPr>
                <w:rFonts w:ascii="宋体" w:hAnsi="宋体" w:eastAsia="宋体"/>
                <w:sz w:val="16"/>
              </w:rPr>
              <w:t>工作正常开展；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提升部门人员工作积极性和服务质量；保障部门日常运转，为部门正常履职和开展综合性事务管理提供有效支撑，确保冬季取暖费等公用保障性经费按照财政安排和相关工作要求及时支出；保障办公室各项工作正常运转，提升了工作人员办事效率和服务保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B0C064">
            <w:pPr>
              <w:jc w:val="both"/>
            </w:pPr>
            <w:r>
              <w:rPr>
                <w:rFonts w:ascii="宋体" w:hAnsi="宋体" w:eastAsia="宋体"/>
                <w:sz w:val="16"/>
              </w:rPr>
              <w:t>1.保障了阿克陶县审计局在职人员16人的工资、津贴、补贴、社保、医保、公积金以及离退休人员的工资、医疗费，长期临聘人员生活补助等人员保障性经费能够依规、按时、足额发放或缴纳；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2.保障了乡村振兴专项审计工作正常开展；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3.保障了24年县级固定资产投资中介审计费及时足额支付；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4.保障</w:t>
            </w:r>
            <w:r>
              <w:rPr>
                <w:rFonts w:hint="eastAsia" w:ascii="宋体" w:hAnsi="宋体"/>
                <w:sz w:val="16"/>
                <w:lang w:eastAsia="zh-CN"/>
              </w:rPr>
              <w:t>为民办实事</w:t>
            </w:r>
            <w:r>
              <w:rPr>
                <w:rFonts w:ascii="宋体" w:hAnsi="宋体" w:eastAsia="宋体"/>
                <w:sz w:val="16"/>
              </w:rPr>
              <w:t>工作正常开展；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提升部门人员工作积极性和服务质量；保障部门日常运转，为部门正常履职和开展综合性事务管理提供有效支撑，确保冬季取暖费等公用保障性经费按照财政安排和相关工作要求及时支出；保障办公室各项工作正常运转，提升了工作人员办事效率和服务保障能力</w:t>
            </w:r>
          </w:p>
        </w:tc>
      </w:tr>
      <w:tr w14:paraId="6FDC8C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3F05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89F3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F591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0CE3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882D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2492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6552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34F77">
            <w:pPr>
              <w:jc w:val="center"/>
            </w:pPr>
            <w:r>
              <w:rPr>
                <w:rFonts w:ascii="宋体" w:hAnsi="宋体" w:eastAsia="宋体"/>
                <w:sz w:val="16"/>
              </w:rPr>
              <w:t>得分</w:t>
            </w:r>
          </w:p>
        </w:tc>
      </w:tr>
      <w:tr w14:paraId="7F441C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1768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4440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5553C">
            <w:pPr>
              <w:jc w:val="center"/>
            </w:pPr>
            <w:r>
              <w:rPr>
                <w:rFonts w:ascii="宋体" w:hAnsi="宋体" w:eastAsia="宋体"/>
                <w:sz w:val="16"/>
              </w:rPr>
              <w:t>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DCDF4">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ADF2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697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DC079">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5D2F0">
            <w:pPr>
              <w:jc w:val="center"/>
            </w:pPr>
            <w:r>
              <w:rPr>
                <w:rFonts w:ascii="宋体" w:hAnsi="宋体" w:eastAsia="宋体"/>
                <w:sz w:val="16"/>
              </w:rPr>
              <w:t>10</w:t>
            </w:r>
          </w:p>
        </w:tc>
      </w:tr>
      <w:tr w14:paraId="69E71C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01F05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9CB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07DED">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6865D">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8FBFB">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92C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0741E">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1C822">
            <w:pPr>
              <w:jc w:val="center"/>
            </w:pPr>
            <w:r>
              <w:rPr>
                <w:rFonts w:ascii="宋体" w:hAnsi="宋体" w:eastAsia="宋体"/>
                <w:sz w:val="16"/>
              </w:rPr>
              <w:t>10</w:t>
            </w:r>
          </w:p>
        </w:tc>
      </w:tr>
      <w:tr w14:paraId="787289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E762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629F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3FF76">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A1743">
            <w:pPr>
              <w:jc w:val="center"/>
            </w:pPr>
            <w:r>
              <w:rPr>
                <w:rFonts w:ascii="宋体" w:hAnsi="宋体" w:eastAsia="宋体"/>
                <w:sz w:val="16"/>
              </w:rPr>
              <w:t>&lt;=1046.35万元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5704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233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A2E0E">
            <w:pPr>
              <w:jc w:val="center"/>
            </w:pPr>
            <w:r>
              <w:rPr>
                <w:rFonts w:ascii="宋体" w:hAnsi="宋体" w:eastAsia="宋体"/>
                <w:sz w:val="16"/>
              </w:rPr>
              <w:t>=644.53万元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5CE15">
            <w:pPr>
              <w:jc w:val="center"/>
            </w:pPr>
            <w:r>
              <w:rPr>
                <w:rFonts w:ascii="宋体" w:hAnsi="宋体" w:eastAsia="宋体"/>
                <w:sz w:val="16"/>
              </w:rPr>
              <w:t>6.16</w:t>
            </w:r>
          </w:p>
        </w:tc>
      </w:tr>
      <w:tr w14:paraId="4FFD9C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DB4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0C82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8C91E">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238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069B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9EB4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6E5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C6FD2">
            <w:pPr>
              <w:jc w:val="center"/>
            </w:pPr>
            <w:r>
              <w:rPr>
                <w:rFonts w:ascii="宋体" w:hAnsi="宋体" w:eastAsia="宋体"/>
                <w:sz w:val="16"/>
              </w:rPr>
              <w:t>10</w:t>
            </w:r>
          </w:p>
        </w:tc>
      </w:tr>
      <w:tr w14:paraId="42A833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5711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A262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A7F6B">
            <w:pPr>
              <w:jc w:val="center"/>
            </w:pPr>
            <w:r>
              <w:rPr>
                <w:rFonts w:ascii="宋体" w:hAnsi="宋体" w:eastAsia="宋体"/>
                <w:sz w:val="16"/>
              </w:rPr>
              <w:t>审计项目执行率（%）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CC5A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D259D">
            <w:pPr>
              <w:jc w:val="center"/>
            </w:pPr>
            <w:r>
              <w:rPr>
                <w:rFonts w:ascii="宋体" w:hAnsi="宋体" w:eastAsia="宋体"/>
                <w:sz w:val="16"/>
              </w:rPr>
              <w:t>审计计划要求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CA5C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94F1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B80C1">
            <w:pPr>
              <w:jc w:val="center"/>
            </w:pPr>
            <w:r>
              <w:rPr>
                <w:rFonts w:ascii="宋体" w:hAnsi="宋体" w:eastAsia="宋体"/>
                <w:sz w:val="16"/>
              </w:rPr>
              <w:t>20</w:t>
            </w:r>
          </w:p>
        </w:tc>
      </w:tr>
      <w:tr w14:paraId="519B42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365E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791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39A41">
            <w:pPr>
              <w:jc w:val="center"/>
            </w:pPr>
            <w:r>
              <w:rPr>
                <w:rFonts w:ascii="宋体" w:hAnsi="宋体" w:eastAsia="宋体"/>
                <w:sz w:val="16"/>
              </w:rPr>
              <w:t>开展审计项目数量（个）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B79B4">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14B5A">
            <w:pPr>
              <w:jc w:val="center"/>
            </w:pPr>
            <w:r>
              <w:rPr>
                <w:rFonts w:ascii="宋体" w:hAnsi="宋体" w:eastAsia="宋体"/>
                <w:sz w:val="16"/>
              </w:rPr>
              <w:t>审计计划要求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7AF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B4811">
            <w:pPr>
              <w:jc w:val="center"/>
            </w:pPr>
            <w:r>
              <w:rPr>
                <w:rFonts w:ascii="宋体" w:hAnsi="宋体" w:eastAsia="宋体"/>
                <w:sz w:val="16"/>
              </w:rPr>
              <w:t>=23个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7BD49">
            <w:pPr>
              <w:jc w:val="center"/>
            </w:pPr>
            <w:r>
              <w:rPr>
                <w:rFonts w:ascii="宋体" w:hAnsi="宋体" w:eastAsia="宋体"/>
                <w:sz w:val="16"/>
              </w:rPr>
              <w:t>10</w:t>
            </w:r>
          </w:p>
        </w:tc>
      </w:tr>
      <w:tr w14:paraId="1ECE76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AF77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8BEB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836EF">
            <w:pPr>
              <w:jc w:val="center"/>
            </w:pPr>
            <w:r>
              <w:rPr>
                <w:rFonts w:ascii="宋体" w:hAnsi="宋体" w:eastAsia="宋体"/>
                <w:sz w:val="16"/>
              </w:rPr>
              <w:t>保障部门单位正常履职和各项政策措施有效实施（保障）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6249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317E3">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502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F333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B0E26">
            <w:pPr>
              <w:jc w:val="center"/>
            </w:pPr>
            <w:r>
              <w:rPr>
                <w:rFonts w:ascii="宋体" w:hAnsi="宋体" w:eastAsia="宋体"/>
                <w:sz w:val="16"/>
              </w:rPr>
              <w:t>10</w:t>
            </w:r>
          </w:p>
        </w:tc>
      </w:tr>
      <w:tr w14:paraId="1CB632C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09BBF">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DE1D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77059">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15F1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5E3E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BD2A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8442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156B7">
            <w:pPr>
              <w:jc w:val="center"/>
            </w:pPr>
            <w:r>
              <w:rPr>
                <w:rFonts w:ascii="宋体" w:hAnsi="宋体" w:eastAsia="宋体"/>
                <w:sz w:val="16"/>
              </w:rPr>
              <w:t>10</w:t>
            </w:r>
          </w:p>
        </w:tc>
      </w:tr>
    </w:tbl>
    <w:p w14:paraId="641BFB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1200AE7A">
        <w:tblPrEx>
          <w:tblCellMar>
            <w:top w:w="0" w:type="dxa"/>
            <w:left w:w="108" w:type="dxa"/>
            <w:bottom w:w="0" w:type="dxa"/>
            <w:right w:w="108" w:type="dxa"/>
          </w:tblCellMar>
        </w:tblPrEx>
        <w:tc>
          <w:tcPr>
            <w:tcW w:w="8848" w:type="dxa"/>
            <w:gridSpan w:val="14"/>
            <w:vAlign w:val="center"/>
          </w:tcPr>
          <w:p w14:paraId="045AF802">
            <w:pPr>
              <w:jc w:val="center"/>
            </w:pPr>
            <w:r>
              <w:rPr>
                <w:rFonts w:ascii="宋体" w:hAnsi="宋体" w:eastAsia="宋体"/>
                <w:sz w:val="24"/>
              </w:rPr>
              <w:t>项目支出绩效自评表</w:t>
            </w:r>
          </w:p>
        </w:tc>
      </w:tr>
      <w:tr w14:paraId="45E6BDA2">
        <w:tblPrEx>
          <w:tblCellMar>
            <w:top w:w="0" w:type="dxa"/>
            <w:left w:w="108" w:type="dxa"/>
            <w:bottom w:w="0" w:type="dxa"/>
            <w:right w:w="108" w:type="dxa"/>
          </w:tblCellMar>
        </w:tblPrEx>
        <w:tc>
          <w:tcPr>
            <w:tcW w:w="8848" w:type="dxa"/>
            <w:gridSpan w:val="14"/>
            <w:vAlign w:val="center"/>
          </w:tcPr>
          <w:p w14:paraId="01D353A9">
            <w:pPr>
              <w:jc w:val="center"/>
            </w:pPr>
            <w:r>
              <w:rPr>
                <w:rFonts w:ascii="宋体" w:hAnsi="宋体" w:eastAsia="宋体"/>
                <w:sz w:val="24"/>
              </w:rPr>
              <w:t>(2024年度)</w:t>
            </w:r>
          </w:p>
        </w:tc>
      </w:tr>
      <w:tr w14:paraId="75B71D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FE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AE86A0">
            <w:pPr>
              <w:jc w:val="center"/>
            </w:pPr>
            <w:r>
              <w:rPr>
                <w:rFonts w:ascii="宋体" w:hAnsi="宋体" w:eastAsia="宋体"/>
                <w:sz w:val="16"/>
              </w:rPr>
              <w:t>2024 年县级工作队第一书记为民办实事经费</w:t>
            </w:r>
          </w:p>
        </w:tc>
      </w:tr>
      <w:tr w14:paraId="7DE2D6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6A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097BB">
            <w:pPr>
              <w:jc w:val="center"/>
            </w:pPr>
            <w:r>
              <w:rPr>
                <w:rFonts w:ascii="宋体" w:hAnsi="宋体" w:eastAsia="宋体"/>
                <w:sz w:val="16"/>
              </w:rPr>
              <w:t>阿克陶县审计局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46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3CDD5F">
            <w:pPr>
              <w:jc w:val="center"/>
            </w:pPr>
            <w:r>
              <w:rPr>
                <w:rFonts w:ascii="宋体" w:hAnsi="宋体" w:eastAsia="宋体"/>
                <w:sz w:val="16"/>
              </w:rPr>
              <w:t>阿克陶县审计局</w:t>
            </w:r>
          </w:p>
        </w:tc>
      </w:tr>
      <w:tr w14:paraId="3B7309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BEC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57A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663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B7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AB6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F5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C8A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583F">
            <w:pPr>
              <w:jc w:val="center"/>
            </w:pPr>
            <w:r>
              <w:rPr>
                <w:rFonts w:ascii="宋体" w:hAnsi="宋体" w:eastAsia="宋体"/>
                <w:sz w:val="16"/>
              </w:rPr>
              <w:t>得分</w:t>
            </w:r>
          </w:p>
        </w:tc>
      </w:tr>
      <w:tr w14:paraId="6C339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440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9BA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1235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E3DD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9F5E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C7C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C068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F566">
            <w:pPr>
              <w:jc w:val="center"/>
            </w:pPr>
            <w:r>
              <w:rPr>
                <w:rFonts w:ascii="宋体" w:hAnsi="宋体" w:eastAsia="宋体"/>
                <w:sz w:val="16"/>
              </w:rPr>
              <w:t>10.00分</w:t>
            </w:r>
          </w:p>
        </w:tc>
      </w:tr>
      <w:tr w14:paraId="34915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AE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9A4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02D5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51D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9B51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455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F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F317">
            <w:pPr>
              <w:jc w:val="center"/>
            </w:pPr>
            <w:r>
              <w:rPr>
                <w:rFonts w:ascii="宋体" w:hAnsi="宋体" w:eastAsia="宋体"/>
                <w:sz w:val="16"/>
              </w:rPr>
              <w:t>—</w:t>
            </w:r>
          </w:p>
        </w:tc>
      </w:tr>
      <w:tr w14:paraId="0FE29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2C4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D6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A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1C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63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4A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F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8D48">
            <w:pPr>
              <w:jc w:val="center"/>
            </w:pPr>
            <w:r>
              <w:rPr>
                <w:rFonts w:ascii="宋体" w:hAnsi="宋体" w:eastAsia="宋体"/>
                <w:sz w:val="16"/>
              </w:rPr>
              <w:t>—</w:t>
            </w:r>
          </w:p>
        </w:tc>
      </w:tr>
      <w:tr w14:paraId="76F5EB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4BF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50A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BDFF20">
            <w:pPr>
              <w:jc w:val="center"/>
            </w:pPr>
            <w:r>
              <w:rPr>
                <w:rFonts w:ascii="宋体" w:hAnsi="宋体" w:eastAsia="宋体"/>
                <w:sz w:val="16"/>
              </w:rPr>
              <w:t>实际完成情况</w:t>
            </w:r>
          </w:p>
        </w:tc>
      </w:tr>
      <w:tr w14:paraId="12BE1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35C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0D3DE">
            <w:pPr>
              <w:jc w:val="both"/>
            </w:pPr>
            <w:r>
              <w:rPr>
                <w:rFonts w:ascii="宋体" w:hAnsi="宋体" w:eastAsia="宋体"/>
                <w:sz w:val="16"/>
              </w:rPr>
              <w:t>1.举办迎新年、庆新春、庆祝端午、欢度中秋、“三八妇女节”表彰等联谊活动购买奖品；                                                                                             2.为辖区困难家庭解决困难、购买慰问品；增进友谊、拉近距离，使群众增加幸福感、获得感；                                                                                 3.打造社区文化，布置文化墙,使居民文娱方式多样化；                                                                                                                    4.举办中华民族一家亲共筑中国梦主题党日活动等。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27298">
            <w:pPr>
              <w:jc w:val="both"/>
            </w:pPr>
            <w:r>
              <w:rPr>
                <w:rFonts w:ascii="宋体" w:hAnsi="宋体" w:eastAsia="宋体"/>
                <w:sz w:val="16"/>
              </w:rPr>
              <w:t>截至2024年12月31日，此项目</w:t>
            </w:r>
            <w:r>
              <w:rPr>
                <w:rFonts w:hint="eastAsia" w:ascii="宋体" w:hAnsi="宋体"/>
                <w:sz w:val="16"/>
                <w:lang w:eastAsia="zh-CN"/>
              </w:rPr>
              <w:t>各项</w:t>
            </w:r>
            <w:r>
              <w:rPr>
                <w:rFonts w:ascii="宋体" w:hAnsi="宋体" w:eastAsia="宋体"/>
                <w:sz w:val="16"/>
              </w:rPr>
              <w:t>活动已圆满完成，因手续欠缺，尚未完成支付。</w:t>
            </w:r>
          </w:p>
        </w:tc>
      </w:tr>
      <w:tr w14:paraId="779F0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FCD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A3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F5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03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2A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30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0C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77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E7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7C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73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4A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AEE2">
            <w:pPr>
              <w:jc w:val="center"/>
            </w:pPr>
            <w:r>
              <w:rPr>
                <w:rFonts w:ascii="宋体" w:hAnsi="宋体" w:eastAsia="宋体"/>
                <w:sz w:val="16"/>
              </w:rPr>
              <w:t>偏差原因分析及改进措施</w:t>
            </w:r>
          </w:p>
        </w:tc>
      </w:tr>
      <w:tr w14:paraId="6E1BD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11F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D23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2C7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BF35">
            <w:pPr>
              <w:jc w:val="center"/>
            </w:pPr>
            <w:r>
              <w:rPr>
                <w:rFonts w:ascii="宋体" w:hAnsi="宋体" w:eastAsia="宋体"/>
                <w:sz w:val="16"/>
              </w:rPr>
              <w:t>开展联谊活动次数(次）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65B4">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9F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D303">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0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D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E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58A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04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7F56">
            <w:pPr>
              <w:jc w:val="center"/>
            </w:pPr>
          </w:p>
        </w:tc>
      </w:tr>
      <w:tr w14:paraId="1735A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73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A5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86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2171">
            <w:pPr>
              <w:jc w:val="center"/>
            </w:pPr>
            <w:r>
              <w:rPr>
                <w:rFonts w:ascii="宋体" w:hAnsi="宋体" w:eastAsia="宋体"/>
                <w:sz w:val="16"/>
              </w:rPr>
              <w:t>补助社区数量（个）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717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D2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74C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F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A1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8B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46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88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2EA43">
            <w:pPr>
              <w:jc w:val="center"/>
            </w:pPr>
          </w:p>
        </w:tc>
      </w:tr>
      <w:tr w14:paraId="31D0DAE1">
        <w:tblPrEx>
          <w:tblCellMar>
            <w:top w:w="0" w:type="dxa"/>
            <w:left w:w="108" w:type="dxa"/>
            <w:bottom w:w="0" w:type="dxa"/>
            <w:right w:w="108" w:type="dxa"/>
          </w:tblCellMar>
        </w:tblPrEx>
        <w:trPr>
          <w:trHeight w:val="223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B6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A3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FC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B49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31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5C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A5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55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0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09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A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0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0B153">
            <w:pPr>
              <w:jc w:val="center"/>
            </w:pPr>
          </w:p>
        </w:tc>
      </w:tr>
      <w:tr w14:paraId="325E7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BA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F9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22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D24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9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9C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D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A5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76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7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A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3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7F52C">
            <w:pPr>
              <w:jc w:val="center"/>
            </w:pPr>
          </w:p>
        </w:tc>
      </w:tr>
      <w:tr w14:paraId="60F4F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21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A5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45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B53B">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587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44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FE9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97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A6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2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C874">
            <w:pPr>
              <w:jc w:val="center"/>
            </w:pPr>
            <w:r>
              <w:rPr>
                <w:rFonts w:ascii="宋体" w:hAnsi="宋体" w:eastAsia="宋体"/>
                <w:sz w:val="16"/>
              </w:rPr>
              <w:t>=0.5888万元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2A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4CC0E">
            <w:pPr>
              <w:jc w:val="center"/>
            </w:pPr>
            <w:r>
              <w:rPr>
                <w:rFonts w:ascii="宋体" w:hAnsi="宋体" w:eastAsia="宋体"/>
                <w:sz w:val="16"/>
              </w:rPr>
              <w:t>截至2024年12月31日，此项目</w:t>
            </w:r>
            <w:r>
              <w:rPr>
                <w:rFonts w:hint="eastAsia" w:ascii="宋体" w:hAnsi="宋体"/>
                <w:sz w:val="16"/>
                <w:lang w:eastAsia="zh-CN"/>
              </w:rPr>
              <w:t>各项</w:t>
            </w:r>
            <w:r>
              <w:rPr>
                <w:rFonts w:ascii="宋体" w:hAnsi="宋体" w:eastAsia="宋体"/>
                <w:sz w:val="16"/>
              </w:rPr>
              <w:t>活动已圆满完成，因手续欠缺，尚未完成支付。</w:t>
            </w:r>
          </w:p>
        </w:tc>
      </w:tr>
      <w:tr w14:paraId="1D1CA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00B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9BB2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AF8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1C9D">
            <w:pPr>
              <w:jc w:val="center"/>
            </w:pPr>
            <w:r>
              <w:rPr>
                <w:rFonts w:ascii="宋体" w:hAnsi="宋体" w:eastAsia="宋体"/>
                <w:sz w:val="16"/>
              </w:rPr>
              <w:t>保障业务能力提升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E9A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59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5D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A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B6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9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21A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2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AF1C">
            <w:pPr>
              <w:jc w:val="center"/>
            </w:pPr>
          </w:p>
        </w:tc>
      </w:tr>
      <w:tr w14:paraId="5117E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1A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D8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2E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F9A9">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31A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EE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103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92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4C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7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06F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EC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03203">
            <w:pPr>
              <w:jc w:val="center"/>
            </w:pPr>
          </w:p>
        </w:tc>
      </w:tr>
      <w:tr w14:paraId="70A33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D4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E0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E0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C19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1B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A4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17C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7F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6C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D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3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FD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92112">
            <w:pPr>
              <w:jc w:val="center"/>
            </w:pPr>
          </w:p>
        </w:tc>
      </w:tr>
      <w:tr w14:paraId="56631C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EA1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E3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872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D9A5">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6F3A63"/>
        </w:tc>
      </w:tr>
    </w:tbl>
    <w:p w14:paraId="392C5B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FE9A870">
        <w:tc>
          <w:tcPr>
            <w:tcW w:w="8848" w:type="dxa"/>
            <w:gridSpan w:val="14"/>
            <w:vAlign w:val="center"/>
          </w:tcPr>
          <w:p w14:paraId="75A0F1E3">
            <w:pPr>
              <w:jc w:val="center"/>
            </w:pPr>
            <w:r>
              <w:rPr>
                <w:rFonts w:ascii="宋体" w:hAnsi="宋体" w:eastAsia="宋体"/>
                <w:sz w:val="24"/>
              </w:rPr>
              <w:t>项目支出绩效自评表</w:t>
            </w:r>
          </w:p>
        </w:tc>
      </w:tr>
      <w:tr w14:paraId="180E7569">
        <w:tblPrEx>
          <w:tblCellMar>
            <w:top w:w="0" w:type="dxa"/>
            <w:left w:w="108" w:type="dxa"/>
            <w:bottom w:w="0" w:type="dxa"/>
            <w:right w:w="108" w:type="dxa"/>
          </w:tblCellMar>
        </w:tblPrEx>
        <w:tc>
          <w:tcPr>
            <w:tcW w:w="8848" w:type="dxa"/>
            <w:gridSpan w:val="14"/>
            <w:vAlign w:val="center"/>
          </w:tcPr>
          <w:p w14:paraId="71569998">
            <w:pPr>
              <w:jc w:val="center"/>
            </w:pPr>
            <w:r>
              <w:rPr>
                <w:rFonts w:ascii="宋体" w:hAnsi="宋体" w:eastAsia="宋体"/>
                <w:sz w:val="24"/>
              </w:rPr>
              <w:t>(2024年度)</w:t>
            </w:r>
          </w:p>
        </w:tc>
      </w:tr>
      <w:tr w14:paraId="5A353A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E5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3B485D">
            <w:pPr>
              <w:jc w:val="center"/>
            </w:pPr>
            <w:r>
              <w:rPr>
                <w:rFonts w:ascii="宋体" w:hAnsi="宋体" w:eastAsia="宋体"/>
                <w:sz w:val="16"/>
              </w:rPr>
              <w:t>2024年县级固定资产投资中介审计费</w:t>
            </w:r>
          </w:p>
        </w:tc>
      </w:tr>
      <w:tr w14:paraId="1F3067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C4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A5321">
            <w:pPr>
              <w:jc w:val="center"/>
            </w:pPr>
            <w:r>
              <w:rPr>
                <w:rFonts w:ascii="宋体" w:hAnsi="宋体" w:eastAsia="宋体"/>
                <w:sz w:val="16"/>
              </w:rPr>
              <w:t>阿克陶县审计局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A5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EBDB8">
            <w:pPr>
              <w:jc w:val="center"/>
            </w:pPr>
            <w:r>
              <w:rPr>
                <w:rFonts w:ascii="宋体" w:hAnsi="宋体" w:eastAsia="宋体"/>
                <w:sz w:val="16"/>
              </w:rPr>
              <w:t>阿克陶县审计局</w:t>
            </w:r>
          </w:p>
        </w:tc>
      </w:tr>
      <w:tr w14:paraId="33155A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2DA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82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C9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81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7D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C7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89A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C702">
            <w:pPr>
              <w:jc w:val="center"/>
            </w:pPr>
            <w:r>
              <w:rPr>
                <w:rFonts w:ascii="宋体" w:hAnsi="宋体" w:eastAsia="宋体"/>
                <w:sz w:val="16"/>
              </w:rPr>
              <w:t>得分</w:t>
            </w:r>
          </w:p>
        </w:tc>
      </w:tr>
      <w:tr w14:paraId="1F07C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322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52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F493">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0B464">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D033">
            <w:pPr>
              <w:jc w:val="center"/>
            </w:pPr>
            <w:r>
              <w:rPr>
                <w:rFonts w:ascii="宋体" w:hAnsi="宋体" w:eastAsia="宋体"/>
                <w:sz w:val="16"/>
              </w:rPr>
              <w:t>213.76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A7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B9C27">
            <w:pPr>
              <w:jc w:val="center"/>
            </w:pPr>
            <w:r>
              <w:rPr>
                <w:rFonts w:ascii="宋体" w:hAnsi="宋体" w:eastAsia="宋体"/>
                <w:sz w:val="16"/>
              </w:rPr>
              <w:t>35.6%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9579">
            <w:pPr>
              <w:jc w:val="center"/>
            </w:pPr>
            <w:r>
              <w:rPr>
                <w:rFonts w:ascii="宋体" w:hAnsi="宋体" w:eastAsia="宋体"/>
                <w:sz w:val="16"/>
              </w:rPr>
              <w:t>0.00分</w:t>
            </w:r>
          </w:p>
        </w:tc>
      </w:tr>
      <w:tr w14:paraId="775AE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56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D9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6D73D">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E030">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76A6A">
            <w:pPr>
              <w:jc w:val="center"/>
            </w:pPr>
            <w:r>
              <w:rPr>
                <w:rFonts w:ascii="宋体" w:hAnsi="宋体" w:eastAsia="宋体"/>
                <w:sz w:val="16"/>
              </w:rPr>
              <w:t>213.76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906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8F9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1B62">
            <w:pPr>
              <w:jc w:val="center"/>
            </w:pPr>
            <w:r>
              <w:rPr>
                <w:rFonts w:ascii="宋体" w:hAnsi="宋体" w:eastAsia="宋体"/>
                <w:sz w:val="16"/>
              </w:rPr>
              <w:t>—</w:t>
            </w:r>
          </w:p>
        </w:tc>
      </w:tr>
      <w:tr w14:paraId="707A5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0B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D8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994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A4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58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233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ED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3462">
            <w:pPr>
              <w:jc w:val="center"/>
            </w:pPr>
            <w:r>
              <w:rPr>
                <w:rFonts w:ascii="宋体" w:hAnsi="宋体" w:eastAsia="宋体"/>
                <w:sz w:val="16"/>
              </w:rPr>
              <w:t>—</w:t>
            </w:r>
          </w:p>
        </w:tc>
      </w:tr>
      <w:tr w14:paraId="5C329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6D2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7FB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63C907">
            <w:pPr>
              <w:jc w:val="center"/>
            </w:pPr>
            <w:r>
              <w:rPr>
                <w:rFonts w:ascii="宋体" w:hAnsi="宋体" w:eastAsia="宋体"/>
                <w:sz w:val="16"/>
              </w:rPr>
              <w:t>实际完成情况</w:t>
            </w:r>
          </w:p>
        </w:tc>
      </w:tr>
      <w:tr w14:paraId="7D0E7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EA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742D1">
            <w:pPr>
              <w:jc w:val="both"/>
            </w:pPr>
            <w:r>
              <w:rPr>
                <w:rFonts w:ascii="宋体" w:hAnsi="宋体" w:eastAsia="宋体"/>
                <w:sz w:val="16"/>
              </w:rPr>
              <w:t>该项目资金用于聘请第三方审计服务，对全县政府投资建设项目的概(预)算执行情况和决算进行审计监督</w:t>
            </w:r>
            <w:r>
              <w:rPr>
                <w:rFonts w:hint="eastAsia" w:ascii="宋体" w:hAnsi="宋体"/>
                <w:sz w:val="16"/>
                <w:lang w:eastAsia="zh-CN"/>
              </w:rPr>
              <w:t>；</w:t>
            </w:r>
            <w:r>
              <w:rPr>
                <w:rFonts w:ascii="宋体" w:hAnsi="宋体" w:eastAsia="宋体"/>
                <w:sz w:val="16"/>
              </w:rPr>
              <w:t>依法对与政府投资建设项目有关的建设、勘探、设计、施工、采购、供货等部门和单位的相关财务收支进行审计或调查</w:t>
            </w:r>
            <w:r>
              <w:rPr>
                <w:rFonts w:hint="eastAsia" w:ascii="宋体" w:hAnsi="宋体"/>
                <w:sz w:val="16"/>
                <w:lang w:eastAsia="zh-CN"/>
              </w:rPr>
              <w:t>；</w:t>
            </w:r>
            <w:r>
              <w:rPr>
                <w:rFonts w:ascii="宋体" w:hAnsi="宋体" w:eastAsia="宋体"/>
                <w:sz w:val="16"/>
              </w:rPr>
              <w:t>组织对政府投资的重点工程进行全过程跟踪审计</w:t>
            </w:r>
            <w:r>
              <w:rPr>
                <w:rFonts w:hint="eastAsia" w:ascii="宋体" w:hAnsi="宋体"/>
                <w:sz w:val="16"/>
                <w:lang w:eastAsia="zh-CN"/>
              </w:rPr>
              <w:t>；</w:t>
            </w:r>
            <w:r>
              <w:rPr>
                <w:rFonts w:ascii="宋体" w:hAnsi="宋体" w:eastAsia="宋体"/>
                <w:sz w:val="16"/>
              </w:rPr>
              <w:t>参与监督政府投资项目的招投标</w:t>
            </w:r>
            <w:r>
              <w:rPr>
                <w:rFonts w:hint="eastAsia" w:ascii="宋体" w:hAnsi="宋体"/>
                <w:sz w:val="16"/>
                <w:lang w:eastAsia="zh-CN"/>
              </w:rPr>
              <w:t>；</w:t>
            </w:r>
            <w:r>
              <w:rPr>
                <w:rFonts w:ascii="宋体" w:hAnsi="宋体" w:eastAsia="宋体"/>
                <w:sz w:val="16"/>
              </w:rPr>
              <w:t>承办县审计局交办的与政府投资项目相关的工作，通过该项目的实施，实现对全县政府投资建设项目的概(预)算执行情况和决算进行审计监督。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C86EF">
            <w:pPr>
              <w:jc w:val="both"/>
            </w:pPr>
            <w:r>
              <w:rPr>
                <w:rFonts w:ascii="宋体" w:hAnsi="宋体" w:eastAsia="宋体"/>
                <w:sz w:val="16"/>
              </w:rPr>
              <w:t>截至2024年12月31日，该项目已按时完成审计，因支付手续欠缺，部分金额尚未形成支出。</w:t>
            </w:r>
          </w:p>
        </w:tc>
      </w:tr>
      <w:tr w14:paraId="2298AE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D57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89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2D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5C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49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48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70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3D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C9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48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ED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AC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7E53">
            <w:pPr>
              <w:jc w:val="center"/>
            </w:pPr>
            <w:r>
              <w:rPr>
                <w:rFonts w:ascii="宋体" w:hAnsi="宋体" w:eastAsia="宋体"/>
                <w:sz w:val="16"/>
              </w:rPr>
              <w:t>偏差原因分析及改进措施</w:t>
            </w:r>
          </w:p>
        </w:tc>
      </w:tr>
      <w:tr w14:paraId="009CD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D80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4C8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42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4BD1">
            <w:pPr>
              <w:jc w:val="center"/>
            </w:pPr>
            <w:r>
              <w:rPr>
                <w:rFonts w:ascii="宋体" w:hAnsi="宋体" w:eastAsia="宋体"/>
                <w:sz w:val="16"/>
              </w:rPr>
              <w:t>完成审计项目数量（个）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95D3">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B6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5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65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D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D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9574">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9F2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524B">
            <w:pPr>
              <w:jc w:val="center"/>
            </w:pPr>
          </w:p>
        </w:tc>
      </w:tr>
      <w:tr w14:paraId="515CF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19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45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65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4A91">
            <w:pPr>
              <w:jc w:val="center"/>
            </w:pPr>
            <w:r>
              <w:rPr>
                <w:rFonts w:ascii="宋体" w:hAnsi="宋体" w:eastAsia="宋体"/>
                <w:sz w:val="16"/>
              </w:rPr>
              <w:t>审计报告验收质量达标率（%）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65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1C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9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63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6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B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BB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CD8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C793">
            <w:pPr>
              <w:jc w:val="center"/>
            </w:pPr>
          </w:p>
        </w:tc>
      </w:tr>
      <w:tr w14:paraId="42ADF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54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55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87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90A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EC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55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8A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1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F8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3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D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F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8CF3">
            <w:pPr>
              <w:jc w:val="center"/>
            </w:pPr>
          </w:p>
        </w:tc>
      </w:tr>
      <w:tr w14:paraId="79ED1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6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CA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B2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486E">
            <w:pPr>
              <w:jc w:val="center"/>
            </w:pPr>
            <w:r>
              <w:rPr>
                <w:rFonts w:ascii="宋体" w:hAnsi="宋体" w:eastAsia="宋体"/>
                <w:sz w:val="16"/>
              </w:rPr>
              <w:t>聘请第三方审计项目成本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E009">
            <w:pPr>
              <w:jc w:val="center"/>
            </w:pPr>
            <w:r>
              <w:rPr>
                <w:rFonts w:ascii="宋体" w:hAnsi="宋体" w:eastAsia="宋体"/>
                <w:sz w:val="16"/>
              </w:rPr>
              <w:t>&lt;=600万元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EC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23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A0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5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4B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5120">
            <w:pPr>
              <w:jc w:val="center"/>
            </w:pPr>
            <w:r>
              <w:rPr>
                <w:rFonts w:ascii="宋体" w:hAnsi="宋体" w:eastAsia="宋体"/>
                <w:sz w:val="16"/>
              </w:rPr>
              <w:t>=213.76万元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49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824FD">
            <w:pPr>
              <w:jc w:val="center"/>
            </w:pPr>
            <w:r>
              <w:rPr>
                <w:rFonts w:ascii="宋体" w:hAnsi="宋体" w:eastAsia="宋体"/>
                <w:sz w:val="16"/>
              </w:rPr>
              <w:t>1.截至2024年12月31日，该项目已按时完成审计，因支付手续欠缺，部分金额尚未形成支出：2本项目年初规划时，财政预算已将600万元县级资金列入计划，然而年中，受经济下行压力极大规模减税降费政策影响，县级财政收入大幅下滑，同时，为保障基本民生和重大基础设施等关键领域的资金需求，财政资金不得不优先保障更为紧迫的事项支出，导致我局该笔预算资金未能足额下达，项目推进缓慢，年底绩效呈现执行率不高的状态</w:t>
            </w:r>
          </w:p>
        </w:tc>
      </w:tr>
      <w:tr w14:paraId="6CF1D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B41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114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0BF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B487">
            <w:pPr>
              <w:jc w:val="center"/>
            </w:pPr>
            <w:r>
              <w:rPr>
                <w:rFonts w:ascii="宋体" w:hAnsi="宋体" w:eastAsia="宋体"/>
                <w:sz w:val="16"/>
              </w:rPr>
              <w:t>有效挽回经济损失情况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3792">
            <w:pPr>
              <w:jc w:val="center"/>
            </w:pPr>
            <w:r>
              <w:rPr>
                <w:rFonts w:ascii="宋体" w:hAnsi="宋体" w:eastAsia="宋体"/>
                <w:sz w:val="16"/>
              </w:rPr>
              <w:t>挽回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24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AE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5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7D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92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AE7E">
            <w:pPr>
              <w:jc w:val="center"/>
            </w:pPr>
            <w:r>
              <w:rPr>
                <w:rFonts w:ascii="宋体" w:hAnsi="宋体" w:eastAsia="宋体"/>
                <w:sz w:val="16"/>
              </w:rPr>
              <w:t>挽回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A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60EF3">
            <w:pPr>
              <w:jc w:val="center"/>
            </w:pPr>
          </w:p>
        </w:tc>
      </w:tr>
      <w:tr w14:paraId="755F4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38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22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D2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FEC5">
            <w:pPr>
              <w:jc w:val="center"/>
            </w:pPr>
            <w:r>
              <w:rPr>
                <w:rFonts w:ascii="宋体" w:hAnsi="宋体" w:eastAsia="宋体"/>
                <w:sz w:val="16"/>
              </w:rPr>
              <w:t>审计建议采纳率（%）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99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64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30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6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1E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C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E6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17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C8D52">
            <w:pPr>
              <w:jc w:val="center"/>
            </w:pPr>
          </w:p>
        </w:tc>
      </w:tr>
      <w:tr w14:paraId="00CE3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65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56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69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5359">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89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B4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1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4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80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B2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F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1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2F64">
            <w:pPr>
              <w:jc w:val="center"/>
            </w:pPr>
          </w:p>
        </w:tc>
      </w:tr>
      <w:tr w14:paraId="1A2E87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C18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F6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9A9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F60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D3A39"/>
        </w:tc>
      </w:tr>
    </w:tbl>
    <w:p w14:paraId="06A0D9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3BD1431">
        <w:tblPrEx>
          <w:tblCellMar>
            <w:top w:w="0" w:type="dxa"/>
            <w:left w:w="108" w:type="dxa"/>
            <w:bottom w:w="0" w:type="dxa"/>
            <w:right w:w="108" w:type="dxa"/>
          </w:tblCellMar>
        </w:tblPrEx>
        <w:tc>
          <w:tcPr>
            <w:tcW w:w="8848" w:type="dxa"/>
            <w:gridSpan w:val="14"/>
            <w:vAlign w:val="center"/>
          </w:tcPr>
          <w:p w14:paraId="6C4584B8">
            <w:pPr>
              <w:jc w:val="center"/>
            </w:pPr>
            <w:r>
              <w:rPr>
                <w:rFonts w:ascii="宋体" w:hAnsi="宋体" w:eastAsia="宋体"/>
                <w:sz w:val="24"/>
              </w:rPr>
              <w:t>项目支出绩效自评表</w:t>
            </w:r>
          </w:p>
        </w:tc>
      </w:tr>
      <w:tr w14:paraId="6E870864">
        <w:tblPrEx>
          <w:tblCellMar>
            <w:top w:w="0" w:type="dxa"/>
            <w:left w:w="108" w:type="dxa"/>
            <w:bottom w:w="0" w:type="dxa"/>
            <w:right w:w="108" w:type="dxa"/>
          </w:tblCellMar>
        </w:tblPrEx>
        <w:tc>
          <w:tcPr>
            <w:tcW w:w="8848" w:type="dxa"/>
            <w:gridSpan w:val="14"/>
            <w:vAlign w:val="center"/>
          </w:tcPr>
          <w:p w14:paraId="1D14688A">
            <w:pPr>
              <w:jc w:val="center"/>
            </w:pPr>
            <w:r>
              <w:rPr>
                <w:rFonts w:ascii="宋体" w:hAnsi="宋体" w:eastAsia="宋体"/>
                <w:sz w:val="24"/>
              </w:rPr>
              <w:t>(2024年度)</w:t>
            </w:r>
          </w:p>
        </w:tc>
      </w:tr>
      <w:tr w14:paraId="4C8759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7A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D0F1D">
            <w:pPr>
              <w:jc w:val="center"/>
            </w:pPr>
            <w:r>
              <w:rPr>
                <w:rFonts w:ascii="宋体" w:hAnsi="宋体" w:eastAsia="宋体"/>
                <w:sz w:val="16"/>
              </w:rPr>
              <w:t>2024年度乡村振兴专项审计经费</w:t>
            </w:r>
          </w:p>
        </w:tc>
      </w:tr>
      <w:tr w14:paraId="64ACB9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C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13F4B">
            <w:pPr>
              <w:jc w:val="center"/>
            </w:pPr>
            <w:r>
              <w:rPr>
                <w:rFonts w:ascii="宋体" w:hAnsi="宋体" w:eastAsia="宋体"/>
                <w:sz w:val="16"/>
              </w:rPr>
              <w:t>阿克陶县审计局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54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74C77">
            <w:pPr>
              <w:jc w:val="center"/>
            </w:pPr>
            <w:r>
              <w:rPr>
                <w:rFonts w:ascii="宋体" w:hAnsi="宋体" w:eastAsia="宋体"/>
                <w:sz w:val="16"/>
              </w:rPr>
              <w:t>阿克陶县审计局</w:t>
            </w:r>
          </w:p>
        </w:tc>
      </w:tr>
      <w:tr w14:paraId="65394F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FD5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A0C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E3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90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7DA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E0E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0C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3222">
            <w:pPr>
              <w:jc w:val="center"/>
            </w:pPr>
            <w:r>
              <w:rPr>
                <w:rFonts w:ascii="宋体" w:hAnsi="宋体" w:eastAsia="宋体"/>
                <w:sz w:val="16"/>
              </w:rPr>
              <w:t>得分</w:t>
            </w:r>
          </w:p>
        </w:tc>
      </w:tr>
      <w:tr w14:paraId="2962E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E54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60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43E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22C2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0B9E">
            <w:pPr>
              <w:jc w:val="center"/>
            </w:pPr>
            <w:r>
              <w:rPr>
                <w:rFonts w:ascii="宋体" w:hAnsi="宋体" w:eastAsia="宋体"/>
                <w:sz w:val="16"/>
              </w:rPr>
              <w:t>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FA8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7D69">
            <w:pPr>
              <w:jc w:val="center"/>
            </w:pPr>
            <w:r>
              <w:rPr>
                <w:rFonts w:ascii="宋体" w:hAnsi="宋体" w:eastAsia="宋体"/>
                <w:sz w:val="16"/>
              </w:rPr>
              <w:t>23.9%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BC0E">
            <w:pPr>
              <w:jc w:val="center"/>
            </w:pPr>
            <w:r>
              <w:rPr>
                <w:rFonts w:ascii="宋体" w:hAnsi="宋体" w:eastAsia="宋体"/>
                <w:sz w:val="16"/>
              </w:rPr>
              <w:t>0.00分</w:t>
            </w:r>
          </w:p>
        </w:tc>
      </w:tr>
      <w:tr w14:paraId="198B2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16B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DC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B5B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A86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D5F78">
            <w:pPr>
              <w:jc w:val="center"/>
            </w:pPr>
            <w:r>
              <w:rPr>
                <w:rFonts w:ascii="宋体" w:hAnsi="宋体" w:eastAsia="宋体"/>
                <w:sz w:val="16"/>
              </w:rPr>
              <w:t>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C48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87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D897">
            <w:pPr>
              <w:jc w:val="center"/>
            </w:pPr>
            <w:r>
              <w:rPr>
                <w:rFonts w:ascii="宋体" w:hAnsi="宋体" w:eastAsia="宋体"/>
                <w:sz w:val="16"/>
              </w:rPr>
              <w:t>—</w:t>
            </w:r>
          </w:p>
        </w:tc>
      </w:tr>
      <w:tr w14:paraId="255EA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C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41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9E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A6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5D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71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A4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6B51">
            <w:pPr>
              <w:jc w:val="center"/>
            </w:pPr>
            <w:r>
              <w:rPr>
                <w:rFonts w:ascii="宋体" w:hAnsi="宋体" w:eastAsia="宋体"/>
                <w:sz w:val="16"/>
              </w:rPr>
              <w:t>—</w:t>
            </w:r>
          </w:p>
        </w:tc>
      </w:tr>
      <w:tr w14:paraId="3A1B17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866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2BD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9A843">
            <w:pPr>
              <w:jc w:val="center"/>
            </w:pPr>
            <w:r>
              <w:rPr>
                <w:rFonts w:ascii="宋体" w:hAnsi="宋体" w:eastAsia="宋体"/>
                <w:sz w:val="16"/>
              </w:rPr>
              <w:t>实际完成情况</w:t>
            </w:r>
          </w:p>
        </w:tc>
      </w:tr>
      <w:tr w14:paraId="0CD60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FAF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F48ED">
            <w:pPr>
              <w:jc w:val="both"/>
            </w:pPr>
            <w:r>
              <w:rPr>
                <w:rFonts w:ascii="宋体" w:hAnsi="宋体" w:eastAsia="宋体"/>
                <w:sz w:val="16"/>
              </w:rPr>
              <w:t>该项目资金用于乡村振兴专项审计工作、办公及差旅费支出，切实贯彻落实党中央、国务院关于巩固拓展脱贫攻坚成果同乡村振兴有效衔接的决策部署和自治区党委、政府的工作要求，把增加脱贫群众收入作为主攻方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F9E45">
            <w:pPr>
              <w:jc w:val="both"/>
            </w:pPr>
            <w:r>
              <w:rPr>
                <w:rFonts w:ascii="宋体" w:hAnsi="宋体" w:eastAsia="宋体"/>
                <w:sz w:val="16"/>
              </w:rPr>
              <w:t>截至2024年12月31日，该项目已完成审计，资金主要用于审计人员差旅费，剩余资金因业务减少，出差人员出差减少，资金未形成支付。</w:t>
            </w:r>
          </w:p>
        </w:tc>
      </w:tr>
      <w:tr w14:paraId="4DF66C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03C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0C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C2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B2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CA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FA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AA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8D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1F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F8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30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EE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0E581">
            <w:pPr>
              <w:jc w:val="center"/>
            </w:pPr>
            <w:r>
              <w:rPr>
                <w:rFonts w:ascii="宋体" w:hAnsi="宋体" w:eastAsia="宋体"/>
                <w:sz w:val="16"/>
              </w:rPr>
              <w:t>偏差原因分析及改进措施</w:t>
            </w:r>
          </w:p>
        </w:tc>
      </w:tr>
      <w:tr w14:paraId="1B2F0C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4DB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B8F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78E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E81E">
            <w:pPr>
              <w:jc w:val="center"/>
            </w:pPr>
            <w:r>
              <w:rPr>
                <w:rFonts w:ascii="宋体" w:hAnsi="宋体" w:eastAsia="宋体"/>
                <w:sz w:val="16"/>
              </w:rPr>
              <w:t>审计项目数（个）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5B6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2E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900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7A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6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C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37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95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4216B">
            <w:pPr>
              <w:jc w:val="center"/>
            </w:pPr>
          </w:p>
        </w:tc>
      </w:tr>
      <w:tr w14:paraId="38310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FB3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FD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0A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4393">
            <w:pPr>
              <w:jc w:val="center"/>
            </w:pPr>
            <w:r>
              <w:rPr>
                <w:rFonts w:ascii="宋体" w:hAnsi="宋体" w:eastAsia="宋体"/>
                <w:sz w:val="16"/>
              </w:rPr>
              <w:t>提交各类审计报告和信息简报数量（篇）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7678">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D5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5C8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C8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5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49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E495">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90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00EC">
            <w:pPr>
              <w:jc w:val="center"/>
            </w:pPr>
          </w:p>
        </w:tc>
      </w:tr>
      <w:tr w14:paraId="71943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C0B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F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A2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FD51">
            <w:pPr>
              <w:jc w:val="center"/>
            </w:pPr>
            <w:r>
              <w:rPr>
                <w:rFonts w:ascii="宋体" w:hAnsi="宋体" w:eastAsia="宋体"/>
                <w:sz w:val="16"/>
              </w:rPr>
              <w:t>方案内容完成率（%）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7A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B3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9F4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FB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D1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602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FE4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B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D1C9">
            <w:pPr>
              <w:jc w:val="center"/>
            </w:pPr>
          </w:p>
        </w:tc>
      </w:tr>
      <w:tr w14:paraId="33982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2A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CB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D8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2C6C">
            <w:pPr>
              <w:jc w:val="center"/>
            </w:pPr>
            <w:r>
              <w:rPr>
                <w:rFonts w:ascii="宋体" w:hAnsi="宋体" w:eastAsia="宋体"/>
                <w:sz w:val="16"/>
              </w:rPr>
              <w:t>审计项目按时完成率（%）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20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FE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B0E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5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BC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E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90B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89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495F5">
            <w:pPr>
              <w:jc w:val="center"/>
            </w:pPr>
          </w:p>
        </w:tc>
      </w:tr>
      <w:tr w14:paraId="49671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3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58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3B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9BB9">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16DC">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06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01F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8B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4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E6C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F7B6">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3F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5BFD8">
            <w:pPr>
              <w:jc w:val="center"/>
            </w:pPr>
            <w:r>
              <w:rPr>
                <w:rFonts w:ascii="宋体" w:hAnsi="宋体" w:eastAsia="宋体"/>
                <w:sz w:val="16"/>
              </w:rPr>
              <w:t>剩余资金因业务减少，出差人员出差减少，资金未形成支付。</w:t>
            </w:r>
          </w:p>
        </w:tc>
      </w:tr>
      <w:tr w14:paraId="1EEF2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171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6F5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DDF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1CB7">
            <w:pPr>
              <w:jc w:val="center"/>
            </w:pPr>
            <w:r>
              <w:rPr>
                <w:rFonts w:ascii="宋体" w:hAnsi="宋体" w:eastAsia="宋体"/>
                <w:sz w:val="16"/>
              </w:rPr>
              <w:t>审计查处主要问题金额(亿元）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EF62">
            <w:pPr>
              <w:jc w:val="center"/>
            </w:pPr>
            <w:r>
              <w:rPr>
                <w:rFonts w:ascii="宋体" w:hAnsi="宋体" w:eastAsia="宋体"/>
                <w:sz w:val="16"/>
              </w:rPr>
              <w:t>&gt;=1亿元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1D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50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D3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BB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320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B9DA">
            <w:pPr>
              <w:jc w:val="center"/>
            </w:pPr>
            <w:r>
              <w:rPr>
                <w:rFonts w:ascii="宋体" w:hAnsi="宋体" w:eastAsia="宋体"/>
                <w:sz w:val="16"/>
              </w:rPr>
              <w:t>=1亿元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EF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6B685">
            <w:pPr>
              <w:jc w:val="center"/>
            </w:pPr>
          </w:p>
        </w:tc>
      </w:tr>
      <w:tr w14:paraId="5B5BA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A0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B2C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133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CE59">
            <w:pPr>
              <w:jc w:val="center"/>
            </w:pPr>
            <w:r>
              <w:rPr>
                <w:rFonts w:ascii="宋体" w:hAnsi="宋体" w:eastAsia="宋体"/>
                <w:sz w:val="16"/>
              </w:rPr>
              <w:t>促进被审计单位建立健全规章制度（项）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3383">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56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3C1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D6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9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5E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1950">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FD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E7E1">
            <w:pPr>
              <w:jc w:val="center"/>
            </w:pPr>
          </w:p>
        </w:tc>
      </w:tr>
      <w:tr w14:paraId="2F892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65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90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D7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98AF">
            <w:pPr>
              <w:jc w:val="center"/>
            </w:pPr>
            <w:r>
              <w:rPr>
                <w:rFonts w:ascii="宋体" w:hAnsi="宋体" w:eastAsia="宋体"/>
                <w:sz w:val="16"/>
              </w:rPr>
              <w:t>督促被审计单位制定整改措施（项）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46F2">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6C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6AB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25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61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FC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7D72">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74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A888">
            <w:pPr>
              <w:jc w:val="center"/>
            </w:pPr>
          </w:p>
        </w:tc>
      </w:tr>
      <w:tr w14:paraId="08B53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EC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3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4E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3DFC">
            <w:pPr>
              <w:jc w:val="center"/>
            </w:pPr>
            <w:r>
              <w:rPr>
                <w:rFonts w:ascii="宋体" w:hAnsi="宋体" w:eastAsia="宋体"/>
                <w:sz w:val="16"/>
              </w:rPr>
              <w:t>审计查处问题整改率（%）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C63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A3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632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79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6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93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228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D9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8F4C">
            <w:pPr>
              <w:jc w:val="center"/>
            </w:pPr>
          </w:p>
        </w:tc>
      </w:tr>
      <w:tr w14:paraId="76B10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DC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4E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7F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66AE">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D0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4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02A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F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F2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722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AC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7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6317">
            <w:pPr>
              <w:jc w:val="center"/>
            </w:pPr>
          </w:p>
        </w:tc>
      </w:tr>
      <w:tr w14:paraId="171940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17F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0E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78A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DEA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930ACB"/>
        </w:tc>
      </w:tr>
    </w:tbl>
    <w:p w14:paraId="6DE9FB30">
      <w:r>
        <w:br w:type="page"/>
      </w:r>
    </w:p>
    <w:p w14:paraId="00691E80">
      <w:pPr>
        <w:spacing w:line="640" w:lineRule="exact"/>
        <w:ind w:firstLine="640"/>
        <w:jc w:val="both"/>
        <w:outlineLvl w:val="2"/>
      </w:pPr>
      <w:r>
        <w:rPr>
          <w:rFonts w:ascii="黑体" w:hAnsi="黑体" w:eastAsia="黑体"/>
          <w:sz w:val="32"/>
        </w:rPr>
        <w:t>十二、其他需说明的事项</w:t>
      </w:r>
    </w:p>
    <w:p w14:paraId="60B70E70">
      <w:pPr>
        <w:spacing w:line="580" w:lineRule="exact"/>
        <w:ind w:firstLine="640"/>
        <w:jc w:val="both"/>
      </w:pPr>
      <w:r>
        <w:rPr>
          <w:rFonts w:ascii="仿宋_GB2312" w:hAnsi="仿宋_GB2312" w:eastAsia="仿宋_GB2312"/>
          <w:b w:val="0"/>
          <w:sz w:val="32"/>
        </w:rPr>
        <w:t>本单位无其他需说明的事项。</w:t>
      </w:r>
    </w:p>
    <w:p w14:paraId="022E12ED">
      <w:r>
        <w:br w:type="page"/>
      </w:r>
    </w:p>
    <w:p w14:paraId="1BED7EFE">
      <w:pPr>
        <w:spacing w:line="240" w:lineRule="auto"/>
        <w:jc w:val="center"/>
        <w:outlineLvl w:val="1"/>
      </w:pPr>
      <w:r>
        <w:rPr>
          <w:rFonts w:ascii="黑体" w:hAnsi="黑体" w:eastAsia="黑体"/>
          <w:sz w:val="32"/>
        </w:rPr>
        <w:t>第三部分 专业名词解释</w:t>
      </w:r>
    </w:p>
    <w:p w14:paraId="50DAD58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47619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0A57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D376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7B2AA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C2E9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20B3C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99D4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4D66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B62A3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51F8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89E0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151F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C5ADD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0A48C1">
      <w:r>
        <w:br w:type="page"/>
      </w:r>
    </w:p>
    <w:p w14:paraId="6562FD4C">
      <w:pPr>
        <w:spacing w:line="240" w:lineRule="auto"/>
        <w:jc w:val="center"/>
        <w:outlineLvl w:val="1"/>
      </w:pPr>
      <w:r>
        <w:rPr>
          <w:rFonts w:ascii="黑体" w:hAnsi="黑体" w:eastAsia="黑体"/>
          <w:sz w:val="32"/>
        </w:rPr>
        <w:t>第四部分 部门决算报表（见附表）</w:t>
      </w:r>
    </w:p>
    <w:p w14:paraId="76505441">
      <w:pPr>
        <w:spacing w:line="240" w:lineRule="auto"/>
        <w:ind w:firstLine="640"/>
        <w:jc w:val="both"/>
      </w:pPr>
      <w:r>
        <w:rPr>
          <w:rFonts w:ascii="仿宋_GB2312" w:hAnsi="仿宋_GB2312" w:eastAsia="仿宋_GB2312"/>
          <w:b w:val="0"/>
          <w:sz w:val="32"/>
        </w:rPr>
        <w:t>一、《收入支出决算总表》</w:t>
      </w:r>
    </w:p>
    <w:p w14:paraId="56C75464">
      <w:pPr>
        <w:spacing w:line="240" w:lineRule="auto"/>
        <w:ind w:firstLine="640"/>
        <w:jc w:val="both"/>
      </w:pPr>
      <w:r>
        <w:rPr>
          <w:rFonts w:ascii="仿宋_GB2312" w:hAnsi="仿宋_GB2312" w:eastAsia="仿宋_GB2312"/>
          <w:b w:val="0"/>
          <w:sz w:val="32"/>
        </w:rPr>
        <w:t>二、《收入决算表》</w:t>
      </w:r>
    </w:p>
    <w:p w14:paraId="6FEE126E">
      <w:pPr>
        <w:spacing w:line="240" w:lineRule="auto"/>
        <w:ind w:firstLine="640"/>
        <w:jc w:val="both"/>
      </w:pPr>
      <w:r>
        <w:rPr>
          <w:rFonts w:ascii="仿宋_GB2312" w:hAnsi="仿宋_GB2312" w:eastAsia="仿宋_GB2312"/>
          <w:b w:val="0"/>
          <w:sz w:val="32"/>
        </w:rPr>
        <w:t>三、《支出决算表》</w:t>
      </w:r>
    </w:p>
    <w:p w14:paraId="42F28B29">
      <w:pPr>
        <w:spacing w:line="240" w:lineRule="auto"/>
        <w:ind w:firstLine="640"/>
        <w:jc w:val="both"/>
      </w:pPr>
      <w:r>
        <w:rPr>
          <w:rFonts w:ascii="仿宋_GB2312" w:hAnsi="仿宋_GB2312" w:eastAsia="仿宋_GB2312"/>
          <w:b w:val="0"/>
          <w:sz w:val="32"/>
        </w:rPr>
        <w:t>四、《财政拨款收入支出决算总表》</w:t>
      </w:r>
    </w:p>
    <w:p w14:paraId="5DDA9C0E">
      <w:pPr>
        <w:spacing w:line="240" w:lineRule="auto"/>
        <w:ind w:firstLine="640"/>
        <w:jc w:val="both"/>
      </w:pPr>
      <w:r>
        <w:rPr>
          <w:rFonts w:ascii="仿宋_GB2312" w:hAnsi="仿宋_GB2312" w:eastAsia="仿宋_GB2312"/>
          <w:b w:val="0"/>
          <w:sz w:val="32"/>
        </w:rPr>
        <w:t>五、《一般公共预算财政拨款支出决算表》</w:t>
      </w:r>
    </w:p>
    <w:p w14:paraId="02159D7C">
      <w:pPr>
        <w:spacing w:line="240" w:lineRule="auto"/>
        <w:ind w:firstLine="640"/>
        <w:jc w:val="both"/>
      </w:pPr>
      <w:r>
        <w:rPr>
          <w:rFonts w:ascii="仿宋_GB2312" w:hAnsi="仿宋_GB2312" w:eastAsia="仿宋_GB2312"/>
          <w:b w:val="0"/>
          <w:sz w:val="32"/>
        </w:rPr>
        <w:t>六、《一般公共预算财政拨款基本支出决算表》</w:t>
      </w:r>
    </w:p>
    <w:p w14:paraId="667CB71E">
      <w:pPr>
        <w:spacing w:line="240" w:lineRule="auto"/>
        <w:ind w:firstLine="640"/>
        <w:jc w:val="both"/>
      </w:pPr>
      <w:r>
        <w:rPr>
          <w:rFonts w:ascii="仿宋_GB2312" w:hAnsi="仿宋_GB2312" w:eastAsia="仿宋_GB2312"/>
          <w:b w:val="0"/>
          <w:sz w:val="32"/>
        </w:rPr>
        <w:t>七、《政府性基金预算财政拨款收入支出决算表》</w:t>
      </w:r>
    </w:p>
    <w:p w14:paraId="1BD4EB2E">
      <w:pPr>
        <w:spacing w:line="240" w:lineRule="auto"/>
        <w:ind w:firstLine="640"/>
        <w:jc w:val="both"/>
      </w:pPr>
      <w:r>
        <w:rPr>
          <w:rFonts w:ascii="仿宋_GB2312" w:hAnsi="仿宋_GB2312" w:eastAsia="仿宋_GB2312"/>
          <w:b w:val="0"/>
          <w:sz w:val="32"/>
        </w:rPr>
        <w:t>八、《国有资本经营预算财政拨款收入支出决算表》</w:t>
      </w:r>
    </w:p>
    <w:p w14:paraId="1D760369">
      <w:pPr>
        <w:spacing w:line="240" w:lineRule="auto"/>
        <w:ind w:firstLine="640"/>
        <w:jc w:val="both"/>
      </w:pPr>
      <w:r>
        <w:rPr>
          <w:rFonts w:ascii="仿宋_GB2312" w:hAnsi="仿宋_GB2312" w:eastAsia="仿宋_GB2312"/>
          <w:b w:val="0"/>
          <w:sz w:val="32"/>
        </w:rPr>
        <w:t>九、《财政拨款“三公”经费支出决算表》</w:t>
      </w:r>
    </w:p>
    <w:p w14:paraId="2BD8438E">
      <w:pPr>
        <w:spacing w:line="240" w:lineRule="auto"/>
        <w:ind w:firstLine="640"/>
        <w:jc w:val="both"/>
      </w:pPr>
    </w:p>
    <w:p w14:paraId="1E326B33">
      <w:pPr>
        <w:spacing w:line="240" w:lineRule="auto"/>
        <w:ind w:firstLine="640"/>
        <w:jc w:val="both"/>
      </w:pPr>
    </w:p>
    <w:p w14:paraId="013F8B6D">
      <w:pPr>
        <w:spacing w:line="240" w:lineRule="auto"/>
        <w:ind w:firstLine="640"/>
        <w:jc w:val="both"/>
      </w:pPr>
    </w:p>
    <w:p w14:paraId="6FAEDE47">
      <w:pPr>
        <w:spacing w:line="240" w:lineRule="auto"/>
        <w:ind w:firstLine="640"/>
        <w:jc w:val="both"/>
      </w:pPr>
    </w:p>
    <w:p w14:paraId="2E5D6E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C839D3"/>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205F7C"/>
    <w:rsid w:val="67D111AB"/>
    <w:rsid w:val="68DB0208"/>
    <w:rsid w:val="68DF36D5"/>
    <w:rsid w:val="69846A0E"/>
    <w:rsid w:val="69AD798C"/>
    <w:rsid w:val="6B68175F"/>
    <w:rsid w:val="6B8B5C99"/>
    <w:rsid w:val="6CA7198F"/>
    <w:rsid w:val="6D8919A8"/>
    <w:rsid w:val="6E0F7A08"/>
    <w:rsid w:val="6E801ABC"/>
    <w:rsid w:val="71473612"/>
    <w:rsid w:val="718F7F65"/>
    <w:rsid w:val="7295586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6877</Words>
  <Characters>7738</Characters>
  <Lines>0</Lines>
  <Paragraphs>0</Paragraphs>
  <TotalTime>2</TotalTime>
  <ScaleCrop>false</ScaleCrop>
  <LinksUpToDate>false</LinksUpToDate>
  <CharactersWithSpaces>7746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