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17B77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阿克陶县皮拉勒乡第一中学2024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E095C4">
      <w:r>
        <w:br w:type="page"/>
      </w:r>
    </w:p>
    <w:p w14:paraId="1F79F6F3">
      <w:pPr>
        <w:spacing w:line="640" w:lineRule="exact"/>
        <w:jc w:val="center"/>
        <w:outlineLvl w:val="1"/>
      </w:pPr>
      <w:r>
        <w:rPr>
          <w:rFonts w:ascii="黑体" w:hAnsi="黑体" w:eastAsia="黑体"/>
          <w:sz w:val="32"/>
        </w:rPr>
        <w:t>第一部分 单位概况</w:t>
      </w:r>
    </w:p>
    <w:p w14:paraId="0FE3A37D">
      <w:pPr>
        <w:spacing w:line="640" w:lineRule="exact"/>
        <w:ind w:firstLine="640"/>
        <w:jc w:val="both"/>
        <w:outlineLvl w:val="2"/>
      </w:pPr>
      <w:r>
        <w:rPr>
          <w:rFonts w:ascii="黑体" w:hAnsi="黑体" w:eastAsia="黑体"/>
          <w:sz w:val="32"/>
        </w:rPr>
        <w:t>一、主要职能</w:t>
      </w:r>
    </w:p>
    <w:p w14:paraId="6943C98C">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中学生教育，在注重教学的同时紧抓德育教育。</w:t>
      </w:r>
    </w:p>
    <w:p w14:paraId="581BD8A5">
      <w:pPr>
        <w:spacing w:line="640" w:lineRule="exact"/>
        <w:ind w:firstLine="640"/>
        <w:jc w:val="both"/>
        <w:outlineLvl w:val="2"/>
      </w:pPr>
      <w:r>
        <w:rPr>
          <w:rFonts w:ascii="黑体" w:hAnsi="黑体" w:eastAsia="黑体"/>
          <w:sz w:val="32"/>
        </w:rPr>
        <w:t>二、机构设置及人员情况</w:t>
      </w:r>
    </w:p>
    <w:p w14:paraId="6E28A410">
      <w:pPr>
        <w:spacing w:line="580" w:lineRule="exact"/>
        <w:ind w:firstLine="640"/>
        <w:jc w:val="both"/>
      </w:pPr>
      <w:r>
        <w:rPr>
          <w:rFonts w:ascii="仿宋_GB2312" w:hAnsi="仿宋_GB2312" w:eastAsia="仿宋_GB2312"/>
          <w:sz w:val="32"/>
        </w:rPr>
        <w:t>阿克陶县皮拉勒乡第一中学2024年度，实有人数216人，其中：在职人员197人，减少1人；离休人员0人，增加0人；退休人员19人,增加0人。</w:t>
      </w:r>
    </w:p>
    <w:p w14:paraId="586D387F">
      <w:pPr>
        <w:spacing w:line="580" w:lineRule="exact"/>
        <w:ind w:firstLine="640"/>
        <w:jc w:val="both"/>
      </w:pPr>
      <w:r>
        <w:rPr>
          <w:rFonts w:ascii="仿宋_GB2312" w:hAnsi="仿宋_GB2312" w:eastAsia="仿宋_GB2312"/>
          <w:sz w:val="32"/>
        </w:rPr>
        <w:t>阿克陶县皮拉勒乡第一中学无下属预算单位，下设9个科室，分别是：党建办、教务处、德育办、教研室、民族团结办公室、工会、财务室、团委、安全办。</w:t>
      </w:r>
    </w:p>
    <w:p w14:paraId="28E68B73">
      <w:r>
        <w:br w:type="page"/>
      </w:r>
    </w:p>
    <w:p w14:paraId="7171C133">
      <w:pPr>
        <w:spacing w:line="240" w:lineRule="auto"/>
        <w:jc w:val="center"/>
        <w:outlineLvl w:val="1"/>
      </w:pPr>
      <w:r>
        <w:rPr>
          <w:rFonts w:ascii="黑体" w:hAnsi="黑体" w:eastAsia="黑体"/>
          <w:sz w:val="32"/>
        </w:rPr>
        <w:t>第二部分 部门决算情况说明</w:t>
      </w:r>
    </w:p>
    <w:p w14:paraId="66C2290C">
      <w:pPr>
        <w:spacing w:line="640" w:lineRule="exact"/>
        <w:ind w:firstLine="640"/>
        <w:jc w:val="both"/>
        <w:outlineLvl w:val="2"/>
      </w:pPr>
      <w:r>
        <w:rPr>
          <w:rFonts w:ascii="黑体" w:hAnsi="黑体" w:eastAsia="黑体"/>
          <w:sz w:val="32"/>
        </w:rPr>
        <w:t>一、收入支出决算总体情况说明</w:t>
      </w:r>
    </w:p>
    <w:p w14:paraId="5EE40961">
      <w:pPr>
        <w:spacing w:line="580" w:lineRule="exact"/>
        <w:ind w:firstLine="640"/>
        <w:jc w:val="both"/>
      </w:pPr>
      <w:r>
        <w:rPr>
          <w:rFonts w:ascii="仿宋_GB2312" w:hAnsi="仿宋_GB2312" w:eastAsia="仿宋_GB2312"/>
          <w:b/>
          <w:sz w:val="32"/>
        </w:rPr>
        <w:t>2024年度收入总计4,612.33万元，</w:t>
      </w:r>
      <w:r>
        <w:rPr>
          <w:rFonts w:ascii="仿宋_GB2312" w:hAnsi="仿宋_GB2312" w:eastAsia="仿宋_GB2312"/>
          <w:b w:val="0"/>
          <w:sz w:val="32"/>
        </w:rPr>
        <w:t>其中：本年收入合计4,607.33万元，使用非财政拨款结余（含专用结余）0.00万元，年初结转和结余5.00万元。</w:t>
      </w:r>
    </w:p>
    <w:p w14:paraId="5A6E6D62">
      <w:pPr>
        <w:spacing w:line="580" w:lineRule="exact"/>
        <w:ind w:firstLine="640"/>
        <w:jc w:val="both"/>
      </w:pPr>
      <w:r>
        <w:rPr>
          <w:rFonts w:ascii="仿宋_GB2312" w:hAnsi="仿宋_GB2312" w:eastAsia="仿宋_GB2312"/>
          <w:b/>
          <w:sz w:val="32"/>
        </w:rPr>
        <w:t>2024年度支出总计4,612.33万元，</w:t>
      </w:r>
      <w:r>
        <w:rPr>
          <w:rFonts w:ascii="仿宋_GB2312" w:hAnsi="仿宋_GB2312" w:eastAsia="仿宋_GB2312"/>
          <w:b w:val="0"/>
          <w:sz w:val="32"/>
        </w:rPr>
        <w:t>其中：本年支出合计4,611.50万元，结余分配0.00万元，年末结转和结余0.82万元。</w:t>
      </w:r>
    </w:p>
    <w:p w14:paraId="789D2D34">
      <w:pPr>
        <w:spacing w:line="580" w:lineRule="exact"/>
        <w:ind w:firstLine="640"/>
        <w:jc w:val="both"/>
      </w:pPr>
      <w:r>
        <w:rPr>
          <w:rFonts w:ascii="仿宋_GB2312" w:hAnsi="仿宋_GB2312" w:eastAsia="仿宋_GB2312"/>
          <w:b w:val="0"/>
          <w:sz w:val="32"/>
        </w:rPr>
        <w:t>收入支出总体与上年相比，增加58.59万元，增长1.29%，主要原因是：本年在职人员工资调增，社保、公积金基数调增，人员经费增加；本年增加县教育局拨款党建活动经费，县教育局拨款五好党支部费。</w:t>
      </w:r>
    </w:p>
    <w:p w14:paraId="628FEEA0">
      <w:pPr>
        <w:spacing w:line="640" w:lineRule="exact"/>
        <w:ind w:firstLine="640"/>
        <w:jc w:val="both"/>
        <w:outlineLvl w:val="2"/>
      </w:pPr>
      <w:r>
        <w:rPr>
          <w:rFonts w:ascii="黑体" w:hAnsi="黑体" w:eastAsia="黑体"/>
          <w:sz w:val="32"/>
        </w:rPr>
        <w:t>二、收入决算情况说明</w:t>
      </w:r>
    </w:p>
    <w:p w14:paraId="28B9F0E9">
      <w:pPr>
        <w:spacing w:line="580" w:lineRule="exact"/>
        <w:ind w:firstLine="640"/>
        <w:jc w:val="both"/>
      </w:pPr>
      <w:r>
        <w:rPr>
          <w:rFonts w:ascii="仿宋_GB2312" w:hAnsi="仿宋_GB2312" w:eastAsia="仿宋_GB2312"/>
          <w:b/>
          <w:sz w:val="32"/>
        </w:rPr>
        <w:t>本年收入4,607.33万元，</w:t>
      </w:r>
      <w:r>
        <w:rPr>
          <w:rFonts w:ascii="仿宋_GB2312" w:hAnsi="仿宋_GB2312" w:eastAsia="仿宋_GB2312"/>
          <w:b w:val="0"/>
          <w:sz w:val="32"/>
        </w:rPr>
        <w:t>其中：财政拨款收入4,607.33万元，占100.00%；上级补助收入0.00万元，占0.00%；事业收入0.00万元，占0.00%；经营收入0.00万元，占0.00%；附属单位上缴收入0.00万元，占0.00%；其他收入0.00万元，占0.00%。</w:t>
      </w:r>
    </w:p>
    <w:p w14:paraId="3119CC08">
      <w:pPr>
        <w:spacing w:line="640" w:lineRule="exact"/>
        <w:ind w:firstLine="640"/>
        <w:jc w:val="both"/>
        <w:outlineLvl w:val="2"/>
      </w:pPr>
      <w:r>
        <w:rPr>
          <w:rFonts w:ascii="黑体" w:hAnsi="黑体" w:eastAsia="黑体"/>
          <w:sz w:val="32"/>
        </w:rPr>
        <w:t>三、支出决算情况说明</w:t>
      </w:r>
    </w:p>
    <w:p w14:paraId="47FF6EAE">
      <w:pPr>
        <w:spacing w:line="580" w:lineRule="exact"/>
        <w:ind w:firstLine="640"/>
        <w:jc w:val="both"/>
      </w:pPr>
      <w:r>
        <w:rPr>
          <w:rFonts w:ascii="仿宋_GB2312" w:hAnsi="仿宋_GB2312" w:eastAsia="仿宋_GB2312"/>
          <w:b/>
          <w:sz w:val="32"/>
        </w:rPr>
        <w:t>本年支出4,611.50万元，</w:t>
      </w:r>
      <w:r>
        <w:rPr>
          <w:rFonts w:ascii="仿宋_GB2312" w:hAnsi="仿宋_GB2312" w:eastAsia="仿宋_GB2312"/>
          <w:b w:val="0"/>
          <w:sz w:val="32"/>
        </w:rPr>
        <w:t>其中：基本支出4,237.94万元，占91.90%；项目支出373.56万元，占8.10%；上缴上级支出0.00万元，占0.00%；经营支出0.00万元，占0.00%；对附属单位补助支出0.00万元，占0.00%。</w:t>
      </w:r>
    </w:p>
    <w:p w14:paraId="622D9BC1">
      <w:pPr>
        <w:spacing w:line="640" w:lineRule="exact"/>
        <w:ind w:firstLine="640"/>
        <w:jc w:val="both"/>
        <w:outlineLvl w:val="2"/>
      </w:pPr>
      <w:r>
        <w:rPr>
          <w:rFonts w:ascii="黑体" w:hAnsi="黑体" w:eastAsia="黑体"/>
          <w:sz w:val="32"/>
        </w:rPr>
        <w:t>四、财政拨款收入支出决算总体情况说明</w:t>
      </w:r>
    </w:p>
    <w:p w14:paraId="27265E1F">
      <w:pPr>
        <w:spacing w:line="580" w:lineRule="exact"/>
        <w:ind w:firstLine="640"/>
        <w:jc w:val="both"/>
      </w:pPr>
      <w:r>
        <w:rPr>
          <w:rFonts w:ascii="仿宋_GB2312" w:hAnsi="仿宋_GB2312" w:eastAsia="仿宋_GB2312"/>
          <w:b/>
          <w:sz w:val="32"/>
        </w:rPr>
        <w:t>2024年度财政拨款收入总计4,607.33万元，</w:t>
      </w:r>
      <w:r>
        <w:rPr>
          <w:rFonts w:ascii="仿宋_GB2312" w:hAnsi="仿宋_GB2312" w:eastAsia="仿宋_GB2312"/>
          <w:b w:val="0"/>
          <w:sz w:val="32"/>
        </w:rPr>
        <w:t>其中：年初财政拨款结转和结余0.00万元，本年财政拨款收入4,607.33万元。</w:t>
      </w:r>
      <w:r>
        <w:rPr>
          <w:rFonts w:ascii="仿宋_GB2312" w:hAnsi="仿宋_GB2312" w:eastAsia="仿宋_GB2312"/>
          <w:b/>
          <w:sz w:val="32"/>
        </w:rPr>
        <w:t>财政拨款支出总计4,607.33万元，</w:t>
      </w:r>
      <w:r>
        <w:rPr>
          <w:rFonts w:ascii="仿宋_GB2312" w:hAnsi="仿宋_GB2312" w:eastAsia="仿宋_GB2312"/>
          <w:b w:val="0"/>
          <w:sz w:val="32"/>
        </w:rPr>
        <w:t>其中：年末财政拨款结转和结余0.00万元，本年财政拨款支出4,607.33万元。</w:t>
      </w:r>
    </w:p>
    <w:p w14:paraId="5A65D4F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增加58.83万元，增长1.29%，主要原因是：本年在职人员工资调增，社保、公积金基数调增，人员经费增加。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年初预算数4,339.42万元，决算数4,607.33万元，预决算差异率6.17%，主要原因是：年中追加人员工资、社保、公积金基数调增部分资金，导致预决算存在差异。</w:t>
      </w:r>
    </w:p>
    <w:p w14:paraId="25967354">
      <w:pPr>
        <w:spacing w:line="640" w:lineRule="exact"/>
        <w:ind w:firstLine="640"/>
        <w:jc w:val="both"/>
        <w:outlineLvl w:val="2"/>
      </w:pPr>
      <w:r>
        <w:rPr>
          <w:rFonts w:ascii="黑体" w:hAnsi="黑体" w:eastAsia="黑体"/>
          <w:sz w:val="32"/>
        </w:rPr>
        <w:t>五、一般公共预算财政拨款支出决算情况说明</w:t>
      </w:r>
    </w:p>
    <w:p w14:paraId="6077C62F">
      <w:pPr>
        <w:spacing w:line="640" w:lineRule="exact"/>
        <w:ind w:firstLine="640"/>
        <w:jc w:val="both"/>
        <w:outlineLvl w:val="3"/>
      </w:pPr>
      <w:r>
        <w:rPr>
          <w:rFonts w:ascii="楷体_GB2312" w:hAnsi="楷体_GB2312" w:eastAsia="楷体_GB2312"/>
          <w:b/>
          <w:sz w:val="32"/>
        </w:rPr>
        <w:t>（一）一般公共预算财政拨款支出决算总体情况</w:t>
      </w:r>
    </w:p>
    <w:p w14:paraId="51038313">
      <w:pPr>
        <w:spacing w:line="580" w:lineRule="exact"/>
        <w:ind w:firstLine="640"/>
        <w:jc w:val="both"/>
      </w:pPr>
      <w:r>
        <w:rPr>
          <w:rFonts w:ascii="仿宋_GB2312" w:hAnsi="仿宋_GB2312" w:eastAsia="仿宋_GB2312"/>
          <w:b/>
          <w:sz w:val="32"/>
        </w:rPr>
        <w:t>2024年度一般公共预算财政拨款支出4,605.83万元，</w:t>
      </w:r>
      <w:r>
        <w:rPr>
          <w:rFonts w:ascii="仿宋_GB2312" w:hAnsi="仿宋_GB2312" w:eastAsia="仿宋_GB2312"/>
          <w:b w:val="0"/>
          <w:sz w:val="32"/>
        </w:rPr>
        <w:t>占本年支出合计的99.88%。</w:t>
      </w:r>
      <w:r>
        <w:rPr>
          <w:rFonts w:ascii="仿宋_GB2312" w:hAnsi="仿宋_GB2312" w:eastAsia="仿宋_GB2312"/>
          <w:b/>
          <w:sz w:val="32"/>
        </w:rPr>
        <w:t>与上年相比，</w:t>
      </w:r>
      <w:r>
        <w:rPr>
          <w:rFonts w:ascii="仿宋_GB2312" w:hAnsi="仿宋_GB2312" w:eastAsia="仿宋_GB2312"/>
          <w:b w:val="0"/>
          <w:sz w:val="32"/>
        </w:rPr>
        <w:t>增加60.33万元，增长1.33%，主要原因是：本年在职人员工资调增，社保、公积金基数调增，人员经费增加。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年初预算数4,339.42万元，决算数4,605.83万元，预决算差异率6.14%，主要原因是：年中追加人员工资、社保、公积金基数调增部分资金，导致预决算存在差异。</w:t>
      </w:r>
    </w:p>
    <w:p w14:paraId="63D0F905">
      <w:pPr>
        <w:spacing w:line="640" w:lineRule="exact"/>
        <w:ind w:firstLine="640"/>
        <w:jc w:val="both"/>
        <w:outlineLvl w:val="3"/>
      </w:pPr>
      <w:r>
        <w:rPr>
          <w:rFonts w:ascii="楷体_GB2312" w:hAnsi="楷体_GB2312" w:eastAsia="楷体_GB2312"/>
          <w:b/>
          <w:sz w:val="32"/>
        </w:rPr>
        <w:t>（二）一般公共预算财政拨款支出决算结构情况</w:t>
      </w:r>
    </w:p>
    <w:p w14:paraId="201FA660">
      <w:pPr>
        <w:spacing w:line="580" w:lineRule="exact"/>
        <w:ind w:firstLine="640"/>
        <w:jc w:val="both"/>
      </w:pPr>
      <w:r>
        <w:rPr>
          <w:rFonts w:ascii="仿宋_GB2312" w:hAnsi="仿宋_GB2312" w:eastAsia="仿宋_GB2312"/>
          <w:b w:val="0"/>
          <w:sz w:val="32"/>
        </w:rPr>
        <w:t>1.教育支出(类)4,605.83万元,占100.00%。</w:t>
      </w:r>
    </w:p>
    <w:p w14:paraId="1131FBED">
      <w:pPr>
        <w:spacing w:line="640" w:lineRule="exact"/>
        <w:ind w:firstLine="640"/>
        <w:jc w:val="both"/>
        <w:outlineLvl w:val="3"/>
      </w:pPr>
      <w:r>
        <w:rPr>
          <w:rFonts w:ascii="楷体_GB2312" w:hAnsi="楷体_GB2312" w:eastAsia="楷体_GB2312"/>
          <w:b/>
          <w:sz w:val="32"/>
        </w:rPr>
        <w:t>（三）一般公共预算财政拨款支出决算具体情况</w:t>
      </w:r>
    </w:p>
    <w:p w14:paraId="0AB40AA7">
      <w:pPr>
        <w:spacing w:line="580" w:lineRule="exact"/>
        <w:ind w:firstLine="640"/>
        <w:jc w:val="both"/>
      </w:pPr>
      <w:r>
        <w:rPr>
          <w:rFonts w:ascii="仿宋_GB2312" w:hAnsi="仿宋_GB2312" w:eastAsia="仿宋_GB2312"/>
          <w:b w:val="0"/>
          <w:sz w:val="32"/>
        </w:rPr>
        <w:t>1.教育支出(类)普通教育(款)初中教育(项):支出决算数为4,605.83万元，比上年决算增加446.97万元，增长10.75%,主要原因是：一是本年在职人员工资调增，社保、公积金基数调增，人员经费增加；二是科目调整，养老保险上年单独科目列支，本年调整至初中教育科目。</w:t>
      </w:r>
    </w:p>
    <w:p w14:paraId="19F308A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376.98万元，下降100.00%,主要原因是：科目调整，养老保险上年单独科目列支，本年调整至初中教育科目。</w:t>
      </w:r>
    </w:p>
    <w:p w14:paraId="6253340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3.社会保障和就业支出(类)行政事业单位养老支出(款)机关事业单位职业年金缴费支出(项):支出决算数为0.00万元，比上年决算减少9.66万元，下降100.00%,主要原因是：本年无</w:t>
      </w:r>
      <w:r>
        <w:rPr>
          <w:rFonts w:hint="eastAsia" w:ascii="仿宋_GB2312" w:hAnsi="仿宋_GB2312" w:eastAsia="仿宋_GB2312"/>
          <w:b w:val="0"/>
          <w:sz w:val="32"/>
          <w:lang w:val="en-US" w:eastAsia="zh-CN"/>
        </w:rPr>
        <w:t>新增</w:t>
      </w:r>
      <w:r>
        <w:rPr>
          <w:rFonts w:ascii="仿宋_GB2312" w:hAnsi="仿宋_GB2312" w:eastAsia="仿宋_GB2312"/>
          <w:b w:val="0"/>
          <w:sz w:val="32"/>
        </w:rPr>
        <w:t>退休人员，职业年金缴费较上年减少。</w:t>
      </w:r>
    </w:p>
    <w:p w14:paraId="2BB360CC">
      <w:pPr>
        <w:spacing w:line="640" w:lineRule="exact"/>
        <w:ind w:firstLine="640"/>
        <w:jc w:val="both"/>
        <w:outlineLvl w:val="2"/>
      </w:pPr>
      <w:r>
        <w:rPr>
          <w:rFonts w:ascii="黑体" w:hAnsi="黑体" w:eastAsia="黑体"/>
          <w:sz w:val="32"/>
        </w:rPr>
        <w:t>六、一般公共预算财政拨款基本支出决算情况说明</w:t>
      </w:r>
    </w:p>
    <w:p w14:paraId="7286AA07">
      <w:pPr>
        <w:spacing w:line="580" w:lineRule="exact"/>
        <w:ind w:firstLine="640"/>
        <w:jc w:val="both"/>
      </w:pPr>
      <w:r>
        <w:rPr>
          <w:rFonts w:ascii="仿宋_GB2312" w:hAnsi="仿宋_GB2312" w:eastAsia="仿宋_GB2312"/>
          <w:b w:val="0"/>
          <w:sz w:val="32"/>
        </w:rPr>
        <w:t>2024年度一般公共预算财政拨款基本支出4,237.94万元，其中：</w:t>
      </w:r>
      <w:r>
        <w:rPr>
          <w:rFonts w:ascii="仿宋_GB2312" w:hAnsi="仿宋_GB2312" w:eastAsia="仿宋_GB2312"/>
          <w:b/>
          <w:sz w:val="32"/>
        </w:rPr>
        <w:t>人员经费4,237.94万元，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5F8FEC4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23E2AA6">
      <w:pPr>
        <w:spacing w:line="640" w:lineRule="exact"/>
        <w:ind w:firstLine="640"/>
        <w:jc w:val="both"/>
        <w:outlineLvl w:val="2"/>
      </w:pPr>
      <w:r>
        <w:rPr>
          <w:rFonts w:ascii="黑体" w:hAnsi="黑体" w:eastAsia="黑体"/>
          <w:sz w:val="32"/>
        </w:rPr>
        <w:t>七、政府性基金预算财政拨款收入支出决算情况说明</w:t>
      </w:r>
    </w:p>
    <w:p w14:paraId="61656692">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13BD12B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减少1.50万元，下降50.00%，主要原因是：本年少年宫活动经费较上年减少。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年初预算数0.00万元，决算数1.50万元，预决算差异率100.00%，主要原因是：年中追加少年宫活动经费，导致预决算存在差异。</w:t>
      </w:r>
    </w:p>
    <w:p w14:paraId="558A373F">
      <w:pPr>
        <w:spacing w:line="580" w:lineRule="exact"/>
        <w:ind w:firstLine="640"/>
        <w:jc w:val="both"/>
      </w:pPr>
      <w:r>
        <w:rPr>
          <w:rFonts w:ascii="仿宋_GB2312" w:hAnsi="仿宋_GB2312" w:eastAsia="仿宋_GB2312"/>
          <w:b w:val="0"/>
          <w:sz w:val="32"/>
        </w:rPr>
        <w:t>政府性基金预算财政拨款支出1.50万元。</w:t>
      </w:r>
    </w:p>
    <w:p w14:paraId="36C808D1">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1.其他支出(类)彩票公益金安排的支出(款)用于教育事业的彩票公益金支出(项):支出决算数为1.50万元，比上年决算减少1.50万元，下降50.00%,主要原因是：本年少年宫活动经费较上年减少。</w:t>
      </w:r>
    </w:p>
    <w:p w14:paraId="156BBF40">
      <w:pPr>
        <w:spacing w:line="640" w:lineRule="exact"/>
        <w:ind w:firstLine="640"/>
        <w:jc w:val="both"/>
        <w:outlineLvl w:val="2"/>
      </w:pPr>
      <w:r>
        <w:rPr>
          <w:rFonts w:ascii="黑体" w:hAnsi="黑体" w:eastAsia="黑体"/>
          <w:sz w:val="32"/>
        </w:rPr>
        <w:t>八、国有资本经营预算财政拨款收入支出决算情况说明</w:t>
      </w:r>
    </w:p>
    <w:p w14:paraId="5F72DA8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8CB169">
      <w:pPr>
        <w:spacing w:line="640" w:lineRule="exact"/>
        <w:ind w:firstLine="640"/>
        <w:jc w:val="both"/>
        <w:outlineLvl w:val="2"/>
      </w:pPr>
      <w:r>
        <w:rPr>
          <w:rFonts w:ascii="黑体" w:hAnsi="黑体" w:eastAsia="黑体"/>
          <w:sz w:val="32"/>
        </w:rPr>
        <w:t>九、财政拨款“三公”经费支出决算情况说明</w:t>
      </w:r>
    </w:p>
    <w:p w14:paraId="2A369E0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13D0A96">
      <w:pPr>
        <w:spacing w:line="580" w:lineRule="exact"/>
        <w:ind w:firstLine="640"/>
        <w:jc w:val="both"/>
      </w:pPr>
      <w:r>
        <w:rPr>
          <w:rFonts w:ascii="仿宋_GB2312" w:hAnsi="仿宋_GB2312" w:eastAsia="仿宋_GB2312"/>
          <w:b/>
          <w:sz w:val="32"/>
        </w:rPr>
        <w:t>具体情况如下：</w:t>
      </w:r>
    </w:p>
    <w:p w14:paraId="1895F9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BB7A5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C1C104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6358A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B67E1C3">
      <w:pPr>
        <w:spacing w:line="640" w:lineRule="exact"/>
        <w:ind w:firstLine="640"/>
        <w:jc w:val="both"/>
        <w:outlineLvl w:val="2"/>
      </w:pPr>
      <w:r>
        <w:rPr>
          <w:rFonts w:ascii="黑体" w:hAnsi="黑体" w:eastAsia="黑体"/>
          <w:sz w:val="32"/>
        </w:rPr>
        <w:t>十、其他重要事项的情况说明</w:t>
      </w:r>
    </w:p>
    <w:p w14:paraId="247B7A48">
      <w:pPr>
        <w:spacing w:line="640" w:lineRule="exact"/>
        <w:ind w:firstLine="640"/>
        <w:jc w:val="both"/>
        <w:outlineLvl w:val="3"/>
      </w:pPr>
      <w:r>
        <w:rPr>
          <w:rFonts w:ascii="楷体_GB2312" w:hAnsi="楷体_GB2312" w:eastAsia="楷体_GB2312"/>
          <w:b/>
          <w:sz w:val="32"/>
        </w:rPr>
        <w:t>（一）机关运行经费及公用经费支出情况</w:t>
      </w:r>
    </w:p>
    <w:p w14:paraId="6CADD92D">
      <w:pPr>
        <w:spacing w:line="580" w:lineRule="exact"/>
        <w:ind w:firstLine="640"/>
        <w:jc w:val="both"/>
      </w:pPr>
      <w:r>
        <w:rPr>
          <w:rFonts w:ascii="仿宋_GB2312" w:hAnsi="仿宋_GB2312" w:eastAsia="仿宋_GB2312"/>
          <w:b w:val="0"/>
          <w:sz w:val="32"/>
        </w:rPr>
        <w:t>2024年度阿克陶县皮拉勒乡第一中学（事业单位）公用经费支出0.00万元，比上年增加0.00万元，增长0.00%，主要原因是：2023年与2024年均未安排公用经费支出。</w:t>
      </w:r>
    </w:p>
    <w:p w14:paraId="0DA76709">
      <w:pPr>
        <w:spacing w:line="640" w:lineRule="exact"/>
        <w:ind w:firstLine="640"/>
        <w:jc w:val="both"/>
        <w:outlineLvl w:val="3"/>
      </w:pPr>
      <w:r>
        <w:rPr>
          <w:rFonts w:ascii="楷体_GB2312" w:hAnsi="楷体_GB2312" w:eastAsia="楷体_GB2312"/>
          <w:b/>
          <w:sz w:val="32"/>
        </w:rPr>
        <w:t>（二）政府采购情况</w:t>
      </w:r>
    </w:p>
    <w:p w14:paraId="1F836136">
      <w:pPr>
        <w:spacing w:line="580" w:lineRule="exact"/>
        <w:ind w:firstLine="640"/>
        <w:jc w:val="both"/>
      </w:pPr>
      <w:r>
        <w:rPr>
          <w:rFonts w:ascii="仿宋_GB2312" w:hAnsi="仿宋_GB2312" w:eastAsia="仿宋_GB2312"/>
          <w:b w:val="0"/>
          <w:sz w:val="32"/>
        </w:rPr>
        <w:t>2024年度政府采购支出总额23.40万元，其中：政府采购货物支出16.28万元、政府采购工程支出0.00万元、政府采购服务支出7.11万元。</w:t>
      </w:r>
    </w:p>
    <w:p w14:paraId="7C304E49">
      <w:pPr>
        <w:spacing w:line="580" w:lineRule="exact"/>
        <w:ind w:firstLine="640"/>
        <w:jc w:val="both"/>
      </w:pPr>
      <w:r>
        <w:rPr>
          <w:rFonts w:ascii="仿宋_GB2312" w:hAnsi="仿宋_GB2312" w:eastAsia="仿宋_GB2312"/>
          <w:b w:val="0"/>
          <w:sz w:val="32"/>
        </w:rPr>
        <w:t>授予中小企业合同金额21.71万元，占政府采购支出总额的92.78%，其中：授予小微企业合同金额20.28万元，占政府采购支出总额的86.67%。</w:t>
      </w:r>
    </w:p>
    <w:p w14:paraId="58F7FC74">
      <w:pPr>
        <w:spacing w:line="640" w:lineRule="exact"/>
        <w:ind w:firstLine="640"/>
        <w:jc w:val="both"/>
        <w:outlineLvl w:val="3"/>
      </w:pPr>
      <w:r>
        <w:rPr>
          <w:rFonts w:ascii="楷体_GB2312" w:hAnsi="楷体_GB2312" w:eastAsia="楷体_GB2312"/>
          <w:b/>
          <w:sz w:val="32"/>
        </w:rPr>
        <w:t>（三）国有资产占用情况说明</w:t>
      </w:r>
    </w:p>
    <w:p w14:paraId="179ACAFF">
      <w:pPr>
        <w:spacing w:line="580" w:lineRule="exact"/>
        <w:ind w:firstLine="640"/>
        <w:jc w:val="both"/>
      </w:pPr>
      <w:r>
        <w:rPr>
          <w:rFonts w:ascii="仿宋_GB2312" w:hAnsi="仿宋_GB2312" w:eastAsia="仿宋_GB2312"/>
          <w:b w:val="0"/>
          <w:sz w:val="32"/>
        </w:rPr>
        <w:t>截至2024年12月31日，房屋16,228.46平方米，价值2,385.50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93A2ECF">
      <w:pPr>
        <w:spacing w:line="640" w:lineRule="exact"/>
        <w:ind w:firstLine="640"/>
        <w:jc w:val="both"/>
        <w:outlineLvl w:val="2"/>
      </w:pPr>
      <w:r>
        <w:rPr>
          <w:rFonts w:ascii="黑体" w:hAnsi="黑体" w:eastAsia="黑体"/>
          <w:sz w:val="32"/>
        </w:rPr>
        <w:t>十一、预算绩效的情况说明</w:t>
      </w:r>
    </w:p>
    <w:p w14:paraId="2713CED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4,612.33万元，实际执行总额4,611.50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7443801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2404C5E">
        <w:tblPrEx>
          <w:tblCellMar>
            <w:top w:w="0" w:type="dxa"/>
            <w:left w:w="108" w:type="dxa"/>
            <w:bottom w:w="0" w:type="dxa"/>
            <w:right w:w="108" w:type="dxa"/>
          </w:tblCellMar>
        </w:tblPrEx>
        <w:tc>
          <w:tcPr>
            <w:tcW w:w="8840" w:type="dxa"/>
            <w:gridSpan w:val="8"/>
            <w:vAlign w:val="center"/>
          </w:tcPr>
          <w:p w14:paraId="2DB2ED07">
            <w:pPr>
              <w:jc w:val="center"/>
            </w:pPr>
            <w:r>
              <w:rPr>
                <w:rFonts w:ascii="宋体" w:hAnsi="宋体" w:eastAsia="宋体"/>
                <w:sz w:val="24"/>
              </w:rPr>
              <w:t>单位整体支出绩效自评表</w:t>
            </w:r>
          </w:p>
        </w:tc>
      </w:tr>
      <w:tr w14:paraId="6E8317EE">
        <w:tblPrEx>
          <w:tblCellMar>
            <w:top w:w="0" w:type="dxa"/>
            <w:left w:w="108" w:type="dxa"/>
            <w:bottom w:w="0" w:type="dxa"/>
            <w:right w:w="108" w:type="dxa"/>
          </w:tblCellMar>
        </w:tblPrEx>
        <w:tc>
          <w:tcPr>
            <w:tcW w:w="8840" w:type="dxa"/>
            <w:gridSpan w:val="8"/>
            <w:vAlign w:val="center"/>
          </w:tcPr>
          <w:p w14:paraId="0AC47A69">
            <w:pPr>
              <w:jc w:val="center"/>
            </w:pPr>
            <w:r>
              <w:rPr>
                <w:rFonts w:ascii="宋体" w:hAnsi="宋体" w:eastAsia="宋体"/>
                <w:sz w:val="24"/>
              </w:rPr>
              <w:t>（2024年度）</w:t>
            </w:r>
          </w:p>
        </w:tc>
      </w:tr>
      <w:tr w14:paraId="30B5791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2A17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6F9BB">
            <w:pPr>
              <w:jc w:val="center"/>
            </w:pPr>
            <w:r>
              <w:rPr>
                <w:rFonts w:ascii="宋体" w:hAnsi="宋体" w:eastAsia="宋体"/>
                <w:sz w:val="16"/>
              </w:rPr>
              <w:t>阿克陶县皮拉勒乡第一中学</w:t>
            </w:r>
          </w:p>
        </w:tc>
      </w:tr>
      <w:tr w14:paraId="3E1254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A1E4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A442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D509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A6C10">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8C04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69E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5927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0E0801">
            <w:pPr>
              <w:jc w:val="center"/>
            </w:pPr>
            <w:r>
              <w:rPr>
                <w:rFonts w:ascii="宋体" w:hAnsi="宋体" w:eastAsia="宋体"/>
                <w:sz w:val="16"/>
              </w:rPr>
              <w:t>得分</w:t>
            </w:r>
          </w:p>
        </w:tc>
      </w:tr>
      <w:tr w14:paraId="333179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B2AF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6890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7A433">
            <w:pPr>
              <w:jc w:val="center"/>
            </w:pPr>
            <w:r>
              <w:rPr>
                <w:rFonts w:ascii="宋体" w:hAnsi="宋体" w:eastAsia="宋体"/>
                <w:sz w:val="16"/>
              </w:rPr>
              <w:t>4,278.11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C521D">
            <w:pPr>
              <w:jc w:val="center"/>
            </w:pPr>
            <w:r>
              <w:rPr>
                <w:rFonts w:ascii="宋体" w:hAnsi="宋体" w:eastAsia="宋体"/>
                <w:sz w:val="16"/>
              </w:rPr>
              <w:t>4,612.33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2F330">
            <w:pPr>
              <w:jc w:val="center"/>
            </w:pPr>
            <w:r>
              <w:rPr>
                <w:rFonts w:ascii="宋体" w:hAnsi="宋体" w:eastAsia="宋体"/>
                <w:sz w:val="16"/>
              </w:rPr>
              <w:t>4,611.50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54A4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5848E">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5F56E">
            <w:pPr>
              <w:jc w:val="center"/>
            </w:pPr>
            <w:r>
              <w:rPr>
                <w:rFonts w:ascii="宋体" w:hAnsi="宋体" w:eastAsia="宋体"/>
                <w:sz w:val="16"/>
              </w:rPr>
              <w:t>9.99</w:t>
            </w:r>
          </w:p>
        </w:tc>
      </w:tr>
      <w:tr w14:paraId="55A3C7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622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B6DC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3F9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3EF6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5CB4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AF6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89F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7C131">
            <w:pPr>
              <w:jc w:val="center"/>
            </w:pPr>
            <w:r>
              <w:rPr>
                <w:rFonts w:ascii="宋体" w:hAnsi="宋体" w:eastAsia="宋体"/>
                <w:sz w:val="16"/>
              </w:rPr>
              <w:t>—</w:t>
            </w:r>
          </w:p>
        </w:tc>
      </w:tr>
      <w:tr w14:paraId="6C7857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882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E9E6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95B50">
            <w:pPr>
              <w:jc w:val="center"/>
            </w:pPr>
            <w:r>
              <w:rPr>
                <w:rFonts w:ascii="宋体" w:hAnsi="宋体" w:eastAsia="宋体"/>
                <w:sz w:val="16"/>
              </w:rPr>
              <w:t>4,278.11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58F1F">
            <w:pPr>
              <w:jc w:val="center"/>
            </w:pPr>
            <w:r>
              <w:rPr>
                <w:rFonts w:ascii="宋体" w:hAnsi="宋体" w:eastAsia="宋体"/>
                <w:sz w:val="16"/>
              </w:rPr>
              <w:t>4,612.33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133C3">
            <w:pPr>
              <w:jc w:val="center"/>
            </w:pPr>
            <w:r>
              <w:rPr>
                <w:rFonts w:ascii="宋体" w:hAnsi="宋体" w:eastAsia="宋体"/>
                <w:sz w:val="16"/>
              </w:rPr>
              <w:t>4,611.50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2B2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94C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FDF1E">
            <w:pPr>
              <w:jc w:val="center"/>
            </w:pPr>
            <w:r>
              <w:rPr>
                <w:rFonts w:ascii="宋体" w:hAnsi="宋体" w:eastAsia="宋体"/>
                <w:sz w:val="16"/>
              </w:rPr>
              <w:t>—</w:t>
            </w:r>
          </w:p>
        </w:tc>
      </w:tr>
      <w:tr w14:paraId="3EF532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D418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1AAD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200F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0B9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70FE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F0A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4A76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7514C">
            <w:pPr>
              <w:jc w:val="center"/>
            </w:pPr>
            <w:r>
              <w:rPr>
                <w:rFonts w:ascii="宋体" w:hAnsi="宋体" w:eastAsia="宋体"/>
                <w:sz w:val="16"/>
              </w:rPr>
              <w:t>—</w:t>
            </w:r>
          </w:p>
        </w:tc>
      </w:tr>
      <w:tr w14:paraId="720DBE2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E635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3A000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02440E">
            <w:pPr>
              <w:jc w:val="center"/>
            </w:pPr>
            <w:r>
              <w:rPr>
                <w:rFonts w:ascii="宋体" w:hAnsi="宋体" w:eastAsia="宋体"/>
                <w:sz w:val="16"/>
              </w:rPr>
              <w:t>实际完成情况</w:t>
            </w:r>
          </w:p>
        </w:tc>
      </w:tr>
      <w:tr w14:paraId="401FD0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0960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F8DDE1">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434993">
            <w:pPr>
              <w:jc w:val="both"/>
            </w:pPr>
            <w:r>
              <w:rPr>
                <w:rFonts w:ascii="宋体" w:hAnsi="宋体" w:eastAsia="宋体"/>
                <w:sz w:val="16"/>
              </w:rPr>
              <w:t>确保了在职人员198人的津贴、补贴、社保、医保、公积金等以及离退休人员的工资、医疗费，遗属人员生活补助等人员保障性经费能够依规、按时、足额发放或缴纳，人员保障性资金支出控制数4237.94万元，适龄儿童入学率100%，学校升学率100%，提升部门人员工作积极性和服务质量；预决算信息及时公开；保障部门日常运转，为部门正常履职和开展综合性事务管理提供有效支撑。</w:t>
            </w:r>
          </w:p>
        </w:tc>
      </w:tr>
      <w:tr w14:paraId="125EB9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D05A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C8AD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4F44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BF9F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5291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5547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05F7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F934E2">
            <w:pPr>
              <w:jc w:val="center"/>
            </w:pPr>
            <w:r>
              <w:rPr>
                <w:rFonts w:ascii="宋体" w:hAnsi="宋体" w:eastAsia="宋体"/>
                <w:sz w:val="16"/>
              </w:rPr>
              <w:t>得分</w:t>
            </w:r>
          </w:p>
        </w:tc>
      </w:tr>
      <w:tr w14:paraId="014EC8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1A18D">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E04A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8F14C">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AE2AC">
            <w:pPr>
              <w:jc w:val="center"/>
            </w:pPr>
            <w:r>
              <w:rPr>
                <w:rFonts w:ascii="宋体" w:hAnsi="宋体" w:eastAsia="宋体"/>
                <w:sz w:val="16"/>
              </w:rPr>
              <w:t>&gt;=198人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9ECF6">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463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587CE">
            <w:pPr>
              <w:jc w:val="center"/>
            </w:pPr>
            <w:r>
              <w:rPr>
                <w:rFonts w:ascii="宋体" w:hAnsi="宋体" w:eastAsia="宋体"/>
                <w:sz w:val="16"/>
              </w:rPr>
              <w:t>198人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48FC0">
            <w:pPr>
              <w:jc w:val="center"/>
            </w:pPr>
            <w:r>
              <w:rPr>
                <w:rFonts w:ascii="宋体" w:hAnsi="宋体" w:eastAsia="宋体"/>
                <w:sz w:val="16"/>
              </w:rPr>
              <w:t>10</w:t>
            </w:r>
          </w:p>
        </w:tc>
      </w:tr>
      <w:tr w14:paraId="58BB60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9F6E9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2ABA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7DF2C">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2B25E">
            <w:pPr>
              <w:jc w:val="center"/>
            </w:pPr>
            <w:r>
              <w:rPr>
                <w:rFonts w:ascii="宋体" w:hAnsi="宋体" w:eastAsia="宋体"/>
                <w:sz w:val="16"/>
              </w:rPr>
              <w:t>&lt;=4226.80万元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BE6F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24E2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A5197">
            <w:pPr>
              <w:jc w:val="center"/>
            </w:pPr>
            <w:r>
              <w:rPr>
                <w:rFonts w:ascii="宋体" w:hAnsi="宋体" w:eastAsia="宋体"/>
                <w:sz w:val="16"/>
              </w:rPr>
              <w:t>4237.94万元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0A5268">
            <w:pPr>
              <w:jc w:val="center"/>
            </w:pPr>
            <w:r>
              <w:rPr>
                <w:rFonts w:ascii="宋体" w:hAnsi="宋体" w:eastAsia="宋体"/>
                <w:sz w:val="16"/>
              </w:rPr>
              <w:t>9.97</w:t>
            </w:r>
          </w:p>
        </w:tc>
      </w:tr>
      <w:tr w14:paraId="0A48E7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B63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9C4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BEC39">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20E6D">
            <w:pPr>
              <w:jc w:val="center"/>
            </w:pPr>
            <w:r>
              <w:rPr>
                <w:rFonts w:ascii="宋体" w:hAnsi="宋体" w:eastAsia="宋体"/>
                <w:sz w:val="16"/>
              </w:rPr>
              <w:t>&lt;=51.32万元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1D45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65A4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77730">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8FA9F">
            <w:pPr>
              <w:jc w:val="center"/>
            </w:pPr>
            <w:r>
              <w:rPr>
                <w:rFonts w:ascii="宋体" w:hAnsi="宋体" w:eastAsia="宋体"/>
                <w:sz w:val="16"/>
              </w:rPr>
              <w:t>0</w:t>
            </w:r>
          </w:p>
        </w:tc>
      </w:tr>
      <w:tr w14:paraId="7824A35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5436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E25C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FA7A7">
            <w:pPr>
              <w:jc w:val="center"/>
            </w:pPr>
            <w:r>
              <w:rPr>
                <w:rFonts w:ascii="宋体" w:hAnsi="宋体" w:eastAsia="宋体"/>
                <w:sz w:val="16"/>
              </w:rPr>
              <w:t>义务教育学生入学率（%）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68DE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A7162">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220C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D19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A46FC">
            <w:pPr>
              <w:jc w:val="center"/>
            </w:pPr>
            <w:r>
              <w:rPr>
                <w:rFonts w:ascii="宋体" w:hAnsi="宋体" w:eastAsia="宋体"/>
                <w:sz w:val="16"/>
              </w:rPr>
              <w:t>15</w:t>
            </w:r>
          </w:p>
        </w:tc>
      </w:tr>
      <w:tr w14:paraId="0DEDB09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49451">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40F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AEC8B">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0E6EE">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CB2E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A013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A13D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B4450">
            <w:pPr>
              <w:jc w:val="center"/>
            </w:pPr>
            <w:r>
              <w:rPr>
                <w:rFonts w:ascii="宋体" w:hAnsi="宋体" w:eastAsia="宋体"/>
                <w:sz w:val="16"/>
              </w:rPr>
              <w:t>15</w:t>
            </w:r>
          </w:p>
        </w:tc>
      </w:tr>
      <w:tr w14:paraId="265E06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1A3F4">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6A87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F39F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3B42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B8AB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D71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AA34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B48E8">
            <w:pPr>
              <w:jc w:val="center"/>
            </w:pPr>
            <w:r>
              <w:rPr>
                <w:rFonts w:ascii="宋体" w:hAnsi="宋体" w:eastAsia="宋体"/>
                <w:sz w:val="16"/>
              </w:rPr>
              <w:t>10</w:t>
            </w:r>
          </w:p>
        </w:tc>
      </w:tr>
      <w:tr w14:paraId="4FF3DB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35EB1">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9132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B2D3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26B6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EF0E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D0F3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A95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C4ADE">
            <w:pPr>
              <w:jc w:val="center"/>
            </w:pPr>
            <w:r>
              <w:rPr>
                <w:rFonts w:ascii="宋体" w:hAnsi="宋体" w:eastAsia="宋体"/>
                <w:sz w:val="16"/>
              </w:rPr>
              <w:t>10</w:t>
            </w:r>
          </w:p>
        </w:tc>
      </w:tr>
      <w:tr w14:paraId="3C7FC7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661D3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05DF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8F555">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834A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ED462">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0B2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596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499BC">
            <w:pPr>
              <w:jc w:val="center"/>
            </w:pPr>
            <w:r>
              <w:rPr>
                <w:rFonts w:ascii="宋体" w:hAnsi="宋体" w:eastAsia="宋体"/>
                <w:sz w:val="16"/>
              </w:rPr>
              <w:t>10</w:t>
            </w:r>
          </w:p>
        </w:tc>
      </w:tr>
    </w:tbl>
    <w:p w14:paraId="01C74DDF">
      <w:r>
        <w:br w:type="page"/>
      </w:r>
    </w:p>
    <w:p w14:paraId="2C64220C">
      <w:pPr>
        <w:spacing w:line="640" w:lineRule="exact"/>
        <w:ind w:firstLine="640"/>
        <w:jc w:val="both"/>
        <w:outlineLvl w:val="2"/>
      </w:pPr>
      <w:r>
        <w:rPr>
          <w:rFonts w:ascii="黑体" w:hAnsi="黑体" w:eastAsia="黑体"/>
          <w:sz w:val="32"/>
        </w:rPr>
        <w:t>十二、其他需说明的事项</w:t>
      </w:r>
    </w:p>
    <w:p w14:paraId="730DAE8D">
      <w:pPr>
        <w:spacing w:line="580" w:lineRule="exact"/>
        <w:ind w:firstLine="640"/>
        <w:jc w:val="both"/>
      </w:pPr>
      <w:r>
        <w:rPr>
          <w:rFonts w:ascii="仿宋_GB2312" w:hAnsi="仿宋_GB2312" w:eastAsia="仿宋_GB2312"/>
          <w:b w:val="0"/>
          <w:sz w:val="32"/>
        </w:rPr>
        <w:t>本单位无其他需说明的事项。</w:t>
      </w:r>
    </w:p>
    <w:p w14:paraId="11CEEE39">
      <w:r>
        <w:br w:type="page"/>
      </w:r>
    </w:p>
    <w:p w14:paraId="1D05BFEC">
      <w:pPr>
        <w:spacing w:line="240" w:lineRule="auto"/>
        <w:jc w:val="center"/>
        <w:outlineLvl w:val="1"/>
      </w:pPr>
      <w:r>
        <w:rPr>
          <w:rFonts w:ascii="黑体" w:hAnsi="黑体" w:eastAsia="黑体"/>
          <w:sz w:val="32"/>
        </w:rPr>
        <w:t>第三部分 专业名词解释</w:t>
      </w:r>
    </w:p>
    <w:p w14:paraId="6D6F823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7C06A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19A87E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59395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2F195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0851CF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85F4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D06B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3CF46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6C3FE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16D37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7463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EEB088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E7032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C53067">
      <w:r>
        <w:br w:type="page"/>
      </w:r>
    </w:p>
    <w:p w14:paraId="0545B2D8">
      <w:pPr>
        <w:spacing w:line="240" w:lineRule="auto"/>
        <w:jc w:val="center"/>
        <w:outlineLvl w:val="1"/>
      </w:pPr>
      <w:r>
        <w:rPr>
          <w:rFonts w:ascii="黑体" w:hAnsi="黑体" w:eastAsia="黑体"/>
          <w:sz w:val="32"/>
        </w:rPr>
        <w:t>第四部分 部门决算报表（见附表）</w:t>
      </w:r>
    </w:p>
    <w:p w14:paraId="3E31C20A">
      <w:pPr>
        <w:spacing w:line="240" w:lineRule="auto"/>
        <w:ind w:firstLine="640"/>
        <w:jc w:val="both"/>
      </w:pPr>
      <w:r>
        <w:rPr>
          <w:rFonts w:ascii="仿宋_GB2312" w:hAnsi="仿宋_GB2312" w:eastAsia="仿宋_GB2312"/>
          <w:b w:val="0"/>
          <w:sz w:val="32"/>
        </w:rPr>
        <w:t>一、《收入支出决算总表》</w:t>
      </w:r>
    </w:p>
    <w:p w14:paraId="05B3BB78">
      <w:pPr>
        <w:spacing w:line="240" w:lineRule="auto"/>
        <w:ind w:firstLine="640"/>
        <w:jc w:val="both"/>
      </w:pPr>
      <w:r>
        <w:rPr>
          <w:rFonts w:ascii="仿宋_GB2312" w:hAnsi="仿宋_GB2312" w:eastAsia="仿宋_GB2312"/>
          <w:b w:val="0"/>
          <w:sz w:val="32"/>
        </w:rPr>
        <w:t>二、《收入决算表》</w:t>
      </w:r>
    </w:p>
    <w:p w14:paraId="3AB33B0B">
      <w:pPr>
        <w:spacing w:line="240" w:lineRule="auto"/>
        <w:ind w:firstLine="640"/>
        <w:jc w:val="both"/>
      </w:pPr>
      <w:r>
        <w:rPr>
          <w:rFonts w:ascii="仿宋_GB2312" w:hAnsi="仿宋_GB2312" w:eastAsia="仿宋_GB2312"/>
          <w:b w:val="0"/>
          <w:sz w:val="32"/>
        </w:rPr>
        <w:t>三、《支出决算表》</w:t>
      </w:r>
    </w:p>
    <w:p w14:paraId="61AF5CD5">
      <w:pPr>
        <w:spacing w:line="240" w:lineRule="auto"/>
        <w:ind w:firstLine="640"/>
        <w:jc w:val="both"/>
      </w:pPr>
      <w:r>
        <w:rPr>
          <w:rFonts w:ascii="仿宋_GB2312" w:hAnsi="仿宋_GB2312" w:eastAsia="仿宋_GB2312"/>
          <w:b w:val="0"/>
          <w:sz w:val="32"/>
        </w:rPr>
        <w:t>四、《财政拨款收入支出决算总表》</w:t>
      </w:r>
    </w:p>
    <w:p w14:paraId="5E42CC07">
      <w:pPr>
        <w:spacing w:line="240" w:lineRule="auto"/>
        <w:ind w:firstLine="640"/>
        <w:jc w:val="both"/>
      </w:pPr>
      <w:r>
        <w:rPr>
          <w:rFonts w:ascii="仿宋_GB2312" w:hAnsi="仿宋_GB2312" w:eastAsia="仿宋_GB2312"/>
          <w:b w:val="0"/>
          <w:sz w:val="32"/>
        </w:rPr>
        <w:t>五、《一般公共预算财政拨款支出决算表》</w:t>
      </w:r>
    </w:p>
    <w:p w14:paraId="604AF485">
      <w:pPr>
        <w:spacing w:line="240" w:lineRule="auto"/>
        <w:ind w:firstLine="640"/>
        <w:jc w:val="both"/>
      </w:pPr>
      <w:r>
        <w:rPr>
          <w:rFonts w:ascii="仿宋_GB2312" w:hAnsi="仿宋_GB2312" w:eastAsia="仿宋_GB2312"/>
          <w:b w:val="0"/>
          <w:sz w:val="32"/>
        </w:rPr>
        <w:t>六、《一般公共预算财政拨款基本支出决算表》</w:t>
      </w:r>
    </w:p>
    <w:p w14:paraId="4469132B">
      <w:pPr>
        <w:spacing w:line="240" w:lineRule="auto"/>
        <w:ind w:firstLine="640"/>
        <w:jc w:val="both"/>
      </w:pPr>
      <w:r>
        <w:rPr>
          <w:rFonts w:ascii="仿宋_GB2312" w:hAnsi="仿宋_GB2312" w:eastAsia="仿宋_GB2312"/>
          <w:b w:val="0"/>
          <w:sz w:val="32"/>
        </w:rPr>
        <w:t>七、《政府性基金预算财政拨款收入支出决算表》</w:t>
      </w:r>
    </w:p>
    <w:p w14:paraId="2FBFC0D9">
      <w:pPr>
        <w:spacing w:line="240" w:lineRule="auto"/>
        <w:ind w:firstLine="640"/>
        <w:jc w:val="both"/>
      </w:pPr>
      <w:r>
        <w:rPr>
          <w:rFonts w:ascii="仿宋_GB2312" w:hAnsi="仿宋_GB2312" w:eastAsia="仿宋_GB2312"/>
          <w:b w:val="0"/>
          <w:sz w:val="32"/>
        </w:rPr>
        <w:t>八、《国有资本经营预算财政拨款收入支出决算表》</w:t>
      </w:r>
    </w:p>
    <w:p w14:paraId="24EE08ED">
      <w:pPr>
        <w:spacing w:line="240" w:lineRule="auto"/>
        <w:ind w:firstLine="640"/>
        <w:jc w:val="both"/>
      </w:pPr>
      <w:r>
        <w:rPr>
          <w:rFonts w:ascii="仿宋_GB2312" w:hAnsi="仿宋_GB2312" w:eastAsia="仿宋_GB2312"/>
          <w:b w:val="0"/>
          <w:sz w:val="32"/>
        </w:rPr>
        <w:t>九、《财政拨款“三公”经费支出决算表》</w:t>
      </w:r>
    </w:p>
    <w:p w14:paraId="3A023AD5">
      <w:pPr>
        <w:spacing w:line="240" w:lineRule="auto"/>
        <w:ind w:firstLine="640"/>
        <w:jc w:val="both"/>
      </w:pPr>
    </w:p>
    <w:p w14:paraId="018FA4AE">
      <w:pPr>
        <w:spacing w:line="240" w:lineRule="auto"/>
        <w:ind w:firstLine="640"/>
        <w:jc w:val="both"/>
      </w:pPr>
    </w:p>
    <w:p w14:paraId="30BA5AC3">
      <w:pPr>
        <w:spacing w:line="240" w:lineRule="auto"/>
        <w:ind w:firstLine="640"/>
        <w:jc w:val="both"/>
      </w:pPr>
    </w:p>
    <w:p w14:paraId="5B884AA9">
      <w:pPr>
        <w:spacing w:line="240" w:lineRule="auto"/>
        <w:ind w:firstLine="640"/>
        <w:jc w:val="both"/>
      </w:pPr>
    </w:p>
    <w:p w14:paraId="2E6EAC3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F54F44"/>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5D0415"/>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5782</Words>
  <Characters>6603</Characters>
  <Lines>0</Lines>
  <Paragraphs>0</Paragraphs>
  <TotalTime>19</TotalTime>
  <ScaleCrop>false</ScaleCrop>
  <LinksUpToDate>false</LinksUpToDate>
  <CharactersWithSpaces>6613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2025-09-15T10:50:52Z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