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阿克陶县动物卫生监督所2024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909BBE">
      <w:r>
        <w:br w:type="page"/>
      </w:r>
    </w:p>
    <w:p w14:paraId="5CC69DB1">
      <w:pPr>
        <w:spacing w:line="640" w:lineRule="exact"/>
        <w:jc w:val="center"/>
        <w:outlineLvl w:val="1"/>
      </w:pPr>
      <w:r>
        <w:rPr>
          <w:rFonts w:ascii="黑体" w:hAnsi="黑体" w:eastAsia="黑体"/>
          <w:sz w:val="32"/>
        </w:rPr>
        <w:t>第一部分 单位概况</w:t>
      </w:r>
    </w:p>
    <w:p w14:paraId="5305CBC7">
      <w:pPr>
        <w:spacing w:line="640" w:lineRule="exact"/>
        <w:ind w:firstLine="640"/>
        <w:jc w:val="both"/>
        <w:outlineLvl w:val="2"/>
      </w:pPr>
      <w:r>
        <w:rPr>
          <w:rFonts w:ascii="黑体" w:hAnsi="黑体" w:eastAsia="黑体"/>
          <w:sz w:val="32"/>
        </w:rPr>
        <w:t>一、主要职能</w:t>
      </w:r>
    </w:p>
    <w:p w14:paraId="18A6D43D">
      <w:pPr>
        <w:spacing w:line="580" w:lineRule="exact"/>
        <w:ind w:firstLine="640"/>
        <w:jc w:val="both"/>
      </w:pPr>
      <w:r>
        <w:rPr>
          <w:rFonts w:ascii="仿宋_GB2312" w:hAnsi="仿宋_GB2312" w:eastAsia="仿宋_GB2312"/>
          <w:sz w:val="32"/>
        </w:rPr>
        <w:t>依法实施动物防疫监督工作；负责动物卫生监督、疫情防控；依法承担动物和动物产品检疫、动物疫情调查及动物</w:t>
      </w:r>
      <w:bookmarkStart w:id="0" w:name="_GoBack"/>
      <w:r>
        <w:rPr>
          <w:rFonts w:ascii="仿宋_GB2312" w:hAnsi="仿宋_GB2312" w:eastAsia="仿宋_GB2312"/>
          <w:sz w:val="32"/>
        </w:rPr>
        <w:t>疫情</w:t>
      </w:r>
      <w:bookmarkEnd w:id="0"/>
      <w:r>
        <w:rPr>
          <w:rFonts w:ascii="仿宋_GB2312" w:hAnsi="仿宋_GB2312" w:eastAsia="仿宋_GB2312"/>
          <w:sz w:val="32"/>
        </w:rPr>
        <w:t>监测和报告工作；全县范围内的动物及其产品检疫，并协助监督管理畜产品安全工作；依法进行动物免疫标识工作和免疫档案建立情况进行监督检查，负责对辖区内村级防</w:t>
      </w:r>
      <w:r>
        <w:rPr>
          <w:rFonts w:hint="eastAsia" w:ascii="仿宋_GB2312" w:hAnsi="仿宋_GB2312" w:eastAsia="仿宋_GB2312"/>
          <w:sz w:val="32"/>
          <w:lang w:eastAsia="zh-CN"/>
        </w:rPr>
        <w:t>疫人</w:t>
      </w:r>
      <w:r>
        <w:rPr>
          <w:rFonts w:ascii="仿宋_GB2312" w:hAnsi="仿宋_GB2312" w:eastAsia="仿宋_GB2312"/>
          <w:sz w:val="32"/>
        </w:rPr>
        <w:t>员的管理和协助上级业务部门对执行兽医的监督、指导及考核；负责对动物卫生有关方面的法律法规的宣传；依法进行动物防疫执法，防疫证章管理，负责全县的动物防疫指导工作；负责乡站的监督、检疫、指导、检查及管理工作；承办上级业务部门及局交办的其他事项。</w:t>
      </w:r>
    </w:p>
    <w:p w14:paraId="54167FC9">
      <w:pPr>
        <w:spacing w:line="640" w:lineRule="exact"/>
        <w:ind w:firstLine="640"/>
        <w:jc w:val="both"/>
        <w:outlineLvl w:val="2"/>
      </w:pPr>
      <w:r>
        <w:rPr>
          <w:rFonts w:ascii="黑体" w:hAnsi="黑体" w:eastAsia="黑体"/>
          <w:sz w:val="32"/>
        </w:rPr>
        <w:t>二、机构设置及人员情况</w:t>
      </w:r>
    </w:p>
    <w:p w14:paraId="6A37BA56">
      <w:pPr>
        <w:spacing w:line="580" w:lineRule="exact"/>
        <w:ind w:firstLine="640"/>
        <w:jc w:val="both"/>
      </w:pPr>
      <w:r>
        <w:rPr>
          <w:rFonts w:ascii="仿宋_GB2312" w:hAnsi="仿宋_GB2312" w:eastAsia="仿宋_GB2312"/>
          <w:sz w:val="32"/>
        </w:rPr>
        <w:t>阿克陶县动物卫生监督所2024年度，实有人数20人，其中：在职人员10人，增加0人；离休人员0人，增加0人；退休人员10人,增加1人。</w:t>
      </w:r>
    </w:p>
    <w:p w14:paraId="4EF56D50">
      <w:pPr>
        <w:spacing w:line="580" w:lineRule="exact"/>
        <w:ind w:firstLine="640"/>
        <w:jc w:val="both"/>
      </w:pPr>
      <w:r>
        <w:rPr>
          <w:rFonts w:ascii="仿宋_GB2312" w:hAnsi="仿宋_GB2312" w:eastAsia="仿宋_GB2312"/>
          <w:sz w:val="32"/>
        </w:rPr>
        <w:t>阿克陶县动物卫生监督所无下属预算单位，下设3个科室，分别是：财务室、办公室、检疫监督室。</w:t>
      </w:r>
    </w:p>
    <w:p w14:paraId="22162697">
      <w:r>
        <w:br w:type="page"/>
      </w:r>
    </w:p>
    <w:p w14:paraId="50D3CCC9">
      <w:pPr>
        <w:spacing w:line="240" w:lineRule="auto"/>
        <w:jc w:val="center"/>
        <w:outlineLvl w:val="1"/>
      </w:pPr>
      <w:r>
        <w:rPr>
          <w:rFonts w:ascii="黑体" w:hAnsi="黑体" w:eastAsia="黑体"/>
          <w:sz w:val="32"/>
        </w:rPr>
        <w:t>第二部分 部门决算情况说明</w:t>
      </w:r>
    </w:p>
    <w:p w14:paraId="0AB5357A">
      <w:pPr>
        <w:spacing w:line="640" w:lineRule="exact"/>
        <w:ind w:firstLine="640"/>
        <w:jc w:val="both"/>
        <w:outlineLvl w:val="2"/>
      </w:pPr>
      <w:r>
        <w:rPr>
          <w:rFonts w:ascii="黑体" w:hAnsi="黑体" w:eastAsia="黑体"/>
          <w:sz w:val="32"/>
        </w:rPr>
        <w:t>一、收入支出决算总体情况说明</w:t>
      </w:r>
    </w:p>
    <w:p w14:paraId="6B4D7D4D">
      <w:pPr>
        <w:spacing w:line="580" w:lineRule="exact"/>
        <w:ind w:firstLine="640"/>
        <w:jc w:val="both"/>
      </w:pPr>
      <w:r>
        <w:rPr>
          <w:rFonts w:ascii="仿宋_GB2312" w:hAnsi="仿宋_GB2312" w:eastAsia="仿宋_GB2312"/>
          <w:b/>
          <w:sz w:val="32"/>
        </w:rPr>
        <w:t>2024年度收入总计294.93万元，</w:t>
      </w:r>
      <w:r>
        <w:rPr>
          <w:rFonts w:ascii="仿宋_GB2312" w:hAnsi="仿宋_GB2312" w:eastAsia="仿宋_GB2312"/>
          <w:b w:val="0"/>
          <w:sz w:val="32"/>
        </w:rPr>
        <w:t>其中：本年收入合计290.98万元，使用非财政拨款结余（含专用结余）0.00万元，年初结转和结余3.95万元。</w:t>
      </w:r>
    </w:p>
    <w:p w14:paraId="3F593B34">
      <w:pPr>
        <w:spacing w:line="580" w:lineRule="exact"/>
        <w:ind w:firstLine="640"/>
        <w:jc w:val="both"/>
      </w:pPr>
      <w:r>
        <w:rPr>
          <w:rFonts w:ascii="仿宋_GB2312" w:hAnsi="仿宋_GB2312" w:eastAsia="仿宋_GB2312"/>
          <w:b/>
          <w:sz w:val="32"/>
        </w:rPr>
        <w:t>2024年度支出总计294.93万元，</w:t>
      </w:r>
      <w:r>
        <w:rPr>
          <w:rFonts w:ascii="仿宋_GB2312" w:hAnsi="仿宋_GB2312" w:eastAsia="仿宋_GB2312"/>
          <w:b w:val="0"/>
          <w:sz w:val="32"/>
        </w:rPr>
        <w:t>其中：本年支出合计294.46万元，结余分配0.00万元，年末结转和结余0.47万元。</w:t>
      </w:r>
    </w:p>
    <w:p w14:paraId="584EB30E">
      <w:pPr>
        <w:spacing w:line="580" w:lineRule="exact"/>
        <w:ind w:firstLine="640"/>
        <w:jc w:val="both"/>
      </w:pPr>
      <w:r>
        <w:rPr>
          <w:rFonts w:ascii="仿宋_GB2312" w:hAnsi="仿宋_GB2312" w:eastAsia="仿宋_GB2312"/>
          <w:b w:val="0"/>
          <w:sz w:val="32"/>
        </w:rPr>
        <w:t>收入支出总体与上年相比，减少9.57万元，下降3.14%，主要原因是：本年在职人员减少（退休一名干部），相关人员经费较上年减少；报废处置一辆汽车，相关公用经费较上年减少。</w:t>
      </w:r>
    </w:p>
    <w:p w14:paraId="244F5D9C">
      <w:pPr>
        <w:spacing w:line="640" w:lineRule="exact"/>
        <w:ind w:firstLine="640"/>
        <w:jc w:val="both"/>
        <w:outlineLvl w:val="2"/>
      </w:pPr>
      <w:r>
        <w:rPr>
          <w:rFonts w:ascii="黑体" w:hAnsi="黑体" w:eastAsia="黑体"/>
          <w:sz w:val="32"/>
        </w:rPr>
        <w:t>二、收入决算情况说明</w:t>
      </w:r>
    </w:p>
    <w:p w14:paraId="185540BD">
      <w:pPr>
        <w:spacing w:line="580" w:lineRule="exact"/>
        <w:ind w:firstLine="640"/>
        <w:jc w:val="both"/>
      </w:pPr>
      <w:r>
        <w:rPr>
          <w:rFonts w:ascii="仿宋_GB2312" w:hAnsi="仿宋_GB2312" w:eastAsia="仿宋_GB2312"/>
          <w:b/>
          <w:sz w:val="32"/>
        </w:rPr>
        <w:t>本年收入290.98万元，</w:t>
      </w:r>
      <w:r>
        <w:rPr>
          <w:rFonts w:ascii="仿宋_GB2312" w:hAnsi="仿宋_GB2312" w:eastAsia="仿宋_GB2312"/>
          <w:b w:val="0"/>
          <w:sz w:val="32"/>
        </w:rPr>
        <w:t>其中：财政拨款收入290.98万元，占100.00%；上级补助收入0.00万元，占0.00%；事业收入0.00万元，占0.00%；经营收入0.00万元，占0.00%；附属单位上缴收入0.00万元，占0.00%；其他收入0.00万元，占0.00%。</w:t>
      </w:r>
    </w:p>
    <w:p w14:paraId="298F4D78">
      <w:pPr>
        <w:spacing w:line="640" w:lineRule="exact"/>
        <w:ind w:firstLine="640"/>
        <w:jc w:val="both"/>
        <w:outlineLvl w:val="2"/>
      </w:pPr>
      <w:r>
        <w:rPr>
          <w:rFonts w:ascii="黑体" w:hAnsi="黑体" w:eastAsia="黑体"/>
          <w:sz w:val="32"/>
        </w:rPr>
        <w:t>三、支出决算情况说明</w:t>
      </w:r>
    </w:p>
    <w:p w14:paraId="3F0E283F">
      <w:pPr>
        <w:spacing w:line="580" w:lineRule="exact"/>
        <w:ind w:firstLine="640"/>
        <w:jc w:val="both"/>
      </w:pPr>
      <w:r>
        <w:rPr>
          <w:rFonts w:ascii="仿宋_GB2312" w:hAnsi="仿宋_GB2312" w:eastAsia="仿宋_GB2312"/>
          <w:b/>
          <w:sz w:val="32"/>
        </w:rPr>
        <w:t>本年支出294.46万元，</w:t>
      </w:r>
      <w:r>
        <w:rPr>
          <w:rFonts w:ascii="仿宋_GB2312" w:hAnsi="仿宋_GB2312" w:eastAsia="仿宋_GB2312"/>
          <w:b w:val="0"/>
          <w:sz w:val="32"/>
        </w:rPr>
        <w:t>其中：基本支出249.13万元，占84.61%；项目支出45.33万元，占15.39%；上缴上级支出0.00万元，占0.00%；经营支出0.00万元，占0.00%；对附属单位补助支出0.00万元，占0.00%。</w:t>
      </w:r>
    </w:p>
    <w:p w14:paraId="65C75409">
      <w:pPr>
        <w:spacing w:line="640" w:lineRule="exact"/>
        <w:ind w:firstLine="640"/>
        <w:jc w:val="both"/>
        <w:outlineLvl w:val="2"/>
      </w:pPr>
      <w:r>
        <w:rPr>
          <w:rFonts w:ascii="黑体" w:hAnsi="黑体" w:eastAsia="黑体"/>
          <w:sz w:val="32"/>
        </w:rPr>
        <w:t>四、财政拨款收入支出决算总体情况说明</w:t>
      </w:r>
    </w:p>
    <w:p w14:paraId="5BC1D1B9">
      <w:pPr>
        <w:spacing w:line="580" w:lineRule="exact"/>
        <w:ind w:firstLine="640"/>
        <w:jc w:val="both"/>
      </w:pPr>
      <w:r>
        <w:rPr>
          <w:rFonts w:ascii="仿宋_GB2312" w:hAnsi="仿宋_GB2312" w:eastAsia="仿宋_GB2312"/>
          <w:b/>
          <w:sz w:val="32"/>
        </w:rPr>
        <w:t>2024年度财政拨款收入总计290.98万元，</w:t>
      </w:r>
      <w:r>
        <w:rPr>
          <w:rFonts w:ascii="仿宋_GB2312" w:hAnsi="仿宋_GB2312" w:eastAsia="仿宋_GB2312"/>
          <w:b w:val="0"/>
          <w:sz w:val="32"/>
        </w:rPr>
        <w:t>其中：年初财政拨款结转和结余0.00万元，本年财政拨款收入290.98万元。</w:t>
      </w:r>
      <w:r>
        <w:rPr>
          <w:rFonts w:ascii="仿宋_GB2312" w:hAnsi="仿宋_GB2312" w:eastAsia="仿宋_GB2312"/>
          <w:b/>
          <w:sz w:val="32"/>
        </w:rPr>
        <w:t>财政拨款支出总计290.98万元，</w:t>
      </w:r>
      <w:r>
        <w:rPr>
          <w:rFonts w:ascii="仿宋_GB2312" w:hAnsi="仿宋_GB2312" w:eastAsia="仿宋_GB2312"/>
          <w:b w:val="0"/>
          <w:sz w:val="32"/>
        </w:rPr>
        <w:t>其中：年末财政拨款结转和结余0.00万元，本年财政拨款支出290.98万元。</w:t>
      </w:r>
    </w:p>
    <w:p w14:paraId="7856A0B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减少6.77万元，下降2.27%，主要原因是：本年在职人员减少（退休一名干部），相关人员经费较上年减少；报废处置一辆汽车，相关公用经费较上年减少。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250.22万元，决算数290.98万元，预决算差异率16.29%，主要原因是：一是年中追加人员工资、社保、公积金基数调增部分资金，导致预决算存在差异；二是年中追加中央，自治区动物防疫补助项目，导致预决算存在差异。</w:t>
      </w:r>
    </w:p>
    <w:p w14:paraId="206EB3A4">
      <w:pPr>
        <w:spacing w:line="640" w:lineRule="exact"/>
        <w:ind w:firstLine="640"/>
        <w:jc w:val="both"/>
        <w:outlineLvl w:val="2"/>
      </w:pPr>
      <w:r>
        <w:rPr>
          <w:rFonts w:ascii="黑体" w:hAnsi="黑体" w:eastAsia="黑体"/>
          <w:sz w:val="32"/>
        </w:rPr>
        <w:t>五、一般公共预算财政拨款支出决算情况说明</w:t>
      </w:r>
    </w:p>
    <w:p w14:paraId="0DF62FDD">
      <w:pPr>
        <w:spacing w:line="640" w:lineRule="exact"/>
        <w:ind w:firstLine="640"/>
        <w:jc w:val="both"/>
        <w:outlineLvl w:val="3"/>
      </w:pPr>
      <w:r>
        <w:rPr>
          <w:rFonts w:ascii="楷体_GB2312" w:hAnsi="楷体_GB2312" w:eastAsia="楷体_GB2312"/>
          <w:b/>
          <w:sz w:val="32"/>
        </w:rPr>
        <w:t>（一）一般公共预算财政拨款支出决算总体情况</w:t>
      </w:r>
    </w:p>
    <w:p w14:paraId="346FD5B3">
      <w:pPr>
        <w:spacing w:line="580" w:lineRule="exact"/>
        <w:ind w:firstLine="640"/>
        <w:jc w:val="both"/>
      </w:pPr>
      <w:r>
        <w:rPr>
          <w:rFonts w:ascii="仿宋_GB2312" w:hAnsi="仿宋_GB2312" w:eastAsia="仿宋_GB2312"/>
          <w:b/>
          <w:sz w:val="32"/>
        </w:rPr>
        <w:t>2024年度一般公共预算财政拨款支出290.98万元，</w:t>
      </w:r>
      <w:r>
        <w:rPr>
          <w:rFonts w:ascii="仿宋_GB2312" w:hAnsi="仿宋_GB2312" w:eastAsia="仿宋_GB2312"/>
          <w:b w:val="0"/>
          <w:sz w:val="32"/>
        </w:rPr>
        <w:t>占本年支出合计的98.82%。</w:t>
      </w:r>
      <w:r>
        <w:rPr>
          <w:rFonts w:ascii="仿宋_GB2312" w:hAnsi="仿宋_GB2312" w:eastAsia="仿宋_GB2312"/>
          <w:b/>
          <w:sz w:val="32"/>
        </w:rPr>
        <w:t>与上年相比，</w:t>
      </w:r>
      <w:r>
        <w:rPr>
          <w:rFonts w:ascii="仿宋_GB2312" w:hAnsi="仿宋_GB2312" w:eastAsia="仿宋_GB2312"/>
          <w:b w:val="0"/>
          <w:sz w:val="32"/>
        </w:rPr>
        <w:t>减少6.77万元，下降2.27%，主要原因是：本年在职人员减少（退休一名干部），相关人员经费较上年减少；报废处置一辆汽车，相关公用经费较上年减少。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250.22万元，决算数290.98万元，预决算差异率16.29%，主要原因是：一是年中追加人员工资、社保、公积金基数调增部分资金，导致预决算存在差异；二是年中追加中央，自治区动物防疫补助项目，导致预决算存在差异。</w:t>
      </w:r>
    </w:p>
    <w:p w14:paraId="18A8F763">
      <w:pPr>
        <w:spacing w:line="640" w:lineRule="exact"/>
        <w:ind w:firstLine="640"/>
        <w:jc w:val="both"/>
        <w:outlineLvl w:val="3"/>
      </w:pPr>
      <w:r>
        <w:rPr>
          <w:rFonts w:ascii="楷体_GB2312" w:hAnsi="楷体_GB2312" w:eastAsia="楷体_GB2312"/>
          <w:b/>
          <w:sz w:val="32"/>
        </w:rPr>
        <w:t>（二）一般公共预算财政拨款支出决算结构情况</w:t>
      </w:r>
    </w:p>
    <w:p w14:paraId="0BBC7E25">
      <w:pPr>
        <w:spacing w:line="580" w:lineRule="exact"/>
        <w:ind w:firstLine="640"/>
        <w:jc w:val="both"/>
      </w:pPr>
      <w:r>
        <w:rPr>
          <w:rFonts w:ascii="仿宋_GB2312" w:hAnsi="仿宋_GB2312" w:eastAsia="仿宋_GB2312"/>
          <w:b w:val="0"/>
          <w:sz w:val="32"/>
        </w:rPr>
        <w:t>1.社会保障和就业支出(类)46.01万元,占15.81%。</w:t>
      </w:r>
    </w:p>
    <w:p w14:paraId="613D4F1E">
      <w:pPr>
        <w:spacing w:line="580" w:lineRule="exact"/>
        <w:ind w:firstLine="640"/>
        <w:jc w:val="both"/>
      </w:pPr>
      <w:r>
        <w:rPr>
          <w:rFonts w:ascii="仿宋_GB2312" w:hAnsi="仿宋_GB2312" w:eastAsia="仿宋_GB2312"/>
          <w:b w:val="0"/>
          <w:sz w:val="32"/>
        </w:rPr>
        <w:t>2.卫生健康支出(类)10.84万元,占3.73%。</w:t>
      </w:r>
    </w:p>
    <w:p w14:paraId="106BEB22">
      <w:pPr>
        <w:spacing w:line="580" w:lineRule="exact"/>
        <w:ind w:firstLine="640"/>
        <w:jc w:val="both"/>
      </w:pPr>
      <w:r>
        <w:rPr>
          <w:rFonts w:ascii="仿宋_GB2312" w:hAnsi="仿宋_GB2312" w:eastAsia="仿宋_GB2312"/>
          <w:b w:val="0"/>
          <w:sz w:val="32"/>
        </w:rPr>
        <w:t>3.农林水支出(类)202.80万元,占69.70%。</w:t>
      </w:r>
    </w:p>
    <w:p w14:paraId="7285045B">
      <w:pPr>
        <w:spacing w:line="580" w:lineRule="exact"/>
        <w:ind w:firstLine="640"/>
        <w:jc w:val="both"/>
      </w:pPr>
      <w:r>
        <w:rPr>
          <w:rFonts w:ascii="仿宋_GB2312" w:hAnsi="仿宋_GB2312" w:eastAsia="仿宋_GB2312"/>
          <w:b w:val="0"/>
          <w:sz w:val="32"/>
        </w:rPr>
        <w:t>4.商业服务业等支出(类)13.41万元,占4.61%。</w:t>
      </w:r>
    </w:p>
    <w:p w14:paraId="0F87F566">
      <w:pPr>
        <w:spacing w:line="580" w:lineRule="exact"/>
        <w:ind w:firstLine="640"/>
        <w:jc w:val="both"/>
      </w:pPr>
      <w:r>
        <w:rPr>
          <w:rFonts w:ascii="仿宋_GB2312" w:hAnsi="仿宋_GB2312" w:eastAsia="仿宋_GB2312"/>
          <w:b w:val="0"/>
          <w:sz w:val="32"/>
        </w:rPr>
        <w:t>5.住房保障支出(类)17.91万元,占6.16%。</w:t>
      </w:r>
    </w:p>
    <w:p w14:paraId="2DA18CBB">
      <w:pPr>
        <w:spacing w:line="640" w:lineRule="exact"/>
        <w:ind w:firstLine="640"/>
        <w:jc w:val="both"/>
        <w:outlineLvl w:val="3"/>
      </w:pPr>
      <w:r>
        <w:rPr>
          <w:rFonts w:ascii="楷体_GB2312" w:hAnsi="楷体_GB2312" w:eastAsia="楷体_GB2312"/>
          <w:b/>
          <w:sz w:val="32"/>
        </w:rPr>
        <w:t>（三）一般公共预算财政拨款支出决算具体情况</w:t>
      </w:r>
    </w:p>
    <w:p w14:paraId="486C5648">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9.92万元，比上年决算减少0.65万元，下降6.15%,主要原因是：2023年发放退休人员年度考核奖及3名退休人员调剂工资补发，本年度无此项经费支出，导致行政单位离退休经费减少。</w:t>
      </w:r>
    </w:p>
    <w:p w14:paraId="73F6FA24">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2.社会保障和就业支出(类)行政事业单位养老支出(款)事业单位离退休(项):支出决算数为2.74万元，比上年决算增加1.89万元，增长222.35%,主要原因是：本年增加退休人员基础绩效奖，退休费支出增加。</w:t>
      </w:r>
    </w:p>
    <w:p w14:paraId="73F168D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23.04万元，比上年决算增加2.48万元，增长12.06%,主要原因是：本年在职人员工资基数调增，养老缴费基数上涨，相应支出增加。</w:t>
      </w:r>
    </w:p>
    <w:p w14:paraId="35908660">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10.31万元，比上年决算减少13.80万元，下降57.24%,主要原因是：本年有新增退休人员较上年减少，职业年金缴费较上年减少。</w:t>
      </w:r>
    </w:p>
    <w:p w14:paraId="01C7287A">
      <w:pPr>
        <w:spacing w:line="580" w:lineRule="exact"/>
        <w:ind w:firstLine="640"/>
        <w:jc w:val="both"/>
      </w:pPr>
      <w:r>
        <w:rPr>
          <w:rFonts w:ascii="仿宋_GB2312" w:hAnsi="仿宋_GB2312" w:eastAsia="仿宋_GB2312"/>
          <w:b w:val="0"/>
          <w:sz w:val="32"/>
        </w:rPr>
        <w:t>5.卫生健康支出(类)行政事业单位医疗(款)行政单位医疗(项):支出决算数为10.44万元，比上年决算增加1.86万元，增长21.68%,主要原因是：本年在职人员工资基数调增，医疗缴费基数上涨，相应支出增加。</w:t>
      </w:r>
    </w:p>
    <w:p w14:paraId="2F4F261E">
      <w:pPr>
        <w:spacing w:line="580" w:lineRule="exact"/>
        <w:ind w:firstLine="640"/>
        <w:jc w:val="both"/>
      </w:pPr>
      <w:r>
        <w:rPr>
          <w:rFonts w:ascii="仿宋_GB2312" w:hAnsi="仿宋_GB2312" w:eastAsia="仿宋_GB2312"/>
          <w:b w:val="0"/>
          <w:sz w:val="32"/>
        </w:rPr>
        <w:t>6.卫生健康支出(类)行政事业单位医疗(款)事业单位医疗(项):支出决算数为0.40万元，比上年决算减少0.84万元，下降67.74%,主要原因是：本年在职人员减少（退休一名事业干部），事业单位医疗支出较上年减少。</w:t>
      </w:r>
    </w:p>
    <w:p w14:paraId="0EDA3089">
      <w:pPr>
        <w:spacing w:line="580" w:lineRule="exact"/>
        <w:ind w:firstLine="640"/>
        <w:jc w:val="both"/>
      </w:pPr>
      <w:r>
        <w:rPr>
          <w:rFonts w:ascii="仿宋_GB2312" w:hAnsi="仿宋_GB2312" w:eastAsia="仿宋_GB2312"/>
          <w:b w:val="0"/>
          <w:sz w:val="32"/>
        </w:rPr>
        <w:t>7.农林水支出(类)农业农村(款)行政运行(项):支出决算数为158.65万元，比上年决算增加5.99万元，增长3.92%,主要原因是：本年在职人员工资调增，导致相关人员经费较上年有所增加。</w:t>
      </w:r>
    </w:p>
    <w:p w14:paraId="31ECBED7">
      <w:pPr>
        <w:spacing w:line="580" w:lineRule="exact"/>
        <w:ind w:firstLine="640"/>
        <w:jc w:val="both"/>
      </w:pPr>
      <w:r>
        <w:rPr>
          <w:rFonts w:ascii="仿宋_GB2312" w:hAnsi="仿宋_GB2312" w:eastAsia="仿宋_GB2312"/>
          <w:b w:val="0"/>
          <w:sz w:val="32"/>
        </w:rPr>
        <w:t>8.农林水支出(类)农业农村(款)事业运行(项):支出决算数为12.23万元，比上年决算减少20.86万元，下降63.04%,主要原因是：本年在职人员减少（退休一名事业干部），相应人员经费较上年减少。</w:t>
      </w:r>
    </w:p>
    <w:p w14:paraId="487DC0CA">
      <w:pPr>
        <w:spacing w:line="580" w:lineRule="exact"/>
        <w:ind w:firstLine="640"/>
        <w:jc w:val="both"/>
      </w:pPr>
      <w:r>
        <w:rPr>
          <w:rFonts w:ascii="仿宋_GB2312" w:hAnsi="仿宋_GB2312" w:eastAsia="仿宋_GB2312"/>
          <w:b w:val="0"/>
          <w:sz w:val="32"/>
        </w:rPr>
        <w:t>9.农林水支出(类)农业农村(款)病虫害控制(项):支出决算数为31.92万元，比上年决算增加2.44万元，增长8.28%,主要原因是：2024年度扑杀动物数量增加，补助资金金额相应增加。</w:t>
      </w:r>
    </w:p>
    <w:p w14:paraId="583EB061">
      <w:pPr>
        <w:spacing w:line="580" w:lineRule="exact"/>
        <w:ind w:firstLine="640"/>
        <w:jc w:val="both"/>
      </w:pPr>
      <w:r>
        <w:rPr>
          <w:rFonts w:ascii="仿宋_GB2312" w:hAnsi="仿宋_GB2312" w:eastAsia="仿宋_GB2312"/>
          <w:b w:val="0"/>
          <w:sz w:val="32"/>
        </w:rPr>
        <w:t>10.商业服务业等支出(类)商业流通事务(款)其他商业流通事务支出(项):支出决算数为13.41万元，比上年决算增加13.41万元，增长100.00%,主要原因是：本年度新增2024年生猪（牛羊）调出大县奖励资金。</w:t>
      </w:r>
    </w:p>
    <w:p w14:paraId="0028C490">
      <w:pPr>
        <w:spacing w:line="580" w:lineRule="exact"/>
        <w:ind w:firstLine="640"/>
        <w:jc w:val="both"/>
      </w:pPr>
      <w:r>
        <w:rPr>
          <w:rFonts w:ascii="仿宋_GB2312" w:hAnsi="仿宋_GB2312" w:eastAsia="仿宋_GB2312"/>
          <w:b w:val="0"/>
          <w:sz w:val="32"/>
        </w:rPr>
        <w:t>11.住房保障支出(类)住房改革支出(款)住房公积金(项):支出决算数为17.91万元，比上年决算增加1.33万元，增长8.02%,主要原因是：本年在职人员工资基数调增，公积金缴费基数上涨，相应支出增加。</w:t>
      </w:r>
    </w:p>
    <w:p w14:paraId="3A1D922E">
      <w:pPr>
        <w:spacing w:line="640" w:lineRule="exact"/>
        <w:ind w:firstLine="640"/>
        <w:jc w:val="both"/>
        <w:outlineLvl w:val="2"/>
      </w:pPr>
      <w:r>
        <w:rPr>
          <w:rFonts w:ascii="黑体" w:hAnsi="黑体" w:eastAsia="黑体"/>
          <w:sz w:val="32"/>
        </w:rPr>
        <w:t>六、一般公共预算财政拨款基本支出决算情况说明</w:t>
      </w:r>
    </w:p>
    <w:p w14:paraId="7F219F8D">
      <w:pPr>
        <w:spacing w:line="580" w:lineRule="exact"/>
        <w:ind w:firstLine="640"/>
        <w:jc w:val="both"/>
      </w:pPr>
      <w:r>
        <w:rPr>
          <w:rFonts w:ascii="仿宋_GB2312" w:hAnsi="仿宋_GB2312" w:eastAsia="仿宋_GB2312"/>
          <w:b w:val="0"/>
          <w:sz w:val="32"/>
        </w:rPr>
        <w:t>2024年度一般公共预算财政拨款基本支出245.65万元，其中：</w:t>
      </w:r>
      <w:r>
        <w:rPr>
          <w:rFonts w:ascii="仿宋_GB2312" w:hAnsi="仿宋_GB2312" w:eastAsia="仿宋_GB2312"/>
          <w:b/>
          <w:sz w:val="32"/>
        </w:rPr>
        <w:t>人员经费240.57万元，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6BF4C5FF">
      <w:pPr>
        <w:spacing w:line="580" w:lineRule="exact"/>
        <w:ind w:firstLine="640"/>
        <w:jc w:val="both"/>
      </w:pPr>
      <w:r>
        <w:rPr>
          <w:rFonts w:ascii="仿宋_GB2312" w:hAnsi="仿宋_GB2312" w:eastAsia="仿宋_GB2312"/>
          <w:b/>
          <w:sz w:val="32"/>
        </w:rPr>
        <w:t>公用经费5.08万元，</w:t>
      </w:r>
      <w:r>
        <w:rPr>
          <w:rFonts w:ascii="仿宋_GB2312" w:hAnsi="仿宋_GB2312" w:eastAsia="仿宋_GB2312"/>
          <w:b w:val="0"/>
          <w:sz w:val="32"/>
        </w:rPr>
        <w:t>包括：办公费、差旅费、维修（护）费、专用材料费、公务用车运行维护费。</w:t>
      </w:r>
    </w:p>
    <w:p w14:paraId="1CCA55A8">
      <w:pPr>
        <w:spacing w:line="640" w:lineRule="exact"/>
        <w:ind w:firstLine="640"/>
        <w:jc w:val="both"/>
        <w:outlineLvl w:val="2"/>
      </w:pPr>
      <w:r>
        <w:rPr>
          <w:rFonts w:ascii="黑体" w:hAnsi="黑体" w:eastAsia="黑体"/>
          <w:sz w:val="32"/>
        </w:rPr>
        <w:t>七、政府性基金预算财政拨款收入支出决算情况说明</w:t>
      </w:r>
    </w:p>
    <w:p w14:paraId="109B8B7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4133CF">
      <w:pPr>
        <w:spacing w:line="640" w:lineRule="exact"/>
        <w:ind w:firstLine="640"/>
        <w:jc w:val="both"/>
        <w:outlineLvl w:val="2"/>
      </w:pPr>
      <w:r>
        <w:rPr>
          <w:rFonts w:ascii="黑体" w:hAnsi="黑体" w:eastAsia="黑体"/>
          <w:sz w:val="32"/>
        </w:rPr>
        <w:t>八、国有资本经营预算财政拨款收入支出决算情况说明</w:t>
      </w:r>
    </w:p>
    <w:p w14:paraId="2337ED4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C6CBF5">
      <w:pPr>
        <w:spacing w:line="640" w:lineRule="exact"/>
        <w:ind w:firstLine="640"/>
        <w:jc w:val="both"/>
        <w:outlineLvl w:val="2"/>
      </w:pPr>
      <w:r>
        <w:rPr>
          <w:rFonts w:ascii="黑体" w:hAnsi="黑体" w:eastAsia="黑体"/>
          <w:sz w:val="32"/>
        </w:rPr>
        <w:t>九、财政拨款“三公”经费支出决算情况说明</w:t>
      </w:r>
    </w:p>
    <w:p w14:paraId="555E3F89">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增加0.27万元，增长12.68%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2.40万元，占100.00%，比上年增加0.27万元，增长12.68%，主要原因是：本单位公务用车日渐老化，维修维护成本增加，导致公务用车运行维护费较上年增加。本年支付以前年度公务用车维修费。公务接待费支出0.00万元，占0.00%，比上年增加0.00万元，增长0.00%，主要原因是：2023年与2024年均未安排公务接待费支出。</w:t>
      </w:r>
    </w:p>
    <w:p w14:paraId="435960B9">
      <w:pPr>
        <w:spacing w:line="580" w:lineRule="exact"/>
        <w:ind w:firstLine="640"/>
        <w:jc w:val="both"/>
      </w:pPr>
      <w:r>
        <w:rPr>
          <w:rFonts w:ascii="仿宋_GB2312" w:hAnsi="仿宋_GB2312" w:eastAsia="仿宋_GB2312"/>
          <w:b/>
          <w:sz w:val="32"/>
        </w:rPr>
        <w:t>具体情况如下：</w:t>
      </w:r>
    </w:p>
    <w:p w14:paraId="74C8A3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E451DC6">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9F0EC7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90ADC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14:paraId="3C5EF042">
      <w:pPr>
        <w:spacing w:line="640" w:lineRule="exact"/>
        <w:ind w:firstLine="640"/>
        <w:jc w:val="both"/>
        <w:outlineLvl w:val="2"/>
      </w:pPr>
      <w:r>
        <w:rPr>
          <w:rFonts w:ascii="黑体" w:hAnsi="黑体" w:eastAsia="黑体"/>
          <w:sz w:val="32"/>
        </w:rPr>
        <w:t>十、其他重要事项的情况说明</w:t>
      </w:r>
    </w:p>
    <w:p w14:paraId="1204E454">
      <w:pPr>
        <w:spacing w:line="640" w:lineRule="exact"/>
        <w:ind w:firstLine="640"/>
        <w:jc w:val="both"/>
        <w:outlineLvl w:val="3"/>
      </w:pPr>
      <w:r>
        <w:rPr>
          <w:rFonts w:ascii="楷体_GB2312" w:hAnsi="楷体_GB2312" w:eastAsia="楷体_GB2312"/>
          <w:b/>
          <w:sz w:val="32"/>
        </w:rPr>
        <w:t>（一）机关运行经费及公用经费支出情况</w:t>
      </w:r>
    </w:p>
    <w:p w14:paraId="2B4E6146">
      <w:pPr>
        <w:spacing w:line="580" w:lineRule="exact"/>
        <w:ind w:firstLine="640"/>
        <w:jc w:val="both"/>
      </w:pPr>
      <w:r>
        <w:rPr>
          <w:rFonts w:ascii="仿宋_GB2312" w:hAnsi="仿宋_GB2312" w:eastAsia="仿宋_GB2312"/>
          <w:b w:val="0"/>
          <w:sz w:val="32"/>
        </w:rPr>
        <w:t>2024年度阿克陶县动物卫生监督所（行政单位和参照公务员法管理事业单位）机关运行经费支出5.08万元，比上年增加1.85万元，增长57.28%，主要原因是：本年更新、维护补充办公用品，导致机关运行经费较上年增加。</w:t>
      </w:r>
    </w:p>
    <w:p w14:paraId="26A1F9E0">
      <w:pPr>
        <w:spacing w:line="640" w:lineRule="exact"/>
        <w:ind w:firstLine="640"/>
        <w:jc w:val="both"/>
        <w:outlineLvl w:val="3"/>
      </w:pPr>
      <w:r>
        <w:rPr>
          <w:rFonts w:ascii="楷体_GB2312" w:hAnsi="楷体_GB2312" w:eastAsia="楷体_GB2312"/>
          <w:b/>
          <w:sz w:val="32"/>
        </w:rPr>
        <w:t>（二）政府采购情况</w:t>
      </w:r>
    </w:p>
    <w:p w14:paraId="53524AE9">
      <w:pPr>
        <w:spacing w:line="580" w:lineRule="exact"/>
        <w:ind w:firstLine="640"/>
        <w:jc w:val="both"/>
      </w:pPr>
      <w:r>
        <w:rPr>
          <w:rFonts w:ascii="仿宋_GB2312" w:hAnsi="仿宋_GB2312" w:eastAsia="仿宋_GB2312"/>
          <w:b w:val="0"/>
          <w:sz w:val="32"/>
        </w:rPr>
        <w:t>2024年度政府采购支出总额2.87万元，其中：政府采购货物支出0.45万元、政府采购工程支出0.00万元、政府采购服务支出2.42万元。</w:t>
      </w:r>
    </w:p>
    <w:p w14:paraId="68A26A85">
      <w:pPr>
        <w:spacing w:line="580" w:lineRule="exact"/>
        <w:ind w:firstLine="640"/>
        <w:jc w:val="both"/>
      </w:pPr>
      <w:r>
        <w:rPr>
          <w:rFonts w:ascii="仿宋_GB2312" w:hAnsi="仿宋_GB2312" w:eastAsia="仿宋_GB2312"/>
          <w:b w:val="0"/>
          <w:sz w:val="32"/>
        </w:rPr>
        <w:t>授予中小企业合同金额1.85万元，占政府采购支出总额的64.46%，其中：授予小微企业合同金额1.85万元，占政府采购支出总额的64.46%。</w:t>
      </w:r>
    </w:p>
    <w:p w14:paraId="663883FD">
      <w:pPr>
        <w:spacing w:line="640" w:lineRule="exact"/>
        <w:ind w:firstLine="640"/>
        <w:jc w:val="both"/>
        <w:outlineLvl w:val="3"/>
      </w:pPr>
      <w:r>
        <w:rPr>
          <w:rFonts w:ascii="楷体_GB2312" w:hAnsi="楷体_GB2312" w:eastAsia="楷体_GB2312"/>
          <w:b/>
          <w:sz w:val="32"/>
        </w:rPr>
        <w:t>（三）国有资产占用情况说明</w:t>
      </w:r>
    </w:p>
    <w:p w14:paraId="11C43A8B">
      <w:pPr>
        <w:spacing w:line="580" w:lineRule="exact"/>
        <w:ind w:firstLine="640"/>
        <w:jc w:val="both"/>
      </w:pPr>
      <w:r>
        <w:rPr>
          <w:rFonts w:ascii="仿宋_GB2312" w:hAnsi="仿宋_GB2312" w:eastAsia="仿宋_GB2312"/>
          <w:b w:val="0"/>
          <w:sz w:val="32"/>
        </w:rPr>
        <w:t>截至2024年12月31日，房屋0.00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F1547CA">
      <w:pPr>
        <w:spacing w:line="640" w:lineRule="exact"/>
        <w:ind w:firstLine="640"/>
        <w:jc w:val="both"/>
        <w:outlineLvl w:val="2"/>
      </w:pPr>
      <w:r>
        <w:rPr>
          <w:rFonts w:ascii="黑体" w:hAnsi="黑体" w:eastAsia="黑体"/>
          <w:sz w:val="32"/>
        </w:rPr>
        <w:t>十一、预算绩效的情况说明</w:t>
      </w:r>
    </w:p>
    <w:p w14:paraId="68F9D89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294.93万元，实际执行总额294.46万元；预算绩效评价项目1个，全年预算数0.49万元，全年执行数0.47万元。预算绩效管理取得的成效：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1.强化绩效目标管理体系，切实提升预算执行与项目实施的协同效能：一是建议项目实施单位严格遵循《关于印发&lt;自治区本级部门预算绩效目标管理暂行办法&gt;的通知》(新财预〔2018〕21号)相关规范，确保绩效目标能精准映射预算资金的预期产出与实施效果。在指标值设定环节，应综合参照历史数据、行业规范及计划指标等权威标准，通过量化指标体建议项目规划阶段进行深入调研，确保绩效指标设置既贴合业务实际，又便于量化考核与追溯。二是构建专业化绩效评估机制，通过组建行业专家委员会或引入第三方专业机构，系统开展事前绩效目标论证。重点聚焦指标体系的关联度、清晰度、实操性及科学合理性，对于计量不明确的绩效指标，应建立预警机制，并明确要求在规定时间内进行完善。警机制并限期完善。三是建立健全绩效动态监测机制。当实际执行与预设目标产生显著偏离时，须及时开展偏差溯源分析与纠偏措施。具体附整体支出绩效自评表，项目支出绩效自评表和评价报告。</w:t>
      </w:r>
    </w:p>
    <w:p w14:paraId="2E20E5C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1909269">
        <w:tblPrEx>
          <w:tblCellMar>
            <w:top w:w="0" w:type="dxa"/>
            <w:left w:w="108" w:type="dxa"/>
            <w:bottom w:w="0" w:type="dxa"/>
            <w:right w:w="108" w:type="dxa"/>
          </w:tblCellMar>
        </w:tblPrEx>
        <w:tc>
          <w:tcPr>
            <w:tcW w:w="8840" w:type="dxa"/>
            <w:gridSpan w:val="8"/>
            <w:vAlign w:val="center"/>
          </w:tcPr>
          <w:p w14:paraId="7CEFEA0E">
            <w:pPr>
              <w:jc w:val="center"/>
            </w:pPr>
            <w:r>
              <w:rPr>
                <w:rFonts w:ascii="宋体" w:hAnsi="宋体" w:eastAsia="宋体"/>
                <w:sz w:val="24"/>
              </w:rPr>
              <w:t>单位整体支出绩效自评表</w:t>
            </w:r>
          </w:p>
        </w:tc>
      </w:tr>
      <w:tr w14:paraId="4E36E5C0">
        <w:tblPrEx>
          <w:tblCellMar>
            <w:top w:w="0" w:type="dxa"/>
            <w:left w:w="108" w:type="dxa"/>
            <w:bottom w:w="0" w:type="dxa"/>
            <w:right w:w="108" w:type="dxa"/>
          </w:tblCellMar>
        </w:tblPrEx>
        <w:tc>
          <w:tcPr>
            <w:tcW w:w="8840" w:type="dxa"/>
            <w:gridSpan w:val="8"/>
            <w:vAlign w:val="center"/>
          </w:tcPr>
          <w:p w14:paraId="2F0A5DEF">
            <w:pPr>
              <w:jc w:val="center"/>
            </w:pPr>
            <w:r>
              <w:rPr>
                <w:rFonts w:ascii="宋体" w:hAnsi="宋体" w:eastAsia="宋体"/>
                <w:sz w:val="24"/>
              </w:rPr>
              <w:t>（2024年度）</w:t>
            </w:r>
          </w:p>
        </w:tc>
      </w:tr>
      <w:tr w14:paraId="79E7F4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CC8C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4BCB1">
            <w:pPr>
              <w:jc w:val="center"/>
            </w:pPr>
            <w:r>
              <w:rPr>
                <w:rFonts w:ascii="宋体" w:hAnsi="宋体" w:eastAsia="宋体"/>
                <w:sz w:val="16"/>
              </w:rPr>
              <w:t>阿克陶县动物卫生监督所</w:t>
            </w:r>
          </w:p>
        </w:tc>
      </w:tr>
      <w:tr w14:paraId="672729A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F898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44F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5210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54E2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EAD5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08D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6385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C40B3">
            <w:pPr>
              <w:jc w:val="center"/>
            </w:pPr>
            <w:r>
              <w:rPr>
                <w:rFonts w:ascii="宋体" w:hAnsi="宋体" w:eastAsia="宋体"/>
                <w:sz w:val="16"/>
              </w:rPr>
              <w:t>得分</w:t>
            </w:r>
          </w:p>
        </w:tc>
      </w:tr>
      <w:tr w14:paraId="02650C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15F1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D7A1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E611E">
            <w:pPr>
              <w:jc w:val="center"/>
            </w:pPr>
            <w:r>
              <w:rPr>
                <w:rFonts w:ascii="宋体" w:hAnsi="宋体" w:eastAsia="宋体"/>
                <w:sz w:val="16"/>
              </w:rPr>
              <w:t>250.22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512EC">
            <w:pPr>
              <w:jc w:val="center"/>
            </w:pPr>
            <w:r>
              <w:rPr>
                <w:rFonts w:ascii="宋体" w:hAnsi="宋体" w:eastAsia="宋体"/>
                <w:sz w:val="16"/>
              </w:rPr>
              <w:t>294.93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6CF75">
            <w:pPr>
              <w:jc w:val="center"/>
            </w:pPr>
            <w:r>
              <w:rPr>
                <w:rFonts w:ascii="宋体" w:hAnsi="宋体" w:eastAsia="宋体"/>
                <w:sz w:val="16"/>
              </w:rPr>
              <w:t>294.46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D7F4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F0244">
            <w:pPr>
              <w:jc w:val="center"/>
            </w:pPr>
            <w:r>
              <w:rPr>
                <w:rFonts w:ascii="宋体" w:hAnsi="宋体" w:eastAsia="宋体"/>
                <w:sz w:val="16"/>
              </w:rPr>
              <w:t>99.84%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292B4">
            <w:pPr>
              <w:jc w:val="center"/>
            </w:pPr>
            <w:r>
              <w:rPr>
                <w:rFonts w:ascii="宋体" w:hAnsi="宋体" w:eastAsia="宋体"/>
                <w:sz w:val="16"/>
              </w:rPr>
              <w:t>9.98</w:t>
            </w:r>
          </w:p>
        </w:tc>
      </w:tr>
      <w:tr w14:paraId="165281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320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3A92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97671">
            <w:pPr>
              <w:jc w:val="center"/>
            </w:pPr>
            <w:r>
              <w:rPr>
                <w:rFonts w:ascii="宋体" w:hAnsi="宋体" w:eastAsia="宋体"/>
                <w:sz w:val="16"/>
              </w:rPr>
              <w:t>0.49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3ED01">
            <w:pPr>
              <w:jc w:val="center"/>
            </w:pPr>
            <w:r>
              <w:rPr>
                <w:rFonts w:ascii="宋体" w:hAnsi="宋体" w:eastAsia="宋体"/>
                <w:sz w:val="16"/>
              </w:rPr>
              <w:t>45.33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A5A76">
            <w:pPr>
              <w:jc w:val="center"/>
            </w:pPr>
            <w:r>
              <w:rPr>
                <w:rFonts w:ascii="宋体" w:hAnsi="宋体" w:eastAsia="宋体"/>
                <w:sz w:val="16"/>
              </w:rPr>
              <w:t>45.33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4DA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726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E6835">
            <w:pPr>
              <w:jc w:val="center"/>
            </w:pPr>
            <w:r>
              <w:rPr>
                <w:rFonts w:ascii="宋体" w:hAnsi="宋体" w:eastAsia="宋体"/>
                <w:sz w:val="16"/>
              </w:rPr>
              <w:t>—</w:t>
            </w:r>
          </w:p>
        </w:tc>
      </w:tr>
      <w:tr w14:paraId="13F114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D9E2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AFB5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08E40">
            <w:pPr>
              <w:jc w:val="center"/>
            </w:pPr>
            <w:r>
              <w:rPr>
                <w:rFonts w:ascii="宋体" w:hAnsi="宋体" w:eastAsia="宋体"/>
                <w:sz w:val="16"/>
              </w:rPr>
              <w:t>249.73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FDD4B">
            <w:pPr>
              <w:jc w:val="center"/>
            </w:pPr>
            <w:r>
              <w:rPr>
                <w:rFonts w:ascii="宋体" w:hAnsi="宋体" w:eastAsia="宋体"/>
                <w:sz w:val="16"/>
              </w:rPr>
              <w:t>249.60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335C6">
            <w:pPr>
              <w:jc w:val="center"/>
            </w:pPr>
            <w:r>
              <w:rPr>
                <w:rFonts w:ascii="宋体" w:hAnsi="宋体" w:eastAsia="宋体"/>
                <w:sz w:val="16"/>
              </w:rPr>
              <w:t>249.13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D0C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6F5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6A81C">
            <w:pPr>
              <w:jc w:val="center"/>
            </w:pPr>
            <w:r>
              <w:rPr>
                <w:rFonts w:ascii="宋体" w:hAnsi="宋体" w:eastAsia="宋体"/>
                <w:sz w:val="16"/>
              </w:rPr>
              <w:t>—</w:t>
            </w:r>
          </w:p>
        </w:tc>
      </w:tr>
      <w:tr w14:paraId="10D461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A22C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F577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8DB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2C09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D184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858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EAC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92893">
            <w:pPr>
              <w:jc w:val="center"/>
            </w:pPr>
            <w:r>
              <w:rPr>
                <w:rFonts w:ascii="宋体" w:hAnsi="宋体" w:eastAsia="宋体"/>
                <w:sz w:val="16"/>
              </w:rPr>
              <w:t>—</w:t>
            </w:r>
          </w:p>
        </w:tc>
      </w:tr>
      <w:tr w14:paraId="51FE97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E60E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EB2E6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51E3FF">
            <w:pPr>
              <w:jc w:val="center"/>
            </w:pPr>
            <w:r>
              <w:rPr>
                <w:rFonts w:ascii="宋体" w:hAnsi="宋体" w:eastAsia="宋体"/>
                <w:sz w:val="16"/>
              </w:rPr>
              <w:t>实际完成情况</w:t>
            </w:r>
          </w:p>
        </w:tc>
      </w:tr>
      <w:tr w14:paraId="17D5F7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2465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77B96E">
            <w:pPr>
              <w:jc w:val="both"/>
            </w:pPr>
            <w:r>
              <w:rPr>
                <w:rFonts w:ascii="宋体" w:hAnsi="宋体" w:eastAsia="宋体"/>
                <w:sz w:val="16"/>
              </w:rPr>
              <w:t>确保在职人员的工资、津贴、补贴、社保、医保、公积金等以及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加强畜牧业投入品、生鲜乳和畜禽养殖，屠宰</w:t>
            </w:r>
            <w:r>
              <w:rPr>
                <w:rFonts w:hint="eastAsia" w:ascii="宋体" w:hAnsi="宋体"/>
                <w:sz w:val="16"/>
                <w:lang w:eastAsia="zh-CN"/>
              </w:rPr>
              <w:t>等</w:t>
            </w:r>
            <w:r>
              <w:rPr>
                <w:rFonts w:ascii="宋体" w:hAnsi="宋体" w:eastAsia="宋体"/>
                <w:sz w:val="16"/>
              </w:rPr>
              <w:t>监督管理和动物疫病防控，严防、严管、严控畜产品质量安全风险大动物疫病风险。</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FAEC82">
            <w:pPr>
              <w:jc w:val="both"/>
            </w:pPr>
            <w:r>
              <w:rPr>
                <w:rFonts w:ascii="宋体" w:hAnsi="宋体" w:eastAsia="宋体"/>
                <w:sz w:val="16"/>
              </w:rPr>
              <w:t>确保了在职人员的工资、津贴、补贴、社保、医保、公积金等以及保障性经费能够依规、按时、足额发放或缴纳，提升了部门人员工作积极性和服务质量；保障部门日常运转，为部门正常履职和开展综合性事务管理提供有效支撑，确保冬季取暖费、车辆维护费等公用保障性经费按照财政安排和相关工作要求及时支出。加强畜牧业投入品、生鲜乳和畜禽养殖，屠宰</w:t>
            </w:r>
            <w:r>
              <w:rPr>
                <w:rFonts w:hint="eastAsia" w:ascii="宋体" w:hAnsi="宋体"/>
                <w:sz w:val="16"/>
                <w:lang w:eastAsia="zh-CN"/>
              </w:rPr>
              <w:t>等</w:t>
            </w:r>
            <w:r>
              <w:rPr>
                <w:rFonts w:ascii="宋体" w:hAnsi="宋体" w:eastAsia="宋体"/>
                <w:sz w:val="16"/>
              </w:rPr>
              <w:t>监督管理和动物疫病防控，严防、严管、严控畜产品质量安全风险大动物疫病风险。</w:t>
            </w:r>
          </w:p>
        </w:tc>
      </w:tr>
      <w:tr w14:paraId="379479C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D716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7B1A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52E1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6B81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60CB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AB4F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35F8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F7796">
            <w:pPr>
              <w:jc w:val="center"/>
            </w:pPr>
            <w:r>
              <w:rPr>
                <w:rFonts w:ascii="宋体" w:hAnsi="宋体" w:eastAsia="宋体"/>
                <w:sz w:val="16"/>
              </w:rPr>
              <w:t>得分</w:t>
            </w:r>
          </w:p>
        </w:tc>
      </w:tr>
      <w:tr w14:paraId="42B40D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EF3AC">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2F07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08CEB">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08E54">
            <w:pPr>
              <w:jc w:val="center"/>
            </w:pPr>
            <w:r>
              <w:rPr>
                <w:rFonts w:ascii="宋体" w:hAnsi="宋体" w:eastAsia="宋体"/>
                <w:sz w:val="16"/>
              </w:rPr>
              <w:t>&gt;=19人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1D02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7AFC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B6A5D">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3DC1D">
            <w:pPr>
              <w:jc w:val="center"/>
            </w:pPr>
            <w:r>
              <w:rPr>
                <w:rFonts w:ascii="宋体" w:hAnsi="宋体" w:eastAsia="宋体"/>
                <w:sz w:val="16"/>
              </w:rPr>
              <w:t>5.26</w:t>
            </w:r>
          </w:p>
        </w:tc>
      </w:tr>
      <w:tr w14:paraId="03291F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6540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5C6D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6DFC2">
            <w:pPr>
              <w:jc w:val="center"/>
            </w:pPr>
            <w:r>
              <w:rPr>
                <w:rFonts w:ascii="宋体" w:hAnsi="宋体" w:eastAsia="宋体"/>
                <w:sz w:val="16"/>
              </w:rPr>
              <w:t>年初部门整体预算控制数（万元）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869FD">
            <w:pPr>
              <w:jc w:val="center"/>
            </w:pPr>
            <w:r>
              <w:rPr>
                <w:rFonts w:ascii="宋体" w:hAnsi="宋体" w:eastAsia="宋体"/>
                <w:sz w:val="16"/>
              </w:rPr>
              <w:t>&lt;=250.42万元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582A7">
            <w:pPr>
              <w:jc w:val="center"/>
            </w:pPr>
            <w:r>
              <w:rPr>
                <w:rFonts w:ascii="宋体" w:hAnsi="宋体" w:eastAsia="宋体"/>
                <w:sz w:val="16"/>
              </w:rPr>
              <w:t>阿克陶县人大会议批复预算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289E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A84A4">
            <w:pPr>
              <w:jc w:val="center"/>
            </w:pPr>
            <w:r>
              <w:rPr>
                <w:rFonts w:ascii="宋体" w:hAnsi="宋体" w:eastAsia="宋体"/>
                <w:sz w:val="16"/>
              </w:rPr>
              <w:t>294.46万元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101C2">
            <w:pPr>
              <w:jc w:val="center"/>
            </w:pPr>
            <w:r>
              <w:rPr>
                <w:rFonts w:ascii="宋体" w:hAnsi="宋体" w:eastAsia="宋体"/>
                <w:sz w:val="16"/>
              </w:rPr>
              <w:t>8.5</w:t>
            </w:r>
          </w:p>
        </w:tc>
      </w:tr>
      <w:tr w14:paraId="01D7EF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49CDD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CA32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D2ED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A8F4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21B5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4D8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1C0C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92160">
            <w:pPr>
              <w:jc w:val="center"/>
            </w:pPr>
            <w:r>
              <w:rPr>
                <w:rFonts w:ascii="宋体" w:hAnsi="宋体" w:eastAsia="宋体"/>
                <w:sz w:val="16"/>
              </w:rPr>
              <w:t>10</w:t>
            </w:r>
          </w:p>
        </w:tc>
      </w:tr>
      <w:tr w14:paraId="0F6FD07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A6B24">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DE5D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7A34C">
            <w:pPr>
              <w:jc w:val="center"/>
            </w:pPr>
            <w:r>
              <w:rPr>
                <w:rFonts w:ascii="宋体" w:hAnsi="宋体" w:eastAsia="宋体"/>
                <w:sz w:val="16"/>
              </w:rPr>
              <w:t>提高畜牧产品质量安全合格率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1D90F">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9A29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1905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C0B34">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BEA07">
            <w:pPr>
              <w:jc w:val="center"/>
            </w:pPr>
            <w:r>
              <w:rPr>
                <w:rFonts w:ascii="宋体" w:hAnsi="宋体" w:eastAsia="宋体"/>
                <w:sz w:val="16"/>
              </w:rPr>
              <w:t>15</w:t>
            </w:r>
          </w:p>
        </w:tc>
      </w:tr>
      <w:tr w14:paraId="74189D8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0B159">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C61E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08785">
            <w:pPr>
              <w:jc w:val="center"/>
            </w:pPr>
            <w:r>
              <w:rPr>
                <w:rFonts w:ascii="宋体" w:hAnsi="宋体" w:eastAsia="宋体"/>
                <w:sz w:val="16"/>
              </w:rPr>
              <w:t>依法对疫病动物处置率（%）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404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467C6">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2AF6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20C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22A7B">
            <w:pPr>
              <w:jc w:val="center"/>
            </w:pPr>
            <w:r>
              <w:rPr>
                <w:rFonts w:ascii="宋体" w:hAnsi="宋体" w:eastAsia="宋体"/>
                <w:sz w:val="16"/>
              </w:rPr>
              <w:t>15</w:t>
            </w:r>
          </w:p>
        </w:tc>
      </w:tr>
      <w:tr w14:paraId="4D3E8B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9E2D1">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E8B1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F5830">
            <w:pPr>
              <w:jc w:val="center"/>
            </w:pPr>
            <w:r>
              <w:rPr>
                <w:rFonts w:ascii="宋体" w:hAnsi="宋体" w:eastAsia="宋体"/>
                <w:sz w:val="16"/>
              </w:rPr>
              <w:t>提供社会健康畜牧产品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76AAE">
            <w:pPr>
              <w:jc w:val="center"/>
            </w:pPr>
            <w:r>
              <w:rPr>
                <w:rFonts w:ascii="宋体" w:hAnsi="宋体" w:eastAsia="宋体"/>
                <w:sz w:val="16"/>
              </w:rPr>
              <w:t>提供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CC2A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2DE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3F8CB">
            <w:pPr>
              <w:jc w:val="center"/>
            </w:pPr>
            <w:r>
              <w:rPr>
                <w:rFonts w:ascii="宋体" w:hAnsi="宋体" w:eastAsia="宋体"/>
                <w:sz w:val="16"/>
              </w:rPr>
              <w:t>提供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9F8BA">
            <w:pPr>
              <w:jc w:val="center"/>
            </w:pPr>
            <w:r>
              <w:rPr>
                <w:rFonts w:ascii="宋体" w:hAnsi="宋体" w:eastAsia="宋体"/>
                <w:sz w:val="16"/>
              </w:rPr>
              <w:t>10</w:t>
            </w:r>
          </w:p>
        </w:tc>
      </w:tr>
      <w:tr w14:paraId="4325F6C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46FA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8A3C8">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EE722">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693F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DE8C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0B40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0E7B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25D7B">
            <w:pPr>
              <w:jc w:val="center"/>
            </w:pPr>
            <w:r>
              <w:rPr>
                <w:rFonts w:ascii="宋体" w:hAnsi="宋体" w:eastAsia="宋体"/>
                <w:sz w:val="16"/>
              </w:rPr>
              <w:t>10</w:t>
            </w:r>
          </w:p>
        </w:tc>
      </w:tr>
      <w:tr w14:paraId="216B57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1713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4519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C4E4A">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52A0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09DE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E4F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9921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8D9B8">
            <w:pPr>
              <w:jc w:val="center"/>
            </w:pPr>
            <w:r>
              <w:rPr>
                <w:rFonts w:ascii="宋体" w:hAnsi="宋体" w:eastAsia="宋体"/>
                <w:sz w:val="16"/>
              </w:rPr>
              <w:t>10</w:t>
            </w:r>
          </w:p>
        </w:tc>
      </w:tr>
    </w:tbl>
    <w:p w14:paraId="11FD18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4DE2856">
        <w:tblPrEx>
          <w:tblCellMar>
            <w:top w:w="0" w:type="dxa"/>
            <w:left w:w="108" w:type="dxa"/>
            <w:bottom w:w="0" w:type="dxa"/>
            <w:right w:w="108" w:type="dxa"/>
          </w:tblCellMar>
        </w:tblPrEx>
        <w:tc>
          <w:tcPr>
            <w:tcW w:w="8848" w:type="dxa"/>
            <w:gridSpan w:val="14"/>
            <w:vAlign w:val="center"/>
          </w:tcPr>
          <w:p w14:paraId="6D1B1712">
            <w:pPr>
              <w:jc w:val="center"/>
            </w:pPr>
            <w:r>
              <w:rPr>
                <w:rFonts w:ascii="宋体" w:hAnsi="宋体" w:eastAsia="宋体"/>
                <w:sz w:val="24"/>
              </w:rPr>
              <w:t>项目支出绩效自评表</w:t>
            </w:r>
          </w:p>
        </w:tc>
      </w:tr>
      <w:tr w14:paraId="12DCA40B">
        <w:tblPrEx>
          <w:tblCellMar>
            <w:top w:w="0" w:type="dxa"/>
            <w:left w:w="108" w:type="dxa"/>
            <w:bottom w:w="0" w:type="dxa"/>
            <w:right w:w="108" w:type="dxa"/>
          </w:tblCellMar>
        </w:tblPrEx>
        <w:tc>
          <w:tcPr>
            <w:tcW w:w="8848" w:type="dxa"/>
            <w:gridSpan w:val="14"/>
            <w:vAlign w:val="center"/>
          </w:tcPr>
          <w:p w14:paraId="1A6BC70E">
            <w:pPr>
              <w:jc w:val="center"/>
            </w:pPr>
            <w:r>
              <w:rPr>
                <w:rFonts w:ascii="宋体" w:hAnsi="宋体" w:eastAsia="宋体"/>
                <w:sz w:val="24"/>
              </w:rPr>
              <w:t>(2024年度)</w:t>
            </w:r>
          </w:p>
        </w:tc>
      </w:tr>
      <w:tr w14:paraId="436FB8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7E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0A3DD8">
            <w:pPr>
              <w:jc w:val="center"/>
            </w:pPr>
            <w:r>
              <w:rPr>
                <w:rFonts w:ascii="宋体" w:hAnsi="宋体" w:eastAsia="宋体"/>
                <w:sz w:val="16"/>
              </w:rPr>
              <w:t>2024年中央农业防灾减灾和水利救灾（动物防疫补助）项目</w:t>
            </w:r>
          </w:p>
        </w:tc>
      </w:tr>
      <w:tr w14:paraId="7945BF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D3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FE53A">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9C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E85B3">
            <w:pPr>
              <w:jc w:val="center"/>
            </w:pPr>
            <w:r>
              <w:rPr>
                <w:rFonts w:ascii="宋体" w:hAnsi="宋体" w:eastAsia="宋体"/>
                <w:sz w:val="16"/>
              </w:rPr>
              <w:t>阿克陶县动物卫生监督所</w:t>
            </w:r>
          </w:p>
        </w:tc>
      </w:tr>
      <w:tr w14:paraId="587F9F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A7D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1D5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60A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9B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48C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70B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0DE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1E55">
            <w:pPr>
              <w:jc w:val="center"/>
            </w:pPr>
            <w:r>
              <w:rPr>
                <w:rFonts w:ascii="宋体" w:hAnsi="宋体" w:eastAsia="宋体"/>
                <w:sz w:val="16"/>
              </w:rPr>
              <w:t>得分</w:t>
            </w:r>
          </w:p>
        </w:tc>
      </w:tr>
      <w:tr w14:paraId="2DC79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0E0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A2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D3F2">
            <w:pPr>
              <w:jc w:val="center"/>
            </w:pPr>
            <w:r>
              <w:rPr>
                <w:rFonts w:ascii="宋体" w:hAnsi="宋体" w:eastAsia="宋体"/>
                <w:sz w:val="16"/>
              </w:rPr>
              <w:t>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B237">
            <w:pPr>
              <w:jc w:val="center"/>
            </w:pPr>
            <w:r>
              <w:rPr>
                <w:rFonts w:ascii="宋体" w:hAnsi="宋体" w:eastAsia="宋体"/>
                <w:sz w:val="16"/>
              </w:rPr>
              <w:t>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3583">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0B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8D2E7">
            <w:pPr>
              <w:jc w:val="center"/>
            </w:pPr>
            <w:r>
              <w:rPr>
                <w:rFonts w:ascii="宋体" w:hAnsi="宋体" w:eastAsia="宋体"/>
                <w:sz w:val="16"/>
              </w:rPr>
              <w:t>95.9%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BB37">
            <w:pPr>
              <w:jc w:val="center"/>
            </w:pPr>
            <w:r>
              <w:rPr>
                <w:rFonts w:ascii="宋体" w:hAnsi="宋体" w:eastAsia="宋体"/>
                <w:sz w:val="16"/>
              </w:rPr>
              <w:t>8.98分</w:t>
            </w:r>
          </w:p>
        </w:tc>
      </w:tr>
      <w:tr w14:paraId="4323B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0B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EBE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123FE">
            <w:pPr>
              <w:jc w:val="center"/>
            </w:pPr>
            <w:r>
              <w:rPr>
                <w:rFonts w:ascii="宋体" w:hAnsi="宋体" w:eastAsia="宋体"/>
                <w:sz w:val="16"/>
              </w:rPr>
              <w:t>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856E">
            <w:pPr>
              <w:jc w:val="center"/>
            </w:pPr>
            <w:r>
              <w:rPr>
                <w:rFonts w:ascii="宋体" w:hAnsi="宋体" w:eastAsia="宋体"/>
                <w:sz w:val="16"/>
              </w:rPr>
              <w:t>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84C88">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A95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48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E556">
            <w:pPr>
              <w:jc w:val="center"/>
            </w:pPr>
            <w:r>
              <w:rPr>
                <w:rFonts w:ascii="宋体" w:hAnsi="宋体" w:eastAsia="宋体"/>
                <w:sz w:val="16"/>
              </w:rPr>
              <w:t>—</w:t>
            </w:r>
          </w:p>
        </w:tc>
      </w:tr>
      <w:tr w14:paraId="67848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757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BBF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6B7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92C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181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EB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10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6231">
            <w:pPr>
              <w:jc w:val="center"/>
            </w:pPr>
            <w:r>
              <w:rPr>
                <w:rFonts w:ascii="宋体" w:hAnsi="宋体" w:eastAsia="宋体"/>
                <w:sz w:val="16"/>
              </w:rPr>
              <w:t>—</w:t>
            </w:r>
          </w:p>
        </w:tc>
      </w:tr>
      <w:tr w14:paraId="76F18C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F63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886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F8252">
            <w:pPr>
              <w:jc w:val="center"/>
            </w:pPr>
            <w:r>
              <w:rPr>
                <w:rFonts w:ascii="宋体" w:hAnsi="宋体" w:eastAsia="宋体"/>
                <w:sz w:val="16"/>
              </w:rPr>
              <w:t>实际完成情况</w:t>
            </w:r>
          </w:p>
        </w:tc>
      </w:tr>
      <w:tr w14:paraId="25420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19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4F11F">
            <w:pPr>
              <w:jc w:val="both"/>
            </w:pPr>
            <w:r>
              <w:rPr>
                <w:rFonts w:ascii="宋体" w:hAnsi="宋体" w:eastAsia="宋体"/>
                <w:sz w:val="16"/>
              </w:rPr>
              <w:t>生猪养殖重点区域养殖环节病死猪无害化处理应补尽补。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B9A3A6">
            <w:pPr>
              <w:jc w:val="both"/>
            </w:pPr>
            <w:r>
              <w:rPr>
                <w:rFonts w:ascii="宋体" w:hAnsi="宋体" w:eastAsia="宋体"/>
                <w:sz w:val="16"/>
              </w:rPr>
              <w:t>生猪养殖重点区域养殖环节病死猪无害化处理应补尽补。</w:t>
            </w:r>
          </w:p>
        </w:tc>
      </w:tr>
      <w:tr w14:paraId="326A12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779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35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AC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3F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A5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64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52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15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CA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9C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C6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04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0CE8D">
            <w:pPr>
              <w:jc w:val="center"/>
            </w:pPr>
            <w:r>
              <w:rPr>
                <w:rFonts w:ascii="宋体" w:hAnsi="宋体" w:eastAsia="宋体"/>
                <w:sz w:val="16"/>
              </w:rPr>
              <w:t>偏差原因分析及改进措施</w:t>
            </w:r>
          </w:p>
        </w:tc>
      </w:tr>
      <w:tr w14:paraId="7329E5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7B0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B85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69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25E8">
            <w:pPr>
              <w:jc w:val="center"/>
            </w:pPr>
            <w:r>
              <w:rPr>
                <w:rFonts w:ascii="宋体" w:hAnsi="宋体" w:eastAsia="宋体"/>
                <w:sz w:val="16"/>
              </w:rPr>
              <w:t>动物无害化处理数量（头）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C2F9">
            <w:pPr>
              <w:jc w:val="center"/>
            </w:pPr>
            <w:r>
              <w:rPr>
                <w:rFonts w:ascii="宋体" w:hAnsi="宋体" w:eastAsia="宋体"/>
                <w:sz w:val="16"/>
              </w:rPr>
              <w:t>&gt;=61头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7A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6D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D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6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CD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5269">
            <w:pPr>
              <w:jc w:val="center"/>
            </w:pPr>
            <w:r>
              <w:rPr>
                <w:rFonts w:ascii="宋体" w:hAnsi="宋体" w:eastAsia="宋体"/>
                <w:sz w:val="16"/>
              </w:rPr>
              <w:t>=59头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1FC2">
            <w:pPr>
              <w:jc w:val="center"/>
            </w:pPr>
            <w:r>
              <w:rPr>
                <w:rFonts w:ascii="宋体" w:hAnsi="宋体" w:eastAsia="宋体"/>
                <w:sz w:val="16"/>
              </w:rPr>
              <w:t>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7E6F6">
            <w:pPr>
              <w:jc w:val="center"/>
            </w:pPr>
            <w:r>
              <w:rPr>
                <w:rFonts w:ascii="宋体" w:hAnsi="宋体" w:eastAsia="宋体"/>
                <w:sz w:val="16"/>
              </w:rPr>
              <w:t>本年无害化处理的达到标准的牲畜59头</w:t>
            </w:r>
          </w:p>
        </w:tc>
      </w:tr>
      <w:tr w14:paraId="15BC4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2F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FA1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EC3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F08E">
            <w:pPr>
              <w:jc w:val="center"/>
            </w:pPr>
            <w:r>
              <w:rPr>
                <w:rFonts w:ascii="宋体" w:hAnsi="宋体" w:eastAsia="宋体"/>
                <w:sz w:val="16"/>
              </w:rPr>
              <w:t>依法对重大动物疫情处置率（%）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EF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C8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69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1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85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33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5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85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EC5A8">
            <w:pPr>
              <w:jc w:val="center"/>
            </w:pPr>
          </w:p>
        </w:tc>
      </w:tr>
      <w:tr w14:paraId="583B9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53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8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A3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119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8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DF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4C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AD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19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92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4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22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EC73">
            <w:pPr>
              <w:jc w:val="center"/>
            </w:pPr>
          </w:p>
        </w:tc>
      </w:tr>
      <w:tr w14:paraId="4A5EE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1A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01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34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12F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1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92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7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DE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CD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2F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2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D2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215F8">
            <w:pPr>
              <w:jc w:val="center"/>
            </w:pPr>
          </w:p>
        </w:tc>
      </w:tr>
      <w:tr w14:paraId="29EAF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B19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5A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05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3DFD">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5603">
            <w:pPr>
              <w:jc w:val="center"/>
            </w:pPr>
            <w:r>
              <w:rPr>
                <w:rFonts w:ascii="宋体" w:hAnsi="宋体" w:eastAsia="宋体"/>
                <w:sz w:val="16"/>
              </w:rPr>
              <w:t>=0.49万元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55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E8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C0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9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7A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D63E">
            <w:pPr>
              <w:jc w:val="center"/>
            </w:pPr>
            <w:r>
              <w:rPr>
                <w:rFonts w:ascii="宋体" w:hAnsi="宋体" w:eastAsia="宋体"/>
                <w:sz w:val="16"/>
              </w:rPr>
              <w: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B0EE">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9EBBF">
            <w:pPr>
              <w:jc w:val="center"/>
            </w:pPr>
            <w:r>
              <w:rPr>
                <w:rFonts w:ascii="宋体" w:hAnsi="宋体" w:eastAsia="宋体"/>
                <w:sz w:val="16"/>
              </w:rPr>
              <w:t>按实际情况发放标准</w:t>
            </w:r>
          </w:p>
        </w:tc>
      </w:tr>
      <w:tr w14:paraId="4CEF9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3B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88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68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7A36">
            <w:pPr>
              <w:jc w:val="center"/>
            </w:pPr>
            <w:r>
              <w:rPr>
                <w:rFonts w:ascii="宋体" w:hAnsi="宋体" w:eastAsia="宋体"/>
                <w:sz w:val="16"/>
              </w:rPr>
              <w:t>保障食品安全和公共卫生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548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62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73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38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C3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C1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851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44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95E0B">
            <w:pPr>
              <w:jc w:val="center"/>
            </w:pPr>
          </w:p>
        </w:tc>
      </w:tr>
      <w:tr w14:paraId="6DCAF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A2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23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23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CB6E">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F6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FA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04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E0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8A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9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B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07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6D15">
            <w:pPr>
              <w:jc w:val="center"/>
            </w:pPr>
          </w:p>
        </w:tc>
      </w:tr>
      <w:tr w14:paraId="39B052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D51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66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67D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011F">
            <w:pPr>
              <w:jc w:val="center"/>
            </w:pPr>
            <w:r>
              <w:rPr>
                <w:rFonts w:ascii="宋体" w:hAnsi="宋体" w:eastAsia="宋体"/>
                <w:sz w:val="16"/>
              </w:rPr>
              <w:t>96.12分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B1E60A"/>
        </w:tc>
      </w:tr>
    </w:tbl>
    <w:p w14:paraId="7EB5627F">
      <w:r>
        <w:br w:type="page"/>
      </w:r>
    </w:p>
    <w:p w14:paraId="172C6010">
      <w:pPr>
        <w:spacing w:line="640" w:lineRule="exact"/>
        <w:ind w:firstLine="640"/>
        <w:jc w:val="both"/>
        <w:outlineLvl w:val="2"/>
      </w:pPr>
      <w:r>
        <w:rPr>
          <w:rFonts w:ascii="黑体" w:hAnsi="黑体" w:eastAsia="黑体"/>
          <w:sz w:val="32"/>
        </w:rPr>
        <w:t>十二、其他需说明的事项</w:t>
      </w:r>
    </w:p>
    <w:p w14:paraId="3E5354A4">
      <w:pPr>
        <w:spacing w:line="580" w:lineRule="exact"/>
        <w:ind w:firstLine="640"/>
        <w:jc w:val="both"/>
      </w:pPr>
      <w:r>
        <w:rPr>
          <w:rFonts w:ascii="仿宋_GB2312" w:hAnsi="仿宋_GB2312" w:eastAsia="仿宋_GB2312"/>
          <w:b w:val="0"/>
          <w:sz w:val="32"/>
        </w:rPr>
        <w:t>本单位无其他需说明的事项。</w:t>
      </w:r>
    </w:p>
    <w:p w14:paraId="7D82C68E">
      <w:r>
        <w:br w:type="page"/>
      </w:r>
    </w:p>
    <w:p w14:paraId="2B06AA14">
      <w:pPr>
        <w:spacing w:line="240" w:lineRule="auto"/>
        <w:jc w:val="center"/>
        <w:outlineLvl w:val="1"/>
      </w:pPr>
      <w:r>
        <w:rPr>
          <w:rFonts w:ascii="黑体" w:hAnsi="黑体" w:eastAsia="黑体"/>
          <w:sz w:val="32"/>
        </w:rPr>
        <w:t>第三部分 专业名词解释</w:t>
      </w:r>
    </w:p>
    <w:p w14:paraId="16D697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15E9F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D4DC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CD2B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AB20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21B40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BD09C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371E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629E3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F4401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D1FA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76CDE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5A00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72341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4757DB">
      <w:r>
        <w:br w:type="page"/>
      </w:r>
    </w:p>
    <w:p w14:paraId="1BC36C18">
      <w:pPr>
        <w:spacing w:line="240" w:lineRule="auto"/>
        <w:jc w:val="center"/>
        <w:outlineLvl w:val="1"/>
      </w:pPr>
      <w:r>
        <w:rPr>
          <w:rFonts w:ascii="黑体" w:hAnsi="黑体" w:eastAsia="黑体"/>
          <w:sz w:val="32"/>
        </w:rPr>
        <w:t>第四部分 部门决算报表（见附表）</w:t>
      </w:r>
    </w:p>
    <w:p w14:paraId="399ACA27">
      <w:pPr>
        <w:spacing w:line="240" w:lineRule="auto"/>
        <w:ind w:firstLine="640"/>
        <w:jc w:val="both"/>
      </w:pPr>
      <w:r>
        <w:rPr>
          <w:rFonts w:ascii="仿宋_GB2312" w:hAnsi="仿宋_GB2312" w:eastAsia="仿宋_GB2312"/>
          <w:b w:val="0"/>
          <w:sz w:val="32"/>
        </w:rPr>
        <w:t>一、《收入支出决算总表》</w:t>
      </w:r>
    </w:p>
    <w:p w14:paraId="26900C9E">
      <w:pPr>
        <w:spacing w:line="240" w:lineRule="auto"/>
        <w:ind w:firstLine="640"/>
        <w:jc w:val="both"/>
      </w:pPr>
      <w:r>
        <w:rPr>
          <w:rFonts w:ascii="仿宋_GB2312" w:hAnsi="仿宋_GB2312" w:eastAsia="仿宋_GB2312"/>
          <w:b w:val="0"/>
          <w:sz w:val="32"/>
        </w:rPr>
        <w:t>二、《收入决算表》</w:t>
      </w:r>
    </w:p>
    <w:p w14:paraId="0D0DBB24">
      <w:pPr>
        <w:spacing w:line="240" w:lineRule="auto"/>
        <w:ind w:firstLine="640"/>
        <w:jc w:val="both"/>
      </w:pPr>
      <w:r>
        <w:rPr>
          <w:rFonts w:ascii="仿宋_GB2312" w:hAnsi="仿宋_GB2312" w:eastAsia="仿宋_GB2312"/>
          <w:b w:val="0"/>
          <w:sz w:val="32"/>
        </w:rPr>
        <w:t>三、《支出决算表》</w:t>
      </w:r>
    </w:p>
    <w:p w14:paraId="1EE1F2BA">
      <w:pPr>
        <w:spacing w:line="240" w:lineRule="auto"/>
        <w:ind w:firstLine="640"/>
        <w:jc w:val="both"/>
      </w:pPr>
      <w:r>
        <w:rPr>
          <w:rFonts w:ascii="仿宋_GB2312" w:hAnsi="仿宋_GB2312" w:eastAsia="仿宋_GB2312"/>
          <w:b w:val="0"/>
          <w:sz w:val="32"/>
        </w:rPr>
        <w:t>四、《财政拨款收入支出决算总表》</w:t>
      </w:r>
    </w:p>
    <w:p w14:paraId="52204CA6">
      <w:pPr>
        <w:spacing w:line="240" w:lineRule="auto"/>
        <w:ind w:firstLine="640"/>
        <w:jc w:val="both"/>
      </w:pPr>
      <w:r>
        <w:rPr>
          <w:rFonts w:ascii="仿宋_GB2312" w:hAnsi="仿宋_GB2312" w:eastAsia="仿宋_GB2312"/>
          <w:b w:val="0"/>
          <w:sz w:val="32"/>
        </w:rPr>
        <w:t>五、《一般公共预算财政拨款支出决算表》</w:t>
      </w:r>
    </w:p>
    <w:p w14:paraId="710FC68F">
      <w:pPr>
        <w:spacing w:line="240" w:lineRule="auto"/>
        <w:ind w:firstLine="640"/>
        <w:jc w:val="both"/>
      </w:pPr>
      <w:r>
        <w:rPr>
          <w:rFonts w:ascii="仿宋_GB2312" w:hAnsi="仿宋_GB2312" w:eastAsia="仿宋_GB2312"/>
          <w:b w:val="0"/>
          <w:sz w:val="32"/>
        </w:rPr>
        <w:t>六、《一般公共预算财政拨款基本支出决算表》</w:t>
      </w:r>
    </w:p>
    <w:p w14:paraId="5CD16A90">
      <w:pPr>
        <w:spacing w:line="240" w:lineRule="auto"/>
        <w:ind w:firstLine="640"/>
        <w:jc w:val="both"/>
      </w:pPr>
      <w:r>
        <w:rPr>
          <w:rFonts w:ascii="仿宋_GB2312" w:hAnsi="仿宋_GB2312" w:eastAsia="仿宋_GB2312"/>
          <w:b w:val="0"/>
          <w:sz w:val="32"/>
        </w:rPr>
        <w:t>七、《政府性基金预算财政拨款收入支出决算表》</w:t>
      </w:r>
    </w:p>
    <w:p w14:paraId="4E75465B">
      <w:pPr>
        <w:spacing w:line="240" w:lineRule="auto"/>
        <w:ind w:firstLine="640"/>
        <w:jc w:val="both"/>
      </w:pPr>
      <w:r>
        <w:rPr>
          <w:rFonts w:ascii="仿宋_GB2312" w:hAnsi="仿宋_GB2312" w:eastAsia="仿宋_GB2312"/>
          <w:b w:val="0"/>
          <w:sz w:val="32"/>
        </w:rPr>
        <w:t>八、《国有资本经营预算财政拨款收入支出决算表》</w:t>
      </w:r>
    </w:p>
    <w:p w14:paraId="79D971F5">
      <w:pPr>
        <w:spacing w:line="240" w:lineRule="auto"/>
        <w:ind w:firstLine="640"/>
        <w:jc w:val="both"/>
      </w:pPr>
      <w:r>
        <w:rPr>
          <w:rFonts w:ascii="仿宋_GB2312" w:hAnsi="仿宋_GB2312" w:eastAsia="仿宋_GB2312"/>
          <w:b w:val="0"/>
          <w:sz w:val="32"/>
        </w:rPr>
        <w:t>九、《财政拨款“三公”经费支出决算表》</w:t>
      </w:r>
    </w:p>
    <w:p w14:paraId="701996BA">
      <w:pPr>
        <w:spacing w:line="240" w:lineRule="auto"/>
        <w:ind w:firstLine="640"/>
        <w:jc w:val="both"/>
      </w:pPr>
    </w:p>
    <w:p w14:paraId="50F0AE42">
      <w:pPr>
        <w:spacing w:line="240" w:lineRule="auto"/>
        <w:ind w:firstLine="640"/>
        <w:jc w:val="both"/>
      </w:pPr>
    </w:p>
    <w:p w14:paraId="0A80B023">
      <w:pPr>
        <w:spacing w:line="240" w:lineRule="auto"/>
        <w:ind w:firstLine="640"/>
        <w:jc w:val="both"/>
      </w:pPr>
    </w:p>
    <w:p w14:paraId="5975F210">
      <w:pPr>
        <w:spacing w:line="240" w:lineRule="auto"/>
        <w:ind w:firstLine="640"/>
        <w:jc w:val="both"/>
      </w:pPr>
    </w:p>
    <w:p w14:paraId="2F2045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608CBE-C6C2-4002-B770-D9A294DED3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89370669-831B-4A70-B274-56C95ED44B7B}"/>
  </w:font>
  <w:font w:name="楷体_GB2312">
    <w:panose1 w:val="02010609030101010101"/>
    <w:charset w:val="86"/>
    <w:family w:val="auto"/>
    <w:pitch w:val="default"/>
    <w:sig w:usb0="00000001" w:usb1="080E0000" w:usb2="00000000" w:usb3="00000000" w:csb0="00040000" w:csb1="00000000"/>
    <w:embedRegular r:id="rId3" w:fontKey="{B7411F7C-C805-4545-807C-7705B573AD53}"/>
  </w:font>
  <w:font w:name="方正小标宋_GBK">
    <w:panose1 w:val="02000000000000000000"/>
    <w:charset w:val="86"/>
    <w:family w:val="script"/>
    <w:pitch w:val="default"/>
    <w:sig w:usb0="A00002BF" w:usb1="38CF7CFA" w:usb2="00082016" w:usb3="00000000" w:csb0="00040001" w:csb1="00000000"/>
    <w:embedRegular r:id="rId4" w:fontKey="{42ABFD28-0F32-4EE3-A3B5-E4E6356068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69020E"/>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5308</Words>
  <Characters>6013</Characters>
  <Lines>0</Lines>
  <Paragraphs>0</Paragraphs>
  <TotalTime>3</TotalTime>
  <ScaleCrop>false</ScaleCrop>
  <LinksUpToDate>false</LinksUpToDate>
  <CharactersWithSpaces>6021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2025-09-15T04:42:51Z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