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58592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中共阿克陶县委员会统一战线工作部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45F6997">
      <w:r>
        <w:br w:type="page"/>
      </w:r>
    </w:p>
    <w:p w14:paraId="4918753D">
      <w:pPr>
        <w:spacing w:line="640" w:lineRule="exact"/>
        <w:jc w:val="center"/>
        <w:outlineLvl w:val="1"/>
      </w:pPr>
      <w:r>
        <w:rPr>
          <w:rFonts w:ascii="黑体" w:hAnsi="黑体" w:eastAsia="黑体"/>
          <w:sz w:val="32"/>
        </w:rPr>
        <w:t>第一部分 单位概况</w:t>
      </w:r>
    </w:p>
    <w:p w14:paraId="07C5A01C">
      <w:pPr>
        <w:spacing w:line="640" w:lineRule="exact"/>
        <w:ind w:firstLine="640"/>
        <w:jc w:val="both"/>
        <w:outlineLvl w:val="2"/>
      </w:pPr>
      <w:r>
        <w:rPr>
          <w:rFonts w:ascii="黑体" w:hAnsi="黑体" w:eastAsia="黑体"/>
          <w:sz w:val="32"/>
        </w:rPr>
        <w:t>一、主要职能</w:t>
      </w:r>
    </w:p>
    <w:p w14:paraId="23BFCFB6">
      <w:pPr>
        <w:spacing w:line="580" w:lineRule="exact"/>
        <w:ind w:firstLine="640"/>
        <w:jc w:val="both"/>
      </w:pPr>
      <w:r>
        <w:rPr>
          <w:rFonts w:ascii="仿宋_GB2312" w:hAnsi="仿宋_GB2312" w:eastAsia="仿宋_GB2312"/>
          <w:sz w:val="32"/>
        </w:rPr>
        <w:t>（一）坚持和加强党对统一战线工作的集中统一领导，贯彻落实党中央关于统一战线工作的方针政策和决策部署，贯彻落实自治区、自治州、县委、县政府关于统一战线工作的部署要求和重大举措，紧紧围绕新疆社会稳定和长治久安总目标，发挥阿克陶县委、县政府在统战工作方面的参谋机构、组织协调机构、具体执行机构、督促检查机构作用，了解情况、掌握政策、协调关系、安排人事、增进共识、加强团结，协调统一战线各方面关系，巩固壮大最广泛的统一战线。</w:t>
      </w:r>
    </w:p>
    <w:p w14:paraId="72086556">
      <w:pPr>
        <w:spacing w:line="580" w:lineRule="exact"/>
        <w:ind w:firstLine="640"/>
        <w:jc w:val="both"/>
      </w:pPr>
      <w:r>
        <w:rPr>
          <w:rFonts w:ascii="仿宋_GB2312" w:hAnsi="仿宋_GB2312" w:eastAsia="仿宋_GB2312"/>
          <w:sz w:val="32"/>
        </w:rPr>
        <w:t>（二）推动新疆统一战线工作的政策和法律法规的落实，深入调查研究，及时向阿克陶县委、县政府报告统一战线工作情况并提出建议，统筹协调和指导各乡（镇、场）各部门各单位统一战线工作。</w:t>
      </w:r>
    </w:p>
    <w:p w14:paraId="0199AAD4">
      <w:pPr>
        <w:spacing w:line="580" w:lineRule="exact"/>
        <w:ind w:firstLine="640"/>
        <w:jc w:val="both"/>
      </w:pPr>
      <w:r>
        <w:rPr>
          <w:rFonts w:ascii="仿宋_GB2312" w:hAnsi="仿宋_GB2312" w:eastAsia="仿宋_GB2312"/>
          <w:sz w:val="32"/>
        </w:rPr>
        <w:t>（三）负责发现、培养党外代表人士，负责党外人士的政治安排，会同有关部门做好安排党外人士担任政府和司法机关等领导职务的工作，协助阿克陶县工商联做好干部管理工作，反映和协调解决党外代表人士工作生活中的实际困难。</w:t>
      </w:r>
    </w:p>
    <w:p w14:paraId="5071C2D2">
      <w:pPr>
        <w:spacing w:line="580" w:lineRule="exact"/>
        <w:ind w:firstLine="640"/>
        <w:jc w:val="both"/>
      </w:pPr>
      <w:r>
        <w:rPr>
          <w:rFonts w:ascii="仿宋_GB2312" w:hAnsi="仿宋_GB2312" w:eastAsia="仿宋_GB2312"/>
          <w:sz w:val="32"/>
        </w:rPr>
        <w:t>（四）贯彻落实党的宣传工作方针，统筹推进县内外统一战线宣传工作，拟订统一战线宣传工作政策和规划并组织实施，研判涉及统一战线的舆情并协调有关部门应对处置。</w:t>
      </w:r>
    </w:p>
    <w:p w14:paraId="76D0D2D6">
      <w:pPr>
        <w:spacing w:line="580" w:lineRule="exact"/>
        <w:ind w:firstLine="640"/>
        <w:jc w:val="both"/>
      </w:pPr>
      <w:r>
        <w:rPr>
          <w:rFonts w:ascii="仿宋_GB2312" w:hAnsi="仿宋_GB2312" w:eastAsia="仿宋_GB2312"/>
          <w:sz w:val="32"/>
        </w:rPr>
        <w:t>（五）负责联系各民主党派，通报情况、反映意见，贯彻落实中国共产党领导的多党合作和政治协商制度以及对民主党派的方针政策，支持、帮助民主党派加强自身建设，做好支持民主党派履行职能、发挥作用的工作。</w:t>
      </w:r>
    </w:p>
    <w:p w14:paraId="39A8F11A">
      <w:pPr>
        <w:spacing w:line="580" w:lineRule="exact"/>
        <w:ind w:firstLine="640"/>
        <w:jc w:val="both"/>
      </w:pPr>
      <w:r>
        <w:rPr>
          <w:rFonts w:ascii="仿宋_GB2312" w:hAnsi="仿宋_GB2312" w:eastAsia="仿宋_GB2312"/>
          <w:sz w:val="32"/>
        </w:rPr>
        <w:t>（六）贯彻落实党的民族工作方针，开展重大问题调查研究，督促落实民族工作政策措施，协调处理民族工作中的重大问题；联系少数民族代表人士，做好少数民族干部工作；依法管理民族事务，加强民族团结进步创建活动的组织协调、调研、指导和督导考核，促进各民族交往交流交融，全面推进民族事业发展。</w:t>
      </w:r>
    </w:p>
    <w:p w14:paraId="648D0C26">
      <w:pPr>
        <w:spacing w:line="580" w:lineRule="exact"/>
        <w:ind w:firstLine="640"/>
        <w:jc w:val="both"/>
      </w:pPr>
      <w:r>
        <w:rPr>
          <w:rFonts w:ascii="仿宋_GB2312" w:hAnsi="仿宋_GB2312" w:eastAsia="仿宋_GB2312"/>
          <w:sz w:val="32"/>
        </w:rPr>
        <w:t>（七）推动落实鼓励支持引导非公有制经济发展的方针政策，调查研究非公有制经济人士情况并提出政策建议，了解和反映非公有制经济人士的意见，团结、服务、引导、教育非公有制经济人士，促进非公有制经济健康发展和非公有制经济人士健康成长。</w:t>
      </w:r>
    </w:p>
    <w:p w14:paraId="12E38AD1">
      <w:pPr>
        <w:spacing w:line="580" w:lineRule="exact"/>
        <w:ind w:firstLine="640"/>
        <w:jc w:val="both"/>
      </w:pPr>
      <w:r>
        <w:rPr>
          <w:rFonts w:ascii="仿宋_GB2312" w:hAnsi="仿宋_GB2312" w:eastAsia="仿宋_GB2312"/>
          <w:sz w:val="32"/>
        </w:rPr>
        <w:t>（八）完成阿克陶县委、县政府交办的其他任务。</w:t>
      </w:r>
    </w:p>
    <w:p w14:paraId="7C4FCC52">
      <w:pPr>
        <w:spacing w:line="640" w:lineRule="exact"/>
        <w:ind w:firstLine="640"/>
        <w:jc w:val="both"/>
        <w:outlineLvl w:val="2"/>
      </w:pPr>
      <w:r>
        <w:rPr>
          <w:rFonts w:ascii="黑体" w:hAnsi="黑体" w:eastAsia="黑体"/>
          <w:sz w:val="32"/>
        </w:rPr>
        <w:t>二、机构设置及人员情况</w:t>
      </w:r>
    </w:p>
    <w:p w14:paraId="41CB9F0E">
      <w:pPr>
        <w:spacing w:line="580" w:lineRule="exact"/>
        <w:ind w:firstLine="640"/>
        <w:jc w:val="both"/>
      </w:pPr>
      <w:r>
        <w:rPr>
          <w:rFonts w:ascii="仿宋_GB2312" w:hAnsi="仿宋_GB2312" w:eastAsia="仿宋_GB2312"/>
          <w:sz w:val="32"/>
        </w:rPr>
        <w:t>中共阿克陶县委员会统一战线工作部2024年度，实有人数31人，其中：在职人员18人，增加1人；离休人员0人，增加0人；退休人员13人,增加0人。</w:t>
      </w:r>
    </w:p>
    <w:p w14:paraId="6EF97C65">
      <w:pPr>
        <w:spacing w:line="580" w:lineRule="exact"/>
        <w:ind w:firstLine="640"/>
        <w:jc w:val="both"/>
      </w:pPr>
      <w:r>
        <w:rPr>
          <w:rFonts w:ascii="仿宋_GB2312" w:hAnsi="仿宋_GB2312" w:eastAsia="仿宋_GB2312"/>
          <w:sz w:val="32"/>
        </w:rPr>
        <w:t>中共阿克陶县委员会统一战线工作部无下属预算单位，下设4个科室，分别是：办公室、ZCGS领导小组办公室、MZTJ领导小组办公室、财务室。</w:t>
      </w:r>
    </w:p>
    <w:p w14:paraId="4291716C">
      <w:r>
        <w:br w:type="page"/>
      </w:r>
    </w:p>
    <w:p w14:paraId="0DB1BCC0">
      <w:pPr>
        <w:spacing w:line="240" w:lineRule="auto"/>
        <w:jc w:val="center"/>
        <w:outlineLvl w:val="1"/>
      </w:pPr>
      <w:r>
        <w:rPr>
          <w:rFonts w:ascii="黑体" w:hAnsi="黑体" w:eastAsia="黑体"/>
          <w:sz w:val="32"/>
        </w:rPr>
        <w:t>第二部分 部门决算情况说明</w:t>
      </w:r>
    </w:p>
    <w:p w14:paraId="1E975984">
      <w:pPr>
        <w:spacing w:line="640" w:lineRule="exact"/>
        <w:ind w:firstLine="640"/>
        <w:jc w:val="both"/>
        <w:outlineLvl w:val="2"/>
      </w:pPr>
      <w:r>
        <w:rPr>
          <w:rFonts w:ascii="黑体" w:hAnsi="黑体" w:eastAsia="黑体"/>
          <w:sz w:val="32"/>
        </w:rPr>
        <w:t>一、收入支出决算总体情况说明</w:t>
      </w:r>
    </w:p>
    <w:p w14:paraId="47E38B8F">
      <w:pPr>
        <w:spacing w:line="580" w:lineRule="exact"/>
        <w:ind w:firstLine="640"/>
        <w:jc w:val="both"/>
      </w:pPr>
      <w:r>
        <w:rPr>
          <w:rFonts w:ascii="仿宋_GB2312" w:hAnsi="仿宋_GB2312" w:eastAsia="仿宋_GB2312"/>
          <w:b/>
          <w:sz w:val="32"/>
        </w:rPr>
        <w:t>2024年度收入总计2,394.94万元，</w:t>
      </w:r>
      <w:r>
        <w:rPr>
          <w:rFonts w:ascii="仿宋_GB2312" w:hAnsi="仿宋_GB2312" w:eastAsia="仿宋_GB2312"/>
          <w:b w:val="0"/>
          <w:sz w:val="32"/>
        </w:rPr>
        <w:t>其中：本年收入合计2,097.21万元，使用非财政拨款结余（含专用结余）0.00万元，年初结转和结余297.73万元。</w:t>
      </w:r>
    </w:p>
    <w:p w14:paraId="0E0BB88A">
      <w:pPr>
        <w:spacing w:line="580" w:lineRule="exact"/>
        <w:ind w:firstLine="640"/>
        <w:jc w:val="both"/>
      </w:pPr>
      <w:r>
        <w:rPr>
          <w:rFonts w:ascii="仿宋_GB2312" w:hAnsi="仿宋_GB2312" w:eastAsia="仿宋_GB2312"/>
          <w:b/>
          <w:sz w:val="32"/>
        </w:rPr>
        <w:t>2024年度支出总计2,394.94万元，</w:t>
      </w:r>
      <w:r>
        <w:rPr>
          <w:rFonts w:ascii="仿宋_GB2312" w:hAnsi="仿宋_GB2312" w:eastAsia="仿宋_GB2312"/>
          <w:b w:val="0"/>
          <w:sz w:val="32"/>
        </w:rPr>
        <w:t>其中：本年支出合计2,218.53万元，结余分配0.00万元，年末结转和结余176.41万元。</w:t>
      </w:r>
    </w:p>
    <w:p w14:paraId="67B10EAC">
      <w:pPr>
        <w:spacing w:line="580" w:lineRule="exact"/>
        <w:ind w:firstLine="640"/>
        <w:jc w:val="both"/>
      </w:pPr>
      <w:r>
        <w:rPr>
          <w:rFonts w:ascii="仿宋_GB2312" w:hAnsi="仿宋_GB2312" w:eastAsia="仿宋_GB2312"/>
          <w:b w:val="0"/>
          <w:sz w:val="32"/>
        </w:rPr>
        <w:t>收入支出总体与上年相比，减少2,262.08万元，下降48.57%，主要原因是：本年中央民品民贸企业贷款贴息项目资金较上年减少。</w:t>
      </w:r>
    </w:p>
    <w:p w14:paraId="6088A80C">
      <w:pPr>
        <w:spacing w:line="640" w:lineRule="exact"/>
        <w:ind w:firstLine="640"/>
        <w:jc w:val="both"/>
        <w:outlineLvl w:val="2"/>
      </w:pPr>
      <w:r>
        <w:rPr>
          <w:rFonts w:ascii="黑体" w:hAnsi="黑体" w:eastAsia="黑体"/>
          <w:sz w:val="32"/>
        </w:rPr>
        <w:t>二、收入决算情况说明</w:t>
      </w:r>
    </w:p>
    <w:p w14:paraId="39AB988B">
      <w:pPr>
        <w:spacing w:line="580" w:lineRule="exact"/>
        <w:ind w:firstLine="640"/>
        <w:jc w:val="both"/>
      </w:pPr>
      <w:r>
        <w:rPr>
          <w:rFonts w:ascii="仿宋_GB2312" w:hAnsi="仿宋_GB2312" w:eastAsia="仿宋_GB2312"/>
          <w:b/>
          <w:sz w:val="32"/>
        </w:rPr>
        <w:t>本年收入2,097.21万元，</w:t>
      </w:r>
      <w:r>
        <w:rPr>
          <w:rFonts w:ascii="仿宋_GB2312" w:hAnsi="仿宋_GB2312" w:eastAsia="仿宋_GB2312"/>
          <w:b w:val="0"/>
          <w:sz w:val="32"/>
        </w:rPr>
        <w:t>其中：财政拨款收入1,829.32万元，占87.23%；上级补助收入0.00万元，占0.00%；事业收入0.00万元，占0.00%；经营收入0.00万元，占0.00%；附属单位上缴收入0.00万元，占0.00%；其他收入267.89万元，占12.77%。</w:t>
      </w:r>
    </w:p>
    <w:p w14:paraId="49AC65AB">
      <w:pPr>
        <w:spacing w:line="640" w:lineRule="exact"/>
        <w:ind w:firstLine="640"/>
        <w:jc w:val="both"/>
        <w:outlineLvl w:val="2"/>
      </w:pPr>
      <w:r>
        <w:rPr>
          <w:rFonts w:ascii="黑体" w:hAnsi="黑体" w:eastAsia="黑体"/>
          <w:sz w:val="32"/>
        </w:rPr>
        <w:t>三、支出决算情况说明</w:t>
      </w:r>
    </w:p>
    <w:p w14:paraId="6958BB4D">
      <w:pPr>
        <w:spacing w:line="580" w:lineRule="exact"/>
        <w:ind w:firstLine="640"/>
        <w:jc w:val="both"/>
      </w:pPr>
      <w:r>
        <w:rPr>
          <w:rFonts w:ascii="仿宋_GB2312" w:hAnsi="仿宋_GB2312" w:eastAsia="仿宋_GB2312"/>
          <w:b/>
          <w:sz w:val="32"/>
        </w:rPr>
        <w:t>本年支出2,218.53万元，</w:t>
      </w:r>
      <w:r>
        <w:rPr>
          <w:rFonts w:ascii="仿宋_GB2312" w:hAnsi="仿宋_GB2312" w:eastAsia="仿宋_GB2312"/>
          <w:b w:val="0"/>
          <w:sz w:val="32"/>
        </w:rPr>
        <w:t>其中：基本支出450.39万元，占20.30%；项目支出1,768.14万元，占79.70%；上缴上级支出0.00万元，占0.00%；经营支出0.00万元，占0.00%；对附属单位补助支出0.00万元，占0.00%。</w:t>
      </w:r>
    </w:p>
    <w:p w14:paraId="14E178A3">
      <w:pPr>
        <w:spacing w:line="640" w:lineRule="exact"/>
        <w:ind w:firstLine="640"/>
        <w:jc w:val="both"/>
        <w:outlineLvl w:val="2"/>
      </w:pPr>
      <w:r>
        <w:rPr>
          <w:rFonts w:ascii="黑体" w:hAnsi="黑体" w:eastAsia="黑体"/>
          <w:sz w:val="32"/>
        </w:rPr>
        <w:t>四、财政拨款收入支出决算总体情况说明</w:t>
      </w:r>
    </w:p>
    <w:p w14:paraId="4F5D7098">
      <w:pPr>
        <w:spacing w:line="580" w:lineRule="exact"/>
        <w:ind w:firstLine="640"/>
        <w:jc w:val="both"/>
      </w:pPr>
      <w:r>
        <w:rPr>
          <w:rFonts w:ascii="仿宋_GB2312" w:hAnsi="仿宋_GB2312" w:eastAsia="仿宋_GB2312"/>
          <w:b/>
          <w:sz w:val="32"/>
        </w:rPr>
        <w:t>2024年度财政拨款收入总计1,829.32万元，</w:t>
      </w:r>
      <w:r>
        <w:rPr>
          <w:rFonts w:ascii="仿宋_GB2312" w:hAnsi="仿宋_GB2312" w:eastAsia="仿宋_GB2312"/>
          <w:b w:val="0"/>
          <w:sz w:val="32"/>
        </w:rPr>
        <w:t>其中：年初财政拨款结转和结余0.00万元，本年财政拨款收入1,829.32万元。</w:t>
      </w:r>
      <w:r>
        <w:rPr>
          <w:rFonts w:ascii="仿宋_GB2312" w:hAnsi="仿宋_GB2312" w:eastAsia="仿宋_GB2312"/>
          <w:b/>
          <w:sz w:val="32"/>
        </w:rPr>
        <w:t>财政拨款支出总计1,829.32万元，</w:t>
      </w:r>
      <w:r>
        <w:rPr>
          <w:rFonts w:ascii="仿宋_GB2312" w:hAnsi="仿宋_GB2312" w:eastAsia="仿宋_GB2312"/>
          <w:b w:val="0"/>
          <w:sz w:val="32"/>
        </w:rPr>
        <w:t>其中：年末财政拨款结转和结余0.00万元，本年财政拨款支出1,829.32万元。</w:t>
      </w:r>
    </w:p>
    <w:p w14:paraId="189E0AB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减少1,828.57万元，下降49.99%，主要原因是：本年中央民品民贸企业贷款贴息项目资金较上年减少。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年初预算数3,806.10万元，决算数1,829.32万元，预决算差异率-51.94%，主要原因是：年中调减巩固拓展脱贫攻坚成果衔接乡村振兴项目资金。</w:t>
      </w:r>
    </w:p>
    <w:p w14:paraId="3F2DA795">
      <w:pPr>
        <w:spacing w:line="640" w:lineRule="exact"/>
        <w:ind w:firstLine="640"/>
        <w:jc w:val="both"/>
        <w:outlineLvl w:val="2"/>
      </w:pPr>
      <w:r>
        <w:rPr>
          <w:rFonts w:ascii="黑体" w:hAnsi="黑体" w:eastAsia="黑体"/>
          <w:sz w:val="32"/>
        </w:rPr>
        <w:t>五、一般公共预算财政拨款支出决算情况说明</w:t>
      </w:r>
    </w:p>
    <w:p w14:paraId="7A6532DA">
      <w:pPr>
        <w:spacing w:line="640" w:lineRule="exact"/>
        <w:ind w:firstLine="640"/>
        <w:jc w:val="both"/>
        <w:outlineLvl w:val="3"/>
      </w:pPr>
      <w:r>
        <w:rPr>
          <w:rFonts w:ascii="楷体_GB2312" w:hAnsi="楷体_GB2312" w:eastAsia="楷体_GB2312"/>
          <w:b/>
          <w:sz w:val="32"/>
        </w:rPr>
        <w:t>（一）一般公共预算财政拨款支出决算总体情况</w:t>
      </w:r>
    </w:p>
    <w:p w14:paraId="3FD830A9">
      <w:pPr>
        <w:spacing w:line="580" w:lineRule="exact"/>
        <w:ind w:firstLine="640"/>
        <w:jc w:val="both"/>
      </w:pPr>
      <w:r>
        <w:rPr>
          <w:rFonts w:ascii="仿宋_GB2312" w:hAnsi="仿宋_GB2312" w:eastAsia="仿宋_GB2312"/>
          <w:b/>
          <w:sz w:val="32"/>
        </w:rPr>
        <w:t>2024年度一般公共预算财政拨款支出1,829.32万元，</w:t>
      </w:r>
      <w:r>
        <w:rPr>
          <w:rFonts w:ascii="仿宋_GB2312" w:hAnsi="仿宋_GB2312" w:eastAsia="仿宋_GB2312"/>
          <w:b w:val="0"/>
          <w:sz w:val="32"/>
        </w:rPr>
        <w:t>占本年支出合计的82.46%。</w:t>
      </w:r>
      <w:r>
        <w:rPr>
          <w:rFonts w:ascii="仿宋_GB2312" w:hAnsi="仿宋_GB2312" w:eastAsia="仿宋_GB2312"/>
          <w:b/>
          <w:sz w:val="32"/>
        </w:rPr>
        <w:t>与上年相比，</w:t>
      </w:r>
      <w:r>
        <w:rPr>
          <w:rFonts w:ascii="仿宋_GB2312" w:hAnsi="仿宋_GB2312" w:eastAsia="仿宋_GB2312"/>
          <w:b w:val="0"/>
          <w:sz w:val="32"/>
        </w:rPr>
        <w:t>减少1,828.57万元，下降49.99%，主要原因是：本年中央民品民贸企业贷款贴息项目资金较上年减少。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年初预算数3,806.10万元，决算数1,829.32万元，预决算差异率-51.94%，主要原因是：年中调减巩固脱贫攻坚成果衔接乡村振兴项目资金。</w:t>
      </w:r>
    </w:p>
    <w:p w14:paraId="49325206">
      <w:pPr>
        <w:spacing w:line="640" w:lineRule="exact"/>
        <w:ind w:firstLine="640"/>
        <w:jc w:val="both"/>
        <w:outlineLvl w:val="3"/>
      </w:pPr>
      <w:r>
        <w:rPr>
          <w:rFonts w:ascii="楷体_GB2312" w:hAnsi="楷体_GB2312" w:eastAsia="楷体_GB2312"/>
          <w:b/>
          <w:sz w:val="32"/>
        </w:rPr>
        <w:t>（二）一般公共预算财政拨款支出决算结构情况</w:t>
      </w:r>
    </w:p>
    <w:p w14:paraId="53C13DCB">
      <w:pPr>
        <w:spacing w:line="580" w:lineRule="exact"/>
        <w:ind w:firstLine="640"/>
        <w:jc w:val="both"/>
      </w:pPr>
      <w:r>
        <w:rPr>
          <w:rFonts w:ascii="仿宋_GB2312" w:hAnsi="仿宋_GB2312" w:eastAsia="仿宋_GB2312"/>
          <w:b w:val="0"/>
          <w:sz w:val="32"/>
        </w:rPr>
        <w:t>1.一般公共服务支出(类)1,564.32万元,占85.51%。</w:t>
      </w:r>
    </w:p>
    <w:p w14:paraId="6F22AE4B">
      <w:pPr>
        <w:spacing w:line="580" w:lineRule="exact"/>
        <w:ind w:firstLine="640"/>
        <w:jc w:val="both"/>
      </w:pPr>
      <w:r>
        <w:rPr>
          <w:rFonts w:ascii="仿宋_GB2312" w:hAnsi="仿宋_GB2312" w:eastAsia="仿宋_GB2312"/>
          <w:b w:val="0"/>
          <w:sz w:val="32"/>
        </w:rPr>
        <w:t>2.社会保障和就业支出(类)60.89万元,占3.33%。</w:t>
      </w:r>
    </w:p>
    <w:p w14:paraId="73D28BF7">
      <w:pPr>
        <w:spacing w:line="580" w:lineRule="exact"/>
        <w:ind w:firstLine="640"/>
        <w:jc w:val="both"/>
      </w:pPr>
      <w:r>
        <w:rPr>
          <w:rFonts w:ascii="仿宋_GB2312" w:hAnsi="仿宋_GB2312" w:eastAsia="仿宋_GB2312"/>
          <w:b w:val="0"/>
          <w:sz w:val="32"/>
        </w:rPr>
        <w:t>3.卫生健康支出(类)17.95万元,占0.98%。</w:t>
      </w:r>
    </w:p>
    <w:p w14:paraId="03EA1DFE">
      <w:pPr>
        <w:spacing w:line="580" w:lineRule="exact"/>
        <w:ind w:firstLine="640"/>
        <w:jc w:val="both"/>
      </w:pPr>
      <w:r>
        <w:rPr>
          <w:rFonts w:ascii="仿宋_GB2312" w:hAnsi="仿宋_GB2312" w:eastAsia="仿宋_GB2312"/>
          <w:b w:val="0"/>
          <w:sz w:val="32"/>
        </w:rPr>
        <w:t>4.农林水支出(类)52.66万元,占2.88%。</w:t>
      </w:r>
    </w:p>
    <w:p w14:paraId="36979630">
      <w:pPr>
        <w:spacing w:line="580" w:lineRule="exact"/>
        <w:ind w:firstLine="640"/>
        <w:jc w:val="both"/>
      </w:pPr>
      <w:r>
        <w:rPr>
          <w:rFonts w:ascii="仿宋_GB2312" w:hAnsi="仿宋_GB2312" w:eastAsia="仿宋_GB2312"/>
          <w:b w:val="0"/>
          <w:sz w:val="32"/>
        </w:rPr>
        <w:t>5.商业服务业等支出(类)100.00万元,占5.47%。</w:t>
      </w:r>
    </w:p>
    <w:p w14:paraId="7D78ACED">
      <w:pPr>
        <w:spacing w:line="580" w:lineRule="exact"/>
        <w:ind w:firstLine="640"/>
        <w:jc w:val="both"/>
      </w:pPr>
      <w:r>
        <w:rPr>
          <w:rFonts w:ascii="仿宋_GB2312" w:hAnsi="仿宋_GB2312" w:eastAsia="仿宋_GB2312"/>
          <w:b w:val="0"/>
          <w:sz w:val="32"/>
        </w:rPr>
        <w:t>6.住房保障支出(类)33.51万元,占1.83%。</w:t>
      </w:r>
    </w:p>
    <w:p w14:paraId="42FAA661">
      <w:pPr>
        <w:spacing w:line="640" w:lineRule="exact"/>
        <w:ind w:firstLine="640"/>
        <w:jc w:val="both"/>
        <w:outlineLvl w:val="3"/>
      </w:pPr>
      <w:r>
        <w:rPr>
          <w:rFonts w:ascii="楷体_GB2312" w:hAnsi="楷体_GB2312" w:eastAsia="楷体_GB2312"/>
          <w:b/>
          <w:sz w:val="32"/>
        </w:rPr>
        <w:t>（三）一般公共预算财政拨款支出决算具体情况</w:t>
      </w:r>
    </w:p>
    <w:p w14:paraId="599F523D">
      <w:pPr>
        <w:spacing w:line="580" w:lineRule="exact"/>
        <w:ind w:firstLine="640"/>
        <w:jc w:val="both"/>
      </w:pPr>
      <w:r>
        <w:rPr>
          <w:rFonts w:ascii="仿宋_GB2312" w:hAnsi="仿宋_GB2312" w:eastAsia="仿宋_GB2312"/>
          <w:b w:val="0"/>
          <w:sz w:val="32"/>
        </w:rPr>
        <w:t>1.一般公共服务支出(类)组织事务(款)其他组织事务支出(项):支出决算数为8.00万元，比上年决算增加8.00万元，增长100.00%,主要原因是：功能科目调整，上年度为民办实事工作队经费项目在其他支出科目中列支，本年度在其他组织事务支出中列支，导致经费增加。</w:t>
      </w:r>
    </w:p>
    <w:p w14:paraId="5147B6A8">
      <w:pPr>
        <w:spacing w:line="580" w:lineRule="exact"/>
        <w:ind w:firstLine="640"/>
        <w:jc w:val="both"/>
      </w:pPr>
      <w:r>
        <w:rPr>
          <w:rFonts w:ascii="仿宋_GB2312" w:hAnsi="仿宋_GB2312" w:eastAsia="仿宋_GB2312"/>
          <w:b w:val="0"/>
          <w:sz w:val="32"/>
        </w:rPr>
        <w:t>2.一般公共服务支出(类)统战事务(款)行政运行(项):支出决算数为204.27万元，比上年决算增加11.41万元，增长5.92%,主要原因是：本年新增在职人员，人员经费增加，导致经费较上年有所增加。</w:t>
      </w:r>
    </w:p>
    <w:p w14:paraId="5C3AA043">
      <w:pPr>
        <w:spacing w:line="580" w:lineRule="exact"/>
        <w:ind w:firstLine="640"/>
        <w:jc w:val="both"/>
      </w:pPr>
      <w:r>
        <w:rPr>
          <w:rFonts w:ascii="仿宋_GB2312" w:hAnsi="仿宋_GB2312" w:eastAsia="仿宋_GB2312"/>
          <w:b w:val="0"/>
          <w:sz w:val="32"/>
        </w:rPr>
        <w:t>3.一般公共服务支出(类)统战事务(款)宗教事务(项):支出决算数为523.42万元，比上年决算减少63.63万元，下降10.84%,主要原因是：功能科目调整，上年度部分专项项目资金在宗教事务支出科目中列支，本年度在其他统战事务支出中列支，导致经费减少。</w:t>
      </w:r>
    </w:p>
    <w:p w14:paraId="37C2B7B7">
      <w:pPr>
        <w:spacing w:line="580" w:lineRule="exact"/>
        <w:ind w:firstLine="640"/>
        <w:jc w:val="both"/>
      </w:pPr>
      <w:r>
        <w:rPr>
          <w:rFonts w:ascii="仿宋_GB2312" w:hAnsi="仿宋_GB2312" w:eastAsia="仿宋_GB2312"/>
          <w:b w:val="0"/>
          <w:sz w:val="32"/>
        </w:rPr>
        <w:t>4.一般公共服务支出(类)统战事务(款)事业运行(项):支出决算数为133.78万元，比上年决算增加18.43万元，增长15.98%,主要原因是：本年在职人员工资调增，导致相关人员经费较上年有所增加。</w:t>
      </w:r>
    </w:p>
    <w:p w14:paraId="5F143955">
      <w:pPr>
        <w:spacing w:line="580" w:lineRule="exact"/>
        <w:ind w:firstLine="640"/>
        <w:jc w:val="both"/>
      </w:pPr>
      <w:r>
        <w:rPr>
          <w:rFonts w:ascii="仿宋_GB2312" w:hAnsi="仿宋_GB2312" w:eastAsia="仿宋_GB2312"/>
          <w:b w:val="0"/>
          <w:sz w:val="32"/>
        </w:rPr>
        <w:t>5.一般公共服务支出(类)统战事务(款)其他统战事务支出(项):支出决算数为694.85万元，比上年决算增加242.54万元，增长53.62%,主要原因是：功能科目调整，上年度部分专项项目资金在宗教事务支出科目中列支，本年度在其他统战事务支出中列支，导致经费增加。</w:t>
      </w:r>
    </w:p>
    <w:p w14:paraId="1BCC9DCB">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6.社会保障和就业支出(类)行政事业单位养老支出(款)行政单位离退休(项):支出决算数为18.02万元，比上年决算增加3.24万元，增长21.92%,主要原因是：本年增加退休人员基础绩效奖，退休费支出增加。</w:t>
      </w:r>
    </w:p>
    <w:p w14:paraId="3B3CA4AB">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42.87万元，比上年决算增加8.67万元，增长25.35%,主要原因是：（1）本年在职人员工资基数调增，养老缴费基数上涨，相应支出增加。（2）本年在职人员增加，养老保险缴费较上年增加。</w:t>
      </w:r>
    </w:p>
    <w:p w14:paraId="19B90A7F">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0.00万元，比上年决算减少7.23万元，下降100.00%,主要原因是：本年功能科目调整，机关事业单位职业年金缴费上年度单独列支，本年调整至主科目列支，导致经费较上年减少。</w:t>
      </w:r>
    </w:p>
    <w:p w14:paraId="3122CFE9">
      <w:pPr>
        <w:spacing w:line="580" w:lineRule="exact"/>
        <w:ind w:firstLine="640"/>
        <w:jc w:val="both"/>
      </w:pPr>
      <w:r>
        <w:rPr>
          <w:rFonts w:ascii="仿宋_GB2312" w:hAnsi="仿宋_GB2312" w:eastAsia="仿宋_GB2312"/>
          <w:b w:val="0"/>
          <w:sz w:val="32"/>
        </w:rPr>
        <w:t>9.卫生健康支出(类)行政事业单位医疗(款)行政单位医疗(项):支出决算数为11.85万元，比上年决算减少6.33万元，下降34.82%,主要原因是：因退休人员医疗保险制度改革，退休人员基本医疗不再由单位缴纳，导致经费较上年减少。</w:t>
      </w:r>
    </w:p>
    <w:p w14:paraId="01A19C4A">
      <w:pPr>
        <w:spacing w:line="580" w:lineRule="exact"/>
        <w:ind w:firstLine="640"/>
        <w:jc w:val="both"/>
      </w:pPr>
      <w:r>
        <w:rPr>
          <w:rFonts w:ascii="仿宋_GB2312" w:hAnsi="仿宋_GB2312" w:eastAsia="仿宋_GB2312"/>
          <w:b w:val="0"/>
          <w:sz w:val="32"/>
        </w:rPr>
        <w:t>10.卫生健康支出(类)行政事业单位医疗(款)事业单位医疗(项):支出决算数为6.09万元，比上年决算增加1.30万元，增长27.14%,主要原因是：（1）本年在职人员工资基数调增，医疗缴费基数上涨，相应支出增加。（2）本年在职人员增加，事业单位医疗支出较上年增加。</w:t>
      </w:r>
    </w:p>
    <w:p w14:paraId="562B469A">
      <w:pPr>
        <w:spacing w:line="580" w:lineRule="exact"/>
        <w:ind w:firstLine="640"/>
        <w:jc w:val="both"/>
      </w:pPr>
      <w:r>
        <w:rPr>
          <w:rFonts w:ascii="仿宋_GB2312" w:hAnsi="仿宋_GB2312" w:eastAsia="仿宋_GB2312"/>
          <w:b w:val="0"/>
          <w:sz w:val="32"/>
        </w:rPr>
        <w:t>11.农林水支出(类)巩固脱贫攻坚成果衔接乡村振兴(款)其他巩固脱贫攻坚成果衔接乡村振兴支出(项):支出决算数为52.66万元，比上年决算增加7.12万元，增长15.63%,主要原因是：本年增加2024年采购低氟砖茶项目资金，相应支出增加。</w:t>
      </w:r>
    </w:p>
    <w:p w14:paraId="4A74186B">
      <w:pPr>
        <w:spacing w:line="580" w:lineRule="exact"/>
        <w:ind w:firstLine="640"/>
        <w:jc w:val="both"/>
      </w:pPr>
      <w:r>
        <w:rPr>
          <w:rFonts w:ascii="仿宋_GB2312" w:hAnsi="仿宋_GB2312" w:eastAsia="仿宋_GB2312"/>
          <w:b w:val="0"/>
          <w:sz w:val="32"/>
        </w:rPr>
        <w:t>12.商业服务业等支出(类)商业流通事务(款)民贸企业补贴(项):支出决算数为0.00万元，比上年决算减少744.39万元，下降100.00%,主要原因是：本年减少民贸民品企业贷款贴息发放，相应支出减少。</w:t>
      </w:r>
    </w:p>
    <w:p w14:paraId="5DE20348">
      <w:pPr>
        <w:spacing w:line="580" w:lineRule="exact"/>
        <w:ind w:firstLine="640"/>
        <w:jc w:val="both"/>
      </w:pPr>
      <w:r>
        <w:rPr>
          <w:rFonts w:ascii="仿宋_GB2312" w:hAnsi="仿宋_GB2312" w:eastAsia="仿宋_GB2312"/>
          <w:b w:val="0"/>
          <w:sz w:val="32"/>
        </w:rPr>
        <w:t>13.商业服务业等支出(类)商业流通事务(款)民贸民品贷款贴息(项):支出决算数为100.00万元，比上年决算减少1,308.04万元，下降92.90%,主要原因是：本年减少民贸民品企业贷款贴息发放，相应支出减少。</w:t>
      </w:r>
    </w:p>
    <w:p w14:paraId="3947B668">
      <w:pPr>
        <w:spacing w:line="580" w:lineRule="exact"/>
        <w:ind w:firstLine="640"/>
        <w:jc w:val="both"/>
      </w:pPr>
      <w:r>
        <w:rPr>
          <w:rFonts w:ascii="仿宋_GB2312" w:hAnsi="仿宋_GB2312" w:eastAsia="仿宋_GB2312"/>
          <w:b w:val="0"/>
          <w:sz w:val="32"/>
        </w:rPr>
        <w:t>14.住房保障支出(类)住房改革支出(款)住房公积金(项):支出决算数为33.51万元，比上年决算增加5.73万元，增长20.63%,主要原因是：（1）本年在职人员工资基数调增，公积金缴费基数上涨，相应支出增加。（2）本年在职人员增加，住房公积金支出较上年增加。</w:t>
      </w:r>
    </w:p>
    <w:p w14:paraId="6EC0257E">
      <w:pPr>
        <w:spacing w:line="580" w:lineRule="exact"/>
        <w:ind w:firstLine="640"/>
        <w:jc w:val="both"/>
      </w:pPr>
      <w:r>
        <w:rPr>
          <w:rFonts w:ascii="仿宋_GB2312" w:hAnsi="仿宋_GB2312" w:eastAsia="仿宋_GB2312"/>
          <w:b w:val="0"/>
          <w:sz w:val="32"/>
        </w:rPr>
        <w:t>15.其他支出(类)其他支出(款)其他支出(项):支出决算数为0.00万元，比上年决算减少5.39万元，下降100.00%,主要原因是：功能科目调整，上年度为民办实事工作队经费项目在其他支出科目中列支，本年度在其他组织事务支出中列支，导致经费减少。</w:t>
      </w:r>
    </w:p>
    <w:p w14:paraId="22FDCA39">
      <w:pPr>
        <w:spacing w:line="640" w:lineRule="exact"/>
        <w:ind w:firstLine="640"/>
        <w:jc w:val="both"/>
        <w:outlineLvl w:val="2"/>
      </w:pPr>
      <w:r>
        <w:rPr>
          <w:rFonts w:ascii="黑体" w:hAnsi="黑体" w:eastAsia="黑体"/>
          <w:sz w:val="32"/>
        </w:rPr>
        <w:t>六、一般公共预算财政拨款基本支出决算情况说明</w:t>
      </w:r>
    </w:p>
    <w:p w14:paraId="6767045B">
      <w:pPr>
        <w:spacing w:line="580" w:lineRule="exact"/>
        <w:ind w:firstLine="640"/>
        <w:jc w:val="both"/>
      </w:pPr>
      <w:r>
        <w:rPr>
          <w:rFonts w:ascii="仿宋_GB2312" w:hAnsi="仿宋_GB2312" w:eastAsia="仿宋_GB2312"/>
          <w:b w:val="0"/>
          <w:sz w:val="32"/>
        </w:rPr>
        <w:t>2024年度一般公共预算财政拨款基本支出450.39万元，其中：</w:t>
      </w:r>
      <w:r>
        <w:rPr>
          <w:rFonts w:ascii="仿宋_GB2312" w:hAnsi="仿宋_GB2312" w:eastAsia="仿宋_GB2312"/>
          <w:b/>
          <w:sz w:val="32"/>
        </w:rPr>
        <w:t>人员经费423.79万元，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包括：基本工资、津贴补贴、奖金、机关事业单位基本养老保险缴费、职工基本医疗保险缴费、其他社会保障缴费、住房公积金、退休费、生活补助、奖励金。</w:t>
      </w:r>
    </w:p>
    <w:p w14:paraId="2CD811D8">
      <w:pPr>
        <w:spacing w:line="580" w:lineRule="exact"/>
        <w:ind w:firstLine="640"/>
        <w:jc w:val="both"/>
      </w:pPr>
      <w:r>
        <w:rPr>
          <w:rFonts w:ascii="仿宋_GB2312" w:hAnsi="仿宋_GB2312" w:eastAsia="仿宋_GB2312"/>
          <w:b/>
          <w:sz w:val="32"/>
        </w:rPr>
        <w:t>公用经费26.60万元，</w:t>
      </w:r>
      <w:r>
        <w:rPr>
          <w:rFonts w:ascii="仿宋_GB2312" w:hAnsi="仿宋_GB2312" w:eastAsia="仿宋_GB2312"/>
          <w:b w:val="0"/>
          <w:sz w:val="32"/>
        </w:rPr>
        <w:t>包括：办公费、水费、电费、邮电费、取暖费、差旅费、其他交通费用、税金及附加费用。</w:t>
      </w:r>
    </w:p>
    <w:p w14:paraId="7609DE17">
      <w:pPr>
        <w:spacing w:line="640" w:lineRule="exact"/>
        <w:ind w:firstLine="640"/>
        <w:jc w:val="both"/>
        <w:outlineLvl w:val="2"/>
      </w:pPr>
      <w:r>
        <w:rPr>
          <w:rFonts w:ascii="黑体" w:hAnsi="黑体" w:eastAsia="黑体"/>
          <w:sz w:val="32"/>
        </w:rPr>
        <w:t>七、政府性基金预算财政拨款收入支出决算情况说明</w:t>
      </w:r>
    </w:p>
    <w:p w14:paraId="44B9F00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7944982">
      <w:pPr>
        <w:spacing w:line="640" w:lineRule="exact"/>
        <w:ind w:firstLine="640"/>
        <w:jc w:val="both"/>
        <w:outlineLvl w:val="2"/>
      </w:pPr>
      <w:r>
        <w:rPr>
          <w:rFonts w:ascii="黑体" w:hAnsi="黑体" w:eastAsia="黑体"/>
          <w:sz w:val="32"/>
        </w:rPr>
        <w:t>八、国有资本经营预算财政拨款收入支出决算情况说明</w:t>
      </w:r>
    </w:p>
    <w:p w14:paraId="68AFBA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DA733C">
      <w:pPr>
        <w:spacing w:line="640" w:lineRule="exact"/>
        <w:ind w:firstLine="640"/>
        <w:jc w:val="both"/>
        <w:outlineLvl w:val="2"/>
      </w:pPr>
      <w:r>
        <w:rPr>
          <w:rFonts w:ascii="黑体" w:hAnsi="黑体" w:eastAsia="黑体"/>
          <w:sz w:val="32"/>
        </w:rPr>
        <w:t>九、财政拨款“三公”经费支出决算情况说明</w:t>
      </w:r>
    </w:p>
    <w:p w14:paraId="2942AB4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12958C0">
      <w:pPr>
        <w:spacing w:line="580" w:lineRule="exact"/>
        <w:ind w:firstLine="640"/>
        <w:jc w:val="both"/>
      </w:pPr>
      <w:r>
        <w:rPr>
          <w:rFonts w:ascii="仿宋_GB2312" w:hAnsi="仿宋_GB2312" w:eastAsia="仿宋_GB2312"/>
          <w:b/>
          <w:sz w:val="32"/>
        </w:rPr>
        <w:t>具体情况如下：</w:t>
      </w:r>
    </w:p>
    <w:p w14:paraId="1EFC521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BD5FA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w:t>
      </w:r>
    </w:p>
    <w:p w14:paraId="45A4939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4F76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3401ED3">
      <w:pPr>
        <w:spacing w:line="640" w:lineRule="exact"/>
        <w:ind w:firstLine="640"/>
        <w:jc w:val="both"/>
        <w:outlineLvl w:val="2"/>
      </w:pPr>
      <w:r>
        <w:rPr>
          <w:rFonts w:ascii="黑体" w:hAnsi="黑体" w:eastAsia="黑体"/>
          <w:sz w:val="32"/>
        </w:rPr>
        <w:t>十、其他重要事项的情况说明</w:t>
      </w:r>
    </w:p>
    <w:p w14:paraId="1E24221A">
      <w:pPr>
        <w:spacing w:line="640" w:lineRule="exact"/>
        <w:ind w:firstLine="640"/>
        <w:jc w:val="both"/>
        <w:outlineLvl w:val="3"/>
      </w:pPr>
      <w:r>
        <w:rPr>
          <w:rFonts w:ascii="楷体_GB2312" w:hAnsi="楷体_GB2312" w:eastAsia="楷体_GB2312"/>
          <w:b/>
          <w:sz w:val="32"/>
        </w:rPr>
        <w:t>（一）机关运行经费及公用经费支出情况</w:t>
      </w:r>
    </w:p>
    <w:p w14:paraId="118F3F81">
      <w:pPr>
        <w:spacing w:line="580" w:lineRule="exact"/>
        <w:ind w:firstLine="640"/>
        <w:jc w:val="both"/>
      </w:pPr>
      <w:r>
        <w:rPr>
          <w:rFonts w:ascii="仿宋_GB2312" w:hAnsi="仿宋_GB2312" w:eastAsia="仿宋_GB2312"/>
          <w:b w:val="0"/>
          <w:sz w:val="32"/>
        </w:rPr>
        <w:t>2024年度中共阿克陶县委员会统一战线工作部（行政单位和参照公务员法管理事业单位）机关运行经费支出26.60万元，比上年增加9.61万元，增长56.56%，主要原因是：本年业务量增加，机关运行经费增加。</w:t>
      </w:r>
    </w:p>
    <w:p w14:paraId="04EE1B58">
      <w:pPr>
        <w:spacing w:line="640" w:lineRule="exact"/>
        <w:ind w:firstLine="640"/>
        <w:jc w:val="both"/>
        <w:outlineLvl w:val="3"/>
      </w:pPr>
      <w:r>
        <w:rPr>
          <w:rFonts w:ascii="楷体_GB2312" w:hAnsi="楷体_GB2312" w:eastAsia="楷体_GB2312"/>
          <w:b/>
          <w:sz w:val="32"/>
        </w:rPr>
        <w:t>（二）政府采购情况</w:t>
      </w:r>
    </w:p>
    <w:p w14:paraId="6643D0E1">
      <w:pPr>
        <w:spacing w:line="580" w:lineRule="exact"/>
        <w:ind w:firstLine="640"/>
        <w:jc w:val="both"/>
      </w:pPr>
      <w:r>
        <w:rPr>
          <w:rFonts w:ascii="仿宋_GB2312" w:hAnsi="仿宋_GB2312" w:eastAsia="仿宋_GB2312"/>
          <w:b w:val="0"/>
          <w:sz w:val="32"/>
        </w:rPr>
        <w:t>2024年度政府采购支出总额75.35万元，其中：政府采购货物支出63.71万元、政府采购工程支出0.00万元、政府采购服务支出11.65万元。</w:t>
      </w:r>
    </w:p>
    <w:p w14:paraId="1348AB22">
      <w:pPr>
        <w:spacing w:line="580" w:lineRule="exact"/>
        <w:ind w:firstLine="640"/>
        <w:jc w:val="both"/>
      </w:pPr>
      <w:r>
        <w:rPr>
          <w:rFonts w:ascii="仿宋_GB2312" w:hAnsi="仿宋_GB2312" w:eastAsia="仿宋_GB2312"/>
          <w:b w:val="0"/>
          <w:sz w:val="32"/>
        </w:rPr>
        <w:t>授予中小企业合同金额74.65万元，占政府采购支出总额的99.07%，其中：授予小微企业合同金额11.24万元，占政府采购支出总额的14.92%。</w:t>
      </w:r>
    </w:p>
    <w:p w14:paraId="4F608C07">
      <w:pPr>
        <w:spacing w:line="640" w:lineRule="exact"/>
        <w:ind w:firstLine="640"/>
        <w:jc w:val="both"/>
        <w:outlineLvl w:val="3"/>
      </w:pPr>
      <w:r>
        <w:rPr>
          <w:rFonts w:ascii="楷体_GB2312" w:hAnsi="楷体_GB2312" w:eastAsia="楷体_GB2312"/>
          <w:b/>
          <w:sz w:val="32"/>
        </w:rPr>
        <w:t>（三）国有资产占用情况说明</w:t>
      </w:r>
    </w:p>
    <w:p w14:paraId="319FD8EE">
      <w:pPr>
        <w:spacing w:line="580" w:lineRule="exact"/>
        <w:ind w:firstLine="640"/>
        <w:jc w:val="both"/>
      </w:pPr>
      <w:r>
        <w:rPr>
          <w:rFonts w:ascii="仿宋_GB2312" w:hAnsi="仿宋_GB2312" w:eastAsia="仿宋_GB2312"/>
          <w:b w:val="0"/>
          <w:sz w:val="32"/>
        </w:rPr>
        <w:t>截至2024年12月31日，房屋2,567.88平方米，价值477.72万元。车辆2辆，价值31.34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768A1F9E">
      <w:pPr>
        <w:spacing w:line="640" w:lineRule="exact"/>
        <w:ind w:firstLine="640"/>
        <w:jc w:val="both"/>
        <w:outlineLvl w:val="2"/>
      </w:pPr>
      <w:r>
        <w:rPr>
          <w:rFonts w:ascii="黑体" w:hAnsi="黑体" w:eastAsia="黑体"/>
          <w:sz w:val="32"/>
        </w:rPr>
        <w:t>十一、预算绩效的情况说明</w:t>
      </w:r>
    </w:p>
    <w:p w14:paraId="7D2EF4F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4,103.81</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1,768.14</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25</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944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55</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768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14</w:t>
      </w:r>
      <w:r>
        <w:rPr>
          <w:rFonts w:ascii="仿宋_GB2312" w:hAnsi="仿宋_GB2312" w:eastAsia="仿宋_GB2312"/>
          <w:b w:val="0"/>
          <w:sz w:val="32"/>
        </w:rPr>
        <w:t>万元。预算绩效管理取得的成效：本单位项目绩效SM不予公开。发现的问题及原因：本单位项目绩效SM不予公开。下一步改进措施：本单位项目绩效SM不予公开。</w:t>
      </w:r>
    </w:p>
    <w:p w14:paraId="2E9EA58A">
      <w:r>
        <w:br w:type="page"/>
      </w:r>
    </w:p>
    <w:p w14:paraId="6349BC7D">
      <w:pPr>
        <w:spacing w:line="640" w:lineRule="exact"/>
        <w:ind w:firstLine="640"/>
        <w:jc w:val="both"/>
        <w:outlineLvl w:val="2"/>
      </w:pPr>
      <w:r>
        <w:rPr>
          <w:rFonts w:ascii="黑体" w:hAnsi="黑体" w:eastAsia="黑体"/>
          <w:sz w:val="32"/>
        </w:rPr>
        <w:t>十二、其他需说明的事项</w:t>
      </w:r>
    </w:p>
    <w:p w14:paraId="64AB561F">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本年本单位SM项目</w:t>
      </w:r>
      <w:r>
        <w:rPr>
          <w:rFonts w:hint="eastAsia" w:ascii="仿宋_GB2312" w:hAnsi="仿宋_GB2312" w:eastAsia="仿宋_GB2312"/>
          <w:b w:val="0"/>
          <w:sz w:val="32"/>
          <w:lang w:val="en-US" w:eastAsia="zh-CN"/>
        </w:rPr>
        <w:t>25</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944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55</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768</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14</w:t>
      </w:r>
      <w:r>
        <w:rPr>
          <w:rFonts w:ascii="仿宋_GB2312" w:hAnsi="仿宋_GB2312" w:eastAsia="仿宋_GB2312"/>
          <w:b w:val="0"/>
          <w:sz w:val="32"/>
        </w:rPr>
        <w:t>万元。</w:t>
      </w:r>
      <w:bookmarkStart w:id="0" w:name="_GoBack"/>
      <w:bookmarkEnd w:id="0"/>
    </w:p>
    <w:p w14:paraId="45F29C77">
      <w:pPr>
        <w:spacing w:line="580" w:lineRule="exact"/>
        <w:ind w:firstLine="640"/>
        <w:jc w:val="both"/>
      </w:pPr>
      <w:r>
        <w:rPr>
          <w:rFonts w:ascii="仿宋_GB2312" w:hAnsi="仿宋_GB2312" w:eastAsia="仿宋_GB2312"/>
          <w:b w:val="0"/>
          <w:sz w:val="32"/>
        </w:rPr>
        <w:t>本年度本单位整体绩效自评表不予公开。</w:t>
      </w:r>
    </w:p>
    <w:p w14:paraId="51AC6BAD">
      <w:r>
        <w:br w:type="page"/>
      </w:r>
    </w:p>
    <w:p w14:paraId="202698DE">
      <w:pPr>
        <w:spacing w:line="240" w:lineRule="auto"/>
        <w:jc w:val="center"/>
        <w:outlineLvl w:val="1"/>
      </w:pPr>
      <w:r>
        <w:rPr>
          <w:rFonts w:ascii="黑体" w:hAnsi="黑体" w:eastAsia="黑体"/>
          <w:sz w:val="32"/>
        </w:rPr>
        <w:t>第三部分 专业名词解释</w:t>
      </w:r>
    </w:p>
    <w:p w14:paraId="7A3186F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76B47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2A633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B790C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84F99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95EA4E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1F2F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FA35C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4F8A6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EBB65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73598A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F9D8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A3047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3706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AC9E66">
      <w:r>
        <w:br w:type="page"/>
      </w:r>
    </w:p>
    <w:p w14:paraId="70EA2465">
      <w:pPr>
        <w:spacing w:line="240" w:lineRule="auto"/>
        <w:jc w:val="center"/>
        <w:outlineLvl w:val="1"/>
      </w:pPr>
      <w:r>
        <w:rPr>
          <w:rFonts w:ascii="黑体" w:hAnsi="黑体" w:eastAsia="黑体"/>
          <w:sz w:val="32"/>
        </w:rPr>
        <w:t>第四部分 部门决算报表（见附表）</w:t>
      </w:r>
    </w:p>
    <w:p w14:paraId="1B097FAE">
      <w:pPr>
        <w:spacing w:line="240" w:lineRule="auto"/>
        <w:ind w:firstLine="640"/>
        <w:jc w:val="both"/>
      </w:pPr>
      <w:r>
        <w:rPr>
          <w:rFonts w:ascii="仿宋_GB2312" w:hAnsi="仿宋_GB2312" w:eastAsia="仿宋_GB2312"/>
          <w:b w:val="0"/>
          <w:sz w:val="32"/>
        </w:rPr>
        <w:t>一、《收入支出决算总表》</w:t>
      </w:r>
    </w:p>
    <w:p w14:paraId="12737714">
      <w:pPr>
        <w:spacing w:line="240" w:lineRule="auto"/>
        <w:ind w:firstLine="640"/>
        <w:jc w:val="both"/>
      </w:pPr>
      <w:r>
        <w:rPr>
          <w:rFonts w:ascii="仿宋_GB2312" w:hAnsi="仿宋_GB2312" w:eastAsia="仿宋_GB2312"/>
          <w:b w:val="0"/>
          <w:sz w:val="32"/>
        </w:rPr>
        <w:t>二、《收入决算表》</w:t>
      </w:r>
    </w:p>
    <w:p w14:paraId="517EE4F1">
      <w:pPr>
        <w:spacing w:line="240" w:lineRule="auto"/>
        <w:ind w:firstLine="640"/>
        <w:jc w:val="both"/>
      </w:pPr>
      <w:r>
        <w:rPr>
          <w:rFonts w:ascii="仿宋_GB2312" w:hAnsi="仿宋_GB2312" w:eastAsia="仿宋_GB2312"/>
          <w:b w:val="0"/>
          <w:sz w:val="32"/>
        </w:rPr>
        <w:t>三、《支出决算表》</w:t>
      </w:r>
    </w:p>
    <w:p w14:paraId="291B97A9">
      <w:pPr>
        <w:spacing w:line="240" w:lineRule="auto"/>
        <w:ind w:firstLine="640"/>
        <w:jc w:val="both"/>
      </w:pPr>
      <w:r>
        <w:rPr>
          <w:rFonts w:ascii="仿宋_GB2312" w:hAnsi="仿宋_GB2312" w:eastAsia="仿宋_GB2312"/>
          <w:b w:val="0"/>
          <w:sz w:val="32"/>
        </w:rPr>
        <w:t>四、《财政拨款收入支出决算总表》</w:t>
      </w:r>
    </w:p>
    <w:p w14:paraId="2C912BC4">
      <w:pPr>
        <w:spacing w:line="240" w:lineRule="auto"/>
        <w:ind w:firstLine="640"/>
        <w:jc w:val="both"/>
      </w:pPr>
      <w:r>
        <w:rPr>
          <w:rFonts w:ascii="仿宋_GB2312" w:hAnsi="仿宋_GB2312" w:eastAsia="仿宋_GB2312"/>
          <w:b w:val="0"/>
          <w:sz w:val="32"/>
        </w:rPr>
        <w:t>五、《一般公共预算财政拨款支出决算表》</w:t>
      </w:r>
    </w:p>
    <w:p w14:paraId="1487A5F8">
      <w:pPr>
        <w:spacing w:line="240" w:lineRule="auto"/>
        <w:ind w:firstLine="640"/>
        <w:jc w:val="both"/>
      </w:pPr>
      <w:r>
        <w:rPr>
          <w:rFonts w:ascii="仿宋_GB2312" w:hAnsi="仿宋_GB2312" w:eastAsia="仿宋_GB2312"/>
          <w:b w:val="0"/>
          <w:sz w:val="32"/>
        </w:rPr>
        <w:t>六、《一般公共预算财政拨款基本支出决算表》</w:t>
      </w:r>
    </w:p>
    <w:p w14:paraId="4564FE01">
      <w:pPr>
        <w:spacing w:line="240" w:lineRule="auto"/>
        <w:ind w:firstLine="640"/>
        <w:jc w:val="both"/>
      </w:pPr>
      <w:r>
        <w:rPr>
          <w:rFonts w:ascii="仿宋_GB2312" w:hAnsi="仿宋_GB2312" w:eastAsia="仿宋_GB2312"/>
          <w:b w:val="0"/>
          <w:sz w:val="32"/>
        </w:rPr>
        <w:t>七、《政府性基金预算财政拨款收入支出决算表》</w:t>
      </w:r>
    </w:p>
    <w:p w14:paraId="2C48CAEF">
      <w:pPr>
        <w:spacing w:line="240" w:lineRule="auto"/>
        <w:ind w:firstLine="640"/>
        <w:jc w:val="both"/>
      </w:pPr>
      <w:r>
        <w:rPr>
          <w:rFonts w:ascii="仿宋_GB2312" w:hAnsi="仿宋_GB2312" w:eastAsia="仿宋_GB2312"/>
          <w:b w:val="0"/>
          <w:sz w:val="32"/>
        </w:rPr>
        <w:t>八、《国有资本经营预算财政拨款收入支出决算表》</w:t>
      </w:r>
    </w:p>
    <w:p w14:paraId="4F59A5C9">
      <w:pPr>
        <w:spacing w:line="240" w:lineRule="auto"/>
        <w:ind w:firstLine="640"/>
        <w:jc w:val="both"/>
      </w:pPr>
      <w:r>
        <w:rPr>
          <w:rFonts w:ascii="仿宋_GB2312" w:hAnsi="仿宋_GB2312" w:eastAsia="仿宋_GB2312"/>
          <w:b w:val="0"/>
          <w:sz w:val="32"/>
        </w:rPr>
        <w:t>九、《财政拨款“三公”经费支出决算表》</w:t>
      </w:r>
    </w:p>
    <w:p w14:paraId="3AA883C6">
      <w:pPr>
        <w:spacing w:line="240" w:lineRule="auto"/>
        <w:ind w:firstLine="640"/>
        <w:jc w:val="both"/>
      </w:pPr>
    </w:p>
    <w:p w14:paraId="774B36A6">
      <w:pPr>
        <w:spacing w:line="240" w:lineRule="auto"/>
        <w:ind w:firstLine="640"/>
        <w:jc w:val="both"/>
      </w:pPr>
    </w:p>
    <w:p w14:paraId="0A57A5DD">
      <w:pPr>
        <w:spacing w:line="240" w:lineRule="auto"/>
        <w:ind w:firstLine="640"/>
        <w:jc w:val="both"/>
      </w:pPr>
    </w:p>
    <w:p w14:paraId="32938670">
      <w:pPr>
        <w:spacing w:line="240" w:lineRule="auto"/>
        <w:ind w:firstLine="640"/>
        <w:jc w:val="both"/>
      </w:pPr>
    </w:p>
    <w:p w14:paraId="15C27D5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A8C008-76A1-4C5B-A83D-CFD0C7F660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5F6D50D-B23D-4997-9857-9AB7ED15DE17}"/>
  </w:font>
  <w:font w:name="仿宋_GB2312">
    <w:panose1 w:val="02010609030101010101"/>
    <w:charset w:val="86"/>
    <w:family w:val="auto"/>
    <w:pitch w:val="default"/>
    <w:sig w:usb0="00000001" w:usb1="080E0000" w:usb2="00000000" w:usb3="00000000" w:csb0="00040000" w:csb1="00000000"/>
    <w:embedRegular r:id="rId3" w:fontKey="{2C6E561C-020A-404E-B47D-7DB3C7700003}"/>
  </w:font>
  <w:font w:name="楷体_GB2312">
    <w:panose1 w:val="02010609030101010101"/>
    <w:charset w:val="86"/>
    <w:family w:val="auto"/>
    <w:pitch w:val="default"/>
    <w:sig w:usb0="00000001" w:usb1="080E0000" w:usb2="00000000" w:usb3="00000000" w:csb0="00040000" w:csb1="00000000"/>
    <w:embedRegular r:id="rId4" w:fontKey="{BF9849F9-B438-448A-9C39-25560D3798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65B19"/>
    <w:rsid w:val="2C1965E9"/>
    <w:rsid w:val="2D1136DF"/>
    <w:rsid w:val="2DAE0E44"/>
    <w:rsid w:val="2FD27414"/>
    <w:rsid w:val="313F1D52"/>
    <w:rsid w:val="318029AB"/>
    <w:rsid w:val="31C63837"/>
    <w:rsid w:val="326F0A17"/>
    <w:rsid w:val="3277581B"/>
    <w:rsid w:val="344A249E"/>
    <w:rsid w:val="34E95E89"/>
    <w:rsid w:val="38006E2C"/>
    <w:rsid w:val="3914510A"/>
    <w:rsid w:val="3B1220C9"/>
    <w:rsid w:val="3D5275AC"/>
    <w:rsid w:val="3EA7725F"/>
    <w:rsid w:val="3EC014A1"/>
    <w:rsid w:val="3F84669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750A98"/>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6748</Words>
  <Characters>7620</Characters>
  <Lines>0</Lines>
  <Paragraphs>0</Paragraphs>
  <TotalTime>9</TotalTime>
  <ScaleCrop>false</ScaleCrop>
  <LinksUpToDate>false</LinksUpToDate>
  <CharactersWithSpaces>7630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2025-09-23T04:25:37Z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