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111A80">
      <w:pPr>
        <w:spacing w:line="570" w:lineRule="exact"/>
        <w:jc w:val="center"/>
        <w:rPr>
          <w:rFonts w:ascii="华文中宋" w:hAnsi="华文中宋" w:eastAsia="华文中宋" w:cs="宋体"/>
          <w:b/>
          <w:kern w:val="0"/>
          <w:sz w:val="52"/>
          <w:szCs w:val="52"/>
        </w:rPr>
      </w:pPr>
    </w:p>
    <w:p w14:paraId="29FC78F1">
      <w:pPr>
        <w:spacing w:line="570" w:lineRule="exact"/>
        <w:jc w:val="center"/>
        <w:rPr>
          <w:rFonts w:ascii="华文中宋" w:hAnsi="华文中宋" w:eastAsia="华文中宋" w:cs="宋体"/>
          <w:b/>
          <w:kern w:val="0"/>
          <w:sz w:val="52"/>
          <w:szCs w:val="52"/>
        </w:rPr>
      </w:pPr>
    </w:p>
    <w:p w14:paraId="273858E3">
      <w:pPr>
        <w:spacing w:line="570" w:lineRule="exact"/>
        <w:jc w:val="center"/>
        <w:rPr>
          <w:rFonts w:ascii="华文中宋" w:hAnsi="华文中宋" w:eastAsia="华文中宋" w:cs="宋体"/>
          <w:b/>
          <w:kern w:val="0"/>
          <w:sz w:val="52"/>
          <w:szCs w:val="52"/>
        </w:rPr>
      </w:pPr>
    </w:p>
    <w:p w14:paraId="0E2EDCBF">
      <w:pPr>
        <w:spacing w:line="570" w:lineRule="exact"/>
        <w:jc w:val="center"/>
        <w:rPr>
          <w:rFonts w:ascii="华文中宋" w:hAnsi="华文中宋" w:eastAsia="华文中宋" w:cs="宋体"/>
          <w:b/>
          <w:kern w:val="0"/>
          <w:sz w:val="52"/>
          <w:szCs w:val="52"/>
        </w:rPr>
      </w:pPr>
    </w:p>
    <w:p w14:paraId="4DA66269">
      <w:pPr>
        <w:spacing w:line="570" w:lineRule="exact"/>
        <w:jc w:val="both"/>
        <w:rPr>
          <w:rFonts w:ascii="华文中宋" w:hAnsi="华文中宋" w:eastAsia="华文中宋" w:cs="宋体"/>
          <w:b/>
          <w:kern w:val="0"/>
          <w:sz w:val="52"/>
          <w:szCs w:val="52"/>
        </w:rPr>
      </w:pPr>
    </w:p>
    <w:p w14:paraId="73136A62">
      <w:pPr>
        <w:spacing w:line="570" w:lineRule="exact"/>
        <w:jc w:val="center"/>
        <w:rPr>
          <w:rFonts w:ascii="华文中宋" w:hAnsi="华文中宋" w:eastAsia="华文中宋" w:cs="宋体"/>
          <w:b/>
          <w:kern w:val="0"/>
          <w:sz w:val="52"/>
          <w:szCs w:val="52"/>
        </w:rPr>
      </w:pPr>
    </w:p>
    <w:p w14:paraId="09858B5F">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6FEEABCC">
      <w:pPr>
        <w:spacing w:line="570" w:lineRule="exact"/>
        <w:jc w:val="center"/>
        <w:rPr>
          <w:rFonts w:ascii="华文中宋" w:hAnsi="华文中宋" w:eastAsia="华文中宋" w:cs="宋体"/>
          <w:b/>
          <w:kern w:val="0"/>
          <w:sz w:val="52"/>
          <w:szCs w:val="52"/>
        </w:rPr>
      </w:pPr>
    </w:p>
    <w:p w14:paraId="407DACE1">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6FC70F4C">
      <w:pPr>
        <w:spacing w:line="570" w:lineRule="exact"/>
        <w:jc w:val="center"/>
        <w:rPr>
          <w:rFonts w:hAnsi="宋体" w:eastAsia="仿宋_GB2312" w:cs="宋体"/>
          <w:kern w:val="0"/>
          <w:sz w:val="30"/>
          <w:szCs w:val="30"/>
        </w:rPr>
      </w:pPr>
    </w:p>
    <w:p w14:paraId="41E37EC5">
      <w:pPr>
        <w:spacing w:line="570" w:lineRule="exact"/>
        <w:jc w:val="center"/>
        <w:rPr>
          <w:rFonts w:hAnsi="宋体" w:eastAsia="仿宋_GB2312" w:cs="宋体"/>
          <w:kern w:val="0"/>
          <w:sz w:val="30"/>
          <w:szCs w:val="30"/>
        </w:rPr>
      </w:pPr>
    </w:p>
    <w:p w14:paraId="096000AF">
      <w:pPr>
        <w:spacing w:line="570" w:lineRule="exact"/>
        <w:jc w:val="center"/>
        <w:rPr>
          <w:rFonts w:hAnsi="宋体" w:eastAsia="仿宋_GB2312" w:cs="宋体"/>
          <w:kern w:val="0"/>
          <w:sz w:val="30"/>
          <w:szCs w:val="30"/>
        </w:rPr>
      </w:pPr>
    </w:p>
    <w:p w14:paraId="12C24C72">
      <w:pPr>
        <w:spacing w:line="570" w:lineRule="exact"/>
        <w:jc w:val="center"/>
        <w:rPr>
          <w:rFonts w:hAnsi="宋体" w:eastAsia="仿宋_GB2312" w:cs="宋体"/>
          <w:kern w:val="0"/>
          <w:sz w:val="30"/>
          <w:szCs w:val="30"/>
        </w:rPr>
      </w:pPr>
    </w:p>
    <w:p w14:paraId="5D1AD0E1">
      <w:pPr>
        <w:spacing w:line="570" w:lineRule="exact"/>
        <w:jc w:val="center"/>
        <w:rPr>
          <w:rFonts w:hAnsi="宋体" w:eastAsia="仿宋_GB2312" w:cs="宋体"/>
          <w:kern w:val="0"/>
          <w:sz w:val="30"/>
          <w:szCs w:val="30"/>
        </w:rPr>
      </w:pPr>
    </w:p>
    <w:p w14:paraId="309A1A9B">
      <w:pPr>
        <w:spacing w:line="570" w:lineRule="exact"/>
        <w:jc w:val="center"/>
        <w:rPr>
          <w:rFonts w:hAnsi="宋体" w:eastAsia="仿宋_GB2312" w:cs="宋体"/>
          <w:kern w:val="0"/>
          <w:sz w:val="30"/>
          <w:szCs w:val="30"/>
        </w:rPr>
      </w:pPr>
    </w:p>
    <w:p w14:paraId="1A59F201">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2024年网络二级等级保护建设费用，备用发电机采购经费（县级）</w:t>
      </w:r>
    </w:p>
    <w:p w14:paraId="25057A2A">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阿克陶县融媒体中心（阿克陶县广播电视台）</w:t>
      </w:r>
    </w:p>
    <w:p w14:paraId="4985258D">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阿克陶县宣传部</w:t>
      </w:r>
    </w:p>
    <w:p w14:paraId="2431A4F8">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吾布里卡斯木·玉麦尔</w:t>
      </w:r>
    </w:p>
    <w:p w14:paraId="50B55F79">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Fonts w:hint="eastAsia" w:ascii="仿宋" w:hAnsi="仿宋" w:eastAsia="仿宋" w:cs="仿宋"/>
          <w:kern w:val="0"/>
          <w:sz w:val="36"/>
          <w:szCs w:val="36"/>
          <w:lang w:eastAsia="zh-CN"/>
        </w:rPr>
        <w:t>2025年4月24日</w:t>
      </w:r>
      <w:bookmarkStart w:id="0" w:name="_GoBack"/>
      <w:bookmarkEnd w:id="0"/>
    </w:p>
    <w:p w14:paraId="1E87ED62">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083D7CA6">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5D1B0C16">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7626DF0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（一）项目概况。包括项目背景、主要内容及实施情况、资金投入和使用情况等。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2024年网络二级等级保护建设费用，备用发电机采购资金（县级）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总体描述申请项目预算资金数额、用途和效果。 项目资金60万元，其中：财政资金60万元，其他资金0万元。购买一套柴油发电机，实施播出系统二级等级保护项目，通过该项目的实施，确保网络安全及安全播出。（2）实施情况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阿克陶县融媒体中心 2024年网络二级等级保护建设费用，备用发电机采购资金项目计划使用资金60 万元，资金来源于阿克陶县县级资金。该项目资金使用方向涵盖网络安全技术支持服务、一个二级信息系统等保测评服务以及等保整改服务，其中等保整改服务包括编制等保整改方案、实施机房物理环境改造以及提供等保整改所需设备等。从这些项目可以总结出，网络二级等级保护建设费用的实施首先与项目的具体业务需求紧密相关。例如电子政务外网项目涉及众多机构部门的网络连接与信息传输，对网络安全防护系统的全面性要求较高，因此建设费用相对较高且涵盖多个系统的构建。而旅游公共服务平台项目，其业务性质决定了可能在某些安全防护方面的侧重点不同，费用规模也有所差异。其次，资金管理的规范性至关重要。各个项目都严格遵守相关法规政策进行资金的预算、招投标以及使用监管，确保每一笔资金都合理合规地用于提升网络安全等级保护水平，以达到网络安全等级保护第二级的各项要求，为信息系统的稳定运行和信息安全提供有力保障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主要由阿克陶县融媒体中心（阿克陶县广播电视台）负责实施。阿克陶县融媒体中心（阿克陶县广播电视台）无下属预算单位。下设4个处室，分别是：综合办、编辑制作部、记者采访部、播出技术部。阿克陶县融媒体中心（阿克陶县广播电视台）编制数36，实有人数30人，其中：事业编制30人。 退休22人，有无人增加。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4.资金投入和使用情况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2024年单位申报网络二级等级保护建设费用，备用发电机采购资金（县级）项目，为特定目标类资金，用以解决信息系统的稳定运行和信息安全提供有力保障，最终确定项目资金总数为60万元。其中：中央财政拨款0万元，自治区财政拨款0万元，本级财政拨款60万元，上年结余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截至2024年12月31日，实际支出10万元，预算执行率16.67%。</w:t>
      </w:r>
      <w:r>
        <w:rPr>
          <w:rStyle w:val="18"/>
          <w:rFonts w:hint="eastAsia" w:ascii="仿宋" w:hAnsi="仿宋" w:eastAsia="仿宋" w:cs="仿宋"/>
          <w:b w:val="0"/>
          <w:bCs w:val="0"/>
          <w:spacing w:val="-4"/>
          <w:sz w:val="32"/>
          <w:szCs w:val="32"/>
        </w:rPr>
        <w:cr/>
      </w:r>
    </w:p>
    <w:p w14:paraId="47B5188D">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17A6389B">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保障2024年度购买一套柴油发电机，实施播出系统二级等级保护项目，通过该项目的实施，确保网络安全及安全播出，通过实施播出系统二级等级保护（等保 2.0）项目，建立符合国家网络安全等级保护标准的安全防护体系，全面提升播出系统的网络安全防护能力、业务连续性保障能力和合规管理水平，确保播出系统安全稳定运行，杜绝因网络安全事件导致的播出中断、数据泄露等事故，为安全播出和公共服务提供坚实保障。通过备用发电机的采购、安装及运维，构建稳定可靠的应急电源保障体系，确保在市电中断等突发情况下，关键业务（如播出系统、数据中心等）持续运行，杜绝因断电导致的业务中断、安全事故及经济损失，同时实现资金使用的经济性、设备管理的规范性和效益发挥的长效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“网络二级等级保护数量（批）”指标，预期指标值为1批；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“采购发射机数量（套）”指标，预期指标值为1套。</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“资金使用合规率（%）”指标，预期指标值为＝100%；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“资金拨付及时率（%）”指标，预期指标值为=100%。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④成本指标    “网络二级等级保护成本”指标，预期指标值为&lt;=40万元；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“采购发射机成本”指标，预期指标值为&lt;=20万元；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①经济效益指标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②社会效益指标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“提升广播电视节目发射质量”指标，预期指标值为“提升”；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“提升群众精神文化生活质量”指标，预期指标值为“提升”；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③可持续影响指标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“受益群众满意度（%）”指标，预期指标值为≥95%。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“受益职工满意度(%)”指标，预期指标值为≥95%。</w:t>
      </w:r>
    </w:p>
    <w:p w14:paraId="5E5DDDB1">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31485F10">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和</w:t>
      </w:r>
      <w:r>
        <w:rPr>
          <w:rStyle w:val="18"/>
          <w:rFonts w:hint="eastAsia" w:ascii="楷体" w:hAnsi="楷体" w:eastAsia="楷体" w:cs="楷体"/>
          <w:bCs w:val="0"/>
          <w:spacing w:val="-4"/>
          <w:sz w:val="32"/>
          <w:szCs w:val="32"/>
        </w:rPr>
        <w:t>范围。</w:t>
      </w:r>
    </w:p>
    <w:p w14:paraId="245B60F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1.绩效评价目的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2.绩效评价对象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本次评价范围涵盖项目总体绩效目标、各项绩效指标完成情况以及预算执行情况。覆盖项目预算资金支出的所有内容进行评价。包括项目决策、项目实施和项目成果验收流程等。</w:t>
      </w:r>
    </w:p>
    <w:p w14:paraId="074693C7">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11C1D1D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绩效评价原则、评价指标体系、评价方法、评价标准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1.绩效评价原则     本次评价坚持定量优先、定量与定性相结合的方式，始终遵循科学规范、公正公开、分级分类、绩效相关的基本原则。通过对2024年网络二级等级保护建设费用，备用发电机采购资金（县级）项目资金进行绩效评价，旨在了解项目资金使用和项目管理情况、取得的成绩及效益，进而分析在政策执行、预算资金安排、项目实施等方面存在的问题并提出针对性建议。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（1）科学公正。绩效评价应当运用科学合理的方法，按照规范的程序，对项目绩效进行客观、公正的反映。     （2）统筹兼顾。单位自评、部门评价和财政评价应职责明确，各有侧重，相互衔接。单位自评应由项目单位自主实施，即“谁支出、谁自评”。部门评价和财政评价应在单位自评的基础上开展，必要时可委托第三方机构实施。     （3）激励约束。绩效评价结果应与预算安排、政策调整、改进管理实质性挂钩，体现奖优罚劣和激励相容导向，有效要安排、低效要压减、无效要问责。     （4）公开透明。绩效评价结果应依法依规公开，并自觉接受社会监督。      2.绩效评价指标体系      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二级指标为：项目立项、绩效目标、资金投入、资金管理、组织实施、产出数量、产出质量、产出时效、产出成本、项目效益。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3.绩效评价方法     本次绩效评价方法的选用坚持简便有效的原则采用成本效益分析法、比较法、综合指数评价法、公众评判法等多种方法，具体评价方法如下：     （1）成本效益分析法，是指将一定时期内总成本与总效益进行对比分析，以评价绩效目标实现程度。     （2）比较法，通过整理本项目相关资料和数据，评价数量指标的完成情况；通过分析项目的实施情况与绩效目标实现情况，评价项目实施的效果；通过分析项目资金使用情况及产生的效果，评价预算资金分配的合理性。     （3）综合指数评价法，是指把各项绩效指标的实际水平，对照评价标准值，分别计算各项指标评价得分，再按照设定的各项指标权数计算出综合评价得分，分析评价绩效目标实现情况的评价方法。     （4）公众评判法，评价组采用实地访谈、远程访谈相结合方式，对本项目的实施情况进行充分调研，了解掌握资金分配、资金管理、资金使用、制度建设、制度执行情况。采用问卷调查方式，对受益对象开展满意度调查，进行综合评价。     4.绩效评价标准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0D1C5CA9">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529C253E">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曹永祺任评价组组长，职务为常务副部长，绩效评价工作职责为负责全盘工作。     古力米日？依米尔艾山任评价组副组长，绩效评价工作职责为对项目实施情况进行实地调查。     各预算项目科室负责人任评价组成员，绩效评价工作职责为负责资料审核等工作。     第二阶段：组织实施。经评价组通过实地调研等方式，采用综合分析法对项目的决策、管理、绩效进行的综合评价分析。     第三阶段：分析评价。首先按照指标体系进行定量、定性分析。其次开展量化打分、综合评价工作，形成初步评价结论。最后归纳整体项目情况与存在问题，撰写部门绩效评价报告。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项目撰写绩效评价报告，按照财政局大平台绩效系统中统一格式和文本框架撰写绩效评价报告。     第五阶段：归集档案     建立和落实档案管理制度，将项目相关资料存档，包括但不限于：评价项目基本情况和相关文件、评价实施方案、项目支付资料等相关档案。</w:t>
      </w:r>
    </w:p>
    <w:p w14:paraId="4DF93E0A">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7CFB507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评价组对照项目绩效评价指标体系，从决策、过程、产出和效益四个维度，通过数据采集、实地调研和问卷访谈等方式，对“2024年网络二级等级保护建设费用，备用发电机采购资金（县级）”项目绩效进行客观公正的评价，本项目总得分为87.08分，绩效评级属于“良”。其中，决策类指标得分20分，过程类指标得分15.83分，产出类指标得分31.25分，效益类指标得分20分。     （二）综合评价结论     经评价，本项目达到了年初设立的绩效目标，在实施过程中取得了良好的成效，具体表现在：保障了村干部待遇发放，充分调动村干部工作的积极性和主动性，提高村干部生活质量，持续稳定人心，强化基层组织建设。项目年初总体绩效目标已完成，达到项目总体目标，持续巩固基层政权建设，打造一批优秀，精干，有能力的村干部队伍，为党的基层政权建设，促进乡村振兴打下坚实基础。</w:t>
      </w:r>
    </w:p>
    <w:p w14:paraId="62088380">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5BBA04FA">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56B92D29">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     （1）立项依据充分性：一、网络二级等级保护建设费用立项依据政策法规强制要求：根据《网络安全法》等相关法律法规，县级各类政务部门、关键信息基础设施运营单位等，只要其网络系统承载一定规模业务及涉及公民、法人和其他组织的合法权益，均需开展网络安全等级保护工作，达到相应等级标准二依据《网络安全法》以及国家网络安全等级保护制度相关规定，县级融媒体中心作为信息传播的关键枢纽，其网络系统承载着大量新闻采编、制作、发布及公众互动等重要业务，广泛涉及公民、法人和其他组织的信息传播权益，必须开展网络安全等级保护工作并达到相应标准。例如，[具体省份] 省委宣传部、省网信办等多部门联合发布的《关于加强县级融媒体中心网络安全保障工作的通知》明确指出，县级融媒体中心的网络系统需达到网络安全等级保护第二级要求。若未能依规落实，将面临责令限期整改、警告等行政处罚，严重情况下还可能被暂停业务，这无疑会对融媒体中心的日常运营以及政府宣传工作的正常开展造成极大阻碍，损害其在公众心中的公信力。、二、备用发电机采购资金立项依据，政策法规强制要求：依据《网络安全法》以及国家网络安全等级保护制度相关规定，县级融媒体中心作为信息传播的关键枢纽，其网络系统承载着大量新闻采编、制作、发布及公众互动等重要业务，广泛涉及公民、法人和其他组织的信息传播权益，必须开展网络安全等级保护工作并达到相应标准。例如，[具体份] 县委宣传部、县网信办等多部门联合发布的《关于加强县级融媒体中心网络安全保障工作的通知》明确指出，县级融媒体中心的网络系统需达到网络安全等级保护第二级要求。若未能依规落实，将面临责令限期整改、警告等行政处罚，严重情况下还可能被暂停业务，这无疑会对融媒体中心的日常运营以及政府宣传工作的正常开展造成极大阻碍，损害其在公众心中的公信力。并结合阿克陶县融媒体中心（阿克陶县广播电视台）职责组织实施。围绕组织部年度工作重点和工作计划制定经费预算，根据评分标准，该指标不扣分，得3分。     （2）立项程序规范性：根据决策依据编制工作计划和经费预算，经过与阿克陶县融媒体中心部务会进行沟通、筛选确定经费预算计划，和研究确定最终预算方案，根据评分标准，该指标不扣分，得2分。     （3）绩效目标合理性：制定了实施方案，明确了总体思路及目标、并对任务进行了详细分解，对目标进行了细化，根据评分标准，该指标不扣分，得3分。     （4）绩效指标明确性：将项目绩效目标细化分解为具体的绩效指标，根据评分标准，该指标不扣分，得2分。     （5）预算编制科学性：科学的成本估算方法：广泛采用市场调研法，针对硬件设备、软件产品及专业服务，组织专业人员对多家供应商、服务商进行询价。通过对比不同供应商的产品质量、服务水平及价格，筛选出性价比高的合作对象，并以此为基础制定预算价格。例如，在防火墙采购询价过程中，对市场上主流品牌的同类型产品进行详细对比，包括产品性能参数、用户评价、售后服务响应时间等，综合考量后确定预算单价。同时，运用历史数据分析法，参考过往类似项目的成本数据，结合当前市场物价波动、技术更新等因素进行调整。对 2024 年网络二级等级保护建设费用进行合理估算。此外，还邀请行业专家进行成本评估，专家凭借丰富的经验和对行业发展趋势的精准把握，对预算编制过程中可能存在的遗漏或不合理之处进行指正，进一步提高成本估算的准确性。备用发电机的运维成本是采购资金预算编制中不可忽视的一部分。在预算编制过程中，对发电机的日常维护、定期保养、易损件更换以及可能出现的故障维修等费用进行了长期预估。参考发电机生产厂家提供的维护保养手册，结合本地同类设备的运维经验，确定每年的日常维护费用，包括机油更换、滤清器清洗、设备检查等项目的费用。通过对长期运维成本的合理预估，将其纳入采购资金预算，确保备用发电机在整个使用周期内的资金保障充足，避免因后期运维费用不足影响设备正常运行。，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（6）资金分配合理性：资金分配按照《关于落实&lt;关于加强阿克陶县财政局的实施方案》的通知（陶财预【2024】001号）资金分配与实际相适应，根据评分标准，该指标不扣分，得5分。</w:t>
      </w:r>
    </w:p>
    <w:p w14:paraId="0F5B6C38">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301FEC5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项目过程类指标包括资金管理和组织实施两方面的内容，由5个三级指标构成，权重分为20分，实际得分15.83分，得分率为79.15%。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（1）资金到位率：该项目总投资60万元，县本级财力安排下达60万元，财政预算资金足额安排，根据评分标准，该指标不扣分，得5分。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预算执行率：本项目申请预算金额为60万元，预算批复实际下达金额为60万元，截至2024年12月31日，资金执行10万元，资金执行率16.67%。项目资金支出总体能够按照预算执行，但资金执行率存在一定偏差，预算执行不足，该指标扣4.17分，得0.83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融媒体中心年初依据业务需求和项目规划，编制详尽的网络二级等级保护建设费用及备用发电机采购资金预算，并经上级主管部门及财政部门审核批准。在预算执行过程中，严格按照既定预算科目和金额进行支出，杜绝超预算、无预算支出情况。对于网络二级等级保护建设项目，如软件授权费用，按照预算中规定的软件功能模块、授权期限及对应金额进行支付，若因特殊情况需调整预算，如因业务系统升级需增加软件授权数量，严格履行预算调整审批流程，经技术人员论证、财务部门审核、单位领导集体决策后，报上级主管部门及财政部门审批，待批准后方可调整预算并执行，确保资金使用在预算框架内规范运行。备用发电机采购资金同样按照预算安排，从设备购置、运输、安装调试到配套设施建设，各项费用支出均与预算内容相符，保障资金使用的计划性和规范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（4）管理制度健全性：该项目严格按照《阿克陶县融媒体中心财务制度》及资金相关的制度和管理规定实施，对财政专项资金进行严格管理，基本做到了专款专用，根据评分标准，该指标不扣分，得2分。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负责科室和部门提出经费预算支出可行性方案，通过部务会会议研究执行，财务对资金的使用合法合规性进行监督，年底对资金使用效果进行自评，根据评分标准，该指标不扣分，得3分。</w:t>
      </w:r>
    </w:p>
    <w:p w14:paraId="52F05DD5">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0070C03B">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项目产出类指标包括产出数量、产出质量、产出时效、产出成本四方面的内容，由6个三级指标构成，权重分为40分，实际得分31.25分，得分率为78.13%。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（1）对于“产出数量” 网络二级等级保护数量1批，与预期目标一致，根据评分标准，该指标不扣分，得5分。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采购发射机数量1套，与预期目标一致，根据评分标准，该指标不扣分，得5分。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资金使用合规率100%，与预期目标一致，根据评分标准，该指标不扣分，得10分。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（3）对于“产出时效”     资金拨付及时率100%，与预期目标一致，根据评分标准，该指标不扣分，得10分。     （4）对于“产出成本”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网络二级等级保护成本10万元，与预期目标存在偏差，根据评分标准，该指标扣3.75分，得1.25分；采购发射机成本20万元，与预期目标存在偏差，根据评分标准，该指标扣5分，得0分。</w:t>
      </w:r>
    </w:p>
    <w:p w14:paraId="16C4A030">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1FB19533">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项目效益类指标包括项目效益2个方面的内容，由4个三级指标构成，权重分为20分，实际得分20分，得分率为100%。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（1）实施效益指标：     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提升广播电视节目发射质量，与预期指标一致，根据评分标准，该指标不扣分，得5分。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提升群众精神文化生活质量，与预期指标一致，根据评分标准，该指标不扣分，得5分。     </w:t>
      </w:r>
    </w:p>
    <w:p w14:paraId="228D265C">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（2）满意度指标：     对于“满意度指标”     受益群众满意度100%，与预期目标一致，根据评分标准，该指标不扣分，得5分；受益职工满意度100%，与预期目标一致，根据评分标准，该指标不扣分，得5分。</w:t>
      </w:r>
    </w:p>
    <w:p w14:paraId="14805F19">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五、主要经验及做法、存在的问题及原因分析</w:t>
      </w:r>
    </w:p>
    <w:p w14:paraId="782CDA0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不断完善各项预算管理制度，根据新形势和新要求，结合不断出台的各项制度，制定相应的预算管理制度。强化预算管理，事前必编预算，控制经费使用，使用必问绩效，将绩效管理贯穿于预算编制、执行及决算等环节。     2．加强宣传，加强对各项制度的执行力度，杜绝有令不行、有禁不止的情况发生。     （二）存在问题及原因分析     一是对预算执行率不足，至今具体执行未严格按照计划进行，未严格按月及时发放到位。二是对项目绩效评价整体认识不足，重视程度不够，三是绩效评价工作整体缺乏监督，对绩效评价的指标设立合理性存在一定偏差。</w:t>
      </w:r>
    </w:p>
    <w:p w14:paraId="36473195">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六、有关建议</w:t>
      </w:r>
    </w:p>
    <w:p w14:paraId="2566058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1.绩效管理方面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目标设置是预算批复和预算安排的前置条件，是实施绩效监控、开展绩效评价等工作的重要基础和依据，统领预算绩效管理。建议预算单位严格按照自治区印发的相关通知要求，切实提升绩效目标和指标的编制水平，强化目标对项目实施的约束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2.资金管理方面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建议预算单位要树立起预算执行主体责任意识和效率意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     3.项目管理方面     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14:paraId="380D6633">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七、其他需要说明的问题</w:t>
      </w:r>
    </w:p>
    <w:p w14:paraId="5C34C64B">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BACE875-EA66-49F6-A736-EFCE0633505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CE7F176A-A9A6-4ECD-ABE1-B2538CCBC04D}"/>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embedRegular r:id="rId3" w:fontKey="{00E5266B-4ED2-4838-A715-A46E1795C89F}"/>
  </w:font>
  <w:font w:name="方正小标宋_GBK">
    <w:panose1 w:val="02000000000000000000"/>
    <w:charset w:val="86"/>
    <w:family w:val="script"/>
    <w:pitch w:val="default"/>
    <w:sig w:usb0="A00002BF" w:usb1="38CF7CFA" w:usb2="00082016" w:usb3="00000000" w:csb0="00040001" w:csb1="00000000"/>
    <w:embedRegular r:id="rId4" w:fontKey="{65975CC0-5698-4250-8334-8A82A31534BD}"/>
  </w:font>
  <w:font w:name="仿宋_GB2312">
    <w:panose1 w:val="02010609030101010101"/>
    <w:charset w:val="86"/>
    <w:family w:val="modern"/>
    <w:pitch w:val="default"/>
    <w:sig w:usb0="00000001" w:usb1="080E0000" w:usb2="00000000" w:usb3="00000000" w:csb0="00040000" w:csb1="00000000"/>
    <w:embedRegular r:id="rId5" w:fontKey="{D9B31940-9567-4907-8EA1-43BF2B793222}"/>
  </w:font>
  <w:font w:name="楷体">
    <w:panose1 w:val="02010609060101010101"/>
    <w:charset w:val="86"/>
    <w:family w:val="modern"/>
    <w:pitch w:val="default"/>
    <w:sig w:usb0="800002BF" w:usb1="38CF7CFA" w:usb2="00000016" w:usb3="00000000" w:csb0="00040001" w:csb1="00000000"/>
    <w:embedRegular r:id="rId6" w:fontKey="{0272266B-69C8-456D-9D1A-2E47028AD976}"/>
  </w:font>
  <w:font w:name="方正仿宋_GBK">
    <w:panose1 w:val="02000000000000000000"/>
    <w:charset w:val="86"/>
    <w:family w:val="auto"/>
    <w:pitch w:val="default"/>
    <w:sig w:usb0="A00002BF" w:usb1="38CF7CFA" w:usb2="00082016" w:usb3="00000000" w:csb0="00040001" w:csb1="00000000"/>
    <w:embedRegular r:id="rId7" w:fontKey="{5E095594-1FAE-43B0-8ECE-44600291F619}"/>
  </w:font>
  <w:font w:name="仿宋">
    <w:panose1 w:val="02010609060101010101"/>
    <w:charset w:val="86"/>
    <w:family w:val="modern"/>
    <w:pitch w:val="default"/>
    <w:sig w:usb0="800002BF" w:usb1="38CF7CFA" w:usb2="00000016" w:usb3="00000000" w:csb0="00040001" w:csb1="00000000"/>
    <w:embedRegular r:id="rId8" w:fontKey="{2E137209-7883-4825-A4D2-B1BDE908FB69}"/>
  </w:font>
  <w:font w:name="方正楷体_GBK">
    <w:altName w:val="微软雅黑"/>
    <w:panose1 w:val="00000000000000000000"/>
    <w:charset w:val="86"/>
    <w:family w:val="auto"/>
    <w:pitch w:val="default"/>
    <w:sig w:usb0="00000000" w:usb1="00000000" w:usb2="00000000" w:usb3="00000000" w:csb0="00040000" w:csb1="00000000"/>
    <w:embedRegular r:id="rId9" w:fontKey="{03C46F7C-E978-4E27-B8AC-470F2D40548E}"/>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8949B22">
        <w:pPr>
          <w:pStyle w:val="12"/>
          <w:jc w:val="center"/>
        </w:pPr>
        <w:r>
          <w:fldChar w:fldCharType="begin"/>
        </w:r>
        <w:r>
          <w:instrText xml:space="preserve">PAGE   \* MERGEFORMAT</w:instrText>
        </w:r>
        <w:r>
          <w:fldChar w:fldCharType="separate"/>
        </w:r>
        <w:r>
          <w:rPr>
            <w:lang w:val="zh-CN"/>
          </w:rPr>
          <w:t>1</w:t>
        </w:r>
        <w:r>
          <w:fldChar w:fldCharType="end"/>
        </w:r>
      </w:p>
    </w:sdtContent>
  </w:sdt>
  <w:p w14:paraId="33E4CE70">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0DE10621"/>
    <w:rsid w:val="1E780B2E"/>
    <w:rsid w:val="25EC3688"/>
    <w:rsid w:val="263356E9"/>
    <w:rsid w:val="2AE11386"/>
    <w:rsid w:val="2D4C6AD2"/>
    <w:rsid w:val="2D5A6638"/>
    <w:rsid w:val="2D9B5225"/>
    <w:rsid w:val="322F72FD"/>
    <w:rsid w:val="340D5924"/>
    <w:rsid w:val="4185309F"/>
    <w:rsid w:val="43B04001"/>
    <w:rsid w:val="4609551D"/>
    <w:rsid w:val="4D2606A1"/>
    <w:rsid w:val="4DD42C22"/>
    <w:rsid w:val="503863D1"/>
    <w:rsid w:val="50796DE0"/>
    <w:rsid w:val="5DA70C36"/>
    <w:rsid w:val="6ACB5763"/>
    <w:rsid w:val="6C6A0C76"/>
    <w:rsid w:val="700D1716"/>
    <w:rsid w:val="716B6B6A"/>
    <w:rsid w:val="7A780714"/>
    <w:rsid w:val="7C7B6554"/>
    <w:rsid w:val="7F792F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20</Pages>
  <Words>166</Words>
  <Characters>177</Characters>
  <Lines>5</Lines>
  <Paragraphs>1</Paragraphs>
  <TotalTime>0</TotalTime>
  <ScaleCrop>false</ScaleCrop>
  <LinksUpToDate>false</LinksUpToDate>
  <CharactersWithSpaces>182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雨。</cp:lastModifiedBy>
  <cp:lastPrinted>2018-12-31T10:56:00Z</cp:lastPrinted>
  <dcterms:modified xsi:type="dcterms:W3CDTF">2025-09-15T04:13:12Z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655C1AF25D7F42038087DA5BD10DF8AA_12</vt:lpwstr>
  </property>
</Properties>
</file>