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94B291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阿克陶县住房和城乡建设局2024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1149893">
      <w:r>
        <w:br w:type="page"/>
      </w:r>
    </w:p>
    <w:p w14:paraId="32937DEC">
      <w:pPr>
        <w:spacing w:line="640" w:lineRule="exact"/>
        <w:jc w:val="center"/>
        <w:outlineLvl w:val="1"/>
      </w:pPr>
      <w:r>
        <w:rPr>
          <w:rFonts w:ascii="黑体" w:hAnsi="黑体" w:eastAsia="黑体"/>
          <w:sz w:val="32"/>
        </w:rPr>
        <w:t>第一部分 单位概况</w:t>
      </w:r>
    </w:p>
    <w:p w14:paraId="7C00CB78">
      <w:pPr>
        <w:spacing w:line="640" w:lineRule="exact"/>
        <w:ind w:firstLine="640"/>
        <w:jc w:val="both"/>
        <w:outlineLvl w:val="2"/>
      </w:pPr>
      <w:r>
        <w:rPr>
          <w:rFonts w:ascii="黑体" w:hAnsi="黑体" w:eastAsia="黑体"/>
          <w:sz w:val="32"/>
        </w:rPr>
        <w:t>一、主要职能</w:t>
      </w:r>
    </w:p>
    <w:p w14:paraId="2A6264AB">
      <w:pPr>
        <w:spacing w:line="580" w:lineRule="exact"/>
        <w:ind w:firstLine="640"/>
        <w:jc w:val="both"/>
      </w:pPr>
      <w:r>
        <w:rPr>
          <w:rFonts w:ascii="仿宋_GB2312" w:hAnsi="仿宋_GB2312" w:eastAsia="仿宋_GB2312"/>
          <w:sz w:val="32"/>
        </w:rPr>
        <w:t>（1）承担保障城镇低收入家庭住房和农村安居住房的责任。拟定全县城镇保障性安居工程和农村安居住房相关规范性文件并指导实施。会同有关部门做好保障性住房资金安排，编制保障性住房发展规划和年度计划并监督实施。</w:t>
      </w:r>
    </w:p>
    <w:p w14:paraId="6F8D6020">
      <w:pPr>
        <w:spacing w:line="580" w:lineRule="exact"/>
        <w:ind w:firstLine="640"/>
        <w:jc w:val="both"/>
      </w:pPr>
      <w:r>
        <w:rPr>
          <w:rFonts w:ascii="仿宋_GB2312" w:hAnsi="仿宋_GB2312" w:eastAsia="仿宋_GB2312"/>
          <w:sz w:val="32"/>
        </w:rPr>
        <w:t>（2）承担规范住房和城乡建设管理秩序的责任。拟订全县住房和城乡建设行业发展战略和中长期规划，提出住房和城乡建设重大问题的政策建议。制定阿克陶县住房和城乡建设规范性文件。</w:t>
      </w:r>
    </w:p>
    <w:p w14:paraId="705F95CC">
      <w:pPr>
        <w:spacing w:line="580" w:lineRule="exact"/>
        <w:ind w:firstLine="640"/>
        <w:jc w:val="both"/>
      </w:pPr>
      <w:r>
        <w:rPr>
          <w:rFonts w:ascii="仿宋_GB2312" w:hAnsi="仿宋_GB2312" w:eastAsia="仿宋_GB2312"/>
          <w:sz w:val="32"/>
        </w:rPr>
        <w:t>（3）贯彻执行科学规范的住房和城乡建设地方标准体系的责任。贯彻落实住房和城乡建设的地方性标准，贯彻工程建设统一定额,参与工程建设项目可行性研究报告的评审，贯彻公共服务设施(不含通信设施)建设标准并监督执行，监督各类工程建设标准定额实施。</w:t>
      </w:r>
    </w:p>
    <w:p w14:paraId="1275DCC6">
      <w:pPr>
        <w:spacing w:line="580" w:lineRule="exact"/>
        <w:ind w:firstLine="640"/>
        <w:jc w:val="both"/>
      </w:pPr>
      <w:r>
        <w:rPr>
          <w:rFonts w:ascii="仿宋_GB2312" w:hAnsi="仿宋_GB2312" w:eastAsia="仿宋_GB2312"/>
          <w:sz w:val="32"/>
        </w:rPr>
        <w:t>（4）承担规范房地产市场秩序、监督管理房地产市场的责任。会同或配合有关部门组织拟订房地产市场监管规范性文件并监督执行；提出房地产行业发展规划和产业政策，负责贯彻房地产开发，房屋销售，房屋租赁、房屋面积测绘、房地产估价与经纪管理、物业管理，室内装饰装修、房屋征收等法律法规的实施</w:t>
      </w:r>
      <w:r>
        <w:rPr>
          <w:rFonts w:hint="eastAsia" w:ascii="仿宋_GB2312" w:hAnsi="仿宋_GB2312" w:eastAsia="仿宋_GB2312"/>
          <w:sz w:val="32"/>
          <w:lang w:eastAsia="zh-CN"/>
        </w:rPr>
        <w:t>情况。</w:t>
      </w:r>
    </w:p>
    <w:p w14:paraId="33B2D48A">
      <w:pPr>
        <w:spacing w:line="580" w:lineRule="exact"/>
        <w:ind w:firstLine="640"/>
        <w:jc w:val="both"/>
      </w:pPr>
      <w:r>
        <w:rPr>
          <w:rFonts w:ascii="仿宋_GB2312" w:hAnsi="仿宋_GB2312" w:eastAsia="仿宋_GB2312"/>
          <w:sz w:val="32"/>
        </w:rPr>
        <w:t>（5）监督管理全县建筑市场，规范各方主体行为。组织实施房屋建筑和市政工程项目招投标活动的监督执法；负责勘察、设计，施工、工程监理、工程检测、造价咨询的监督指导。</w:t>
      </w:r>
    </w:p>
    <w:p w14:paraId="377BDAC8">
      <w:pPr>
        <w:spacing w:line="580" w:lineRule="exact"/>
        <w:ind w:firstLine="640"/>
        <w:jc w:val="both"/>
      </w:pPr>
      <w:r>
        <w:rPr>
          <w:rFonts w:ascii="仿宋_GB2312" w:hAnsi="仿宋_GB2312" w:eastAsia="仿宋_GB2312"/>
          <w:sz w:val="32"/>
        </w:rPr>
        <w:t>（6）拟订城市建设设计并指导实施；负责市政公用事业特许经营，供排水、供气、供热、生活垃圾和市容环境卫生、城市管理、城市园林绿化法律法规规章的执行、监督指导；指导城市市政公用设施建设、安全</w:t>
      </w:r>
      <w:r>
        <w:rPr>
          <w:rFonts w:hint="eastAsia" w:ascii="仿宋_GB2312" w:hAnsi="仿宋_GB2312" w:eastAsia="仿宋_GB2312"/>
          <w:sz w:val="32"/>
          <w:lang w:eastAsia="zh-CN"/>
        </w:rPr>
        <w:t>管理和</w:t>
      </w:r>
      <w:r>
        <w:rPr>
          <w:rFonts w:ascii="仿宋_GB2312" w:hAnsi="仿宋_GB2312" w:eastAsia="仿宋_GB2312"/>
          <w:sz w:val="32"/>
        </w:rPr>
        <w:t>应急管理。</w:t>
      </w:r>
    </w:p>
    <w:p w14:paraId="35E32E45">
      <w:pPr>
        <w:spacing w:line="580" w:lineRule="exact"/>
        <w:ind w:firstLine="640"/>
        <w:jc w:val="both"/>
      </w:pPr>
      <w:r>
        <w:rPr>
          <w:rFonts w:ascii="仿宋_GB2312" w:hAnsi="仿宋_GB2312" w:eastAsia="仿宋_GB2312"/>
          <w:sz w:val="32"/>
        </w:rPr>
        <w:t>（7）承担规范和指导全县村镇建设的责任。指导村镇、农村住房建设和安全及危房改造,指导村庄和小城镇人居生态环境的改善工作,指导全县重点(示范)乡镇的建设。</w:t>
      </w:r>
    </w:p>
    <w:p w14:paraId="14D9DE2C">
      <w:pPr>
        <w:spacing w:line="580" w:lineRule="exact"/>
        <w:ind w:firstLine="640"/>
        <w:jc w:val="both"/>
      </w:pPr>
      <w:r>
        <w:rPr>
          <w:rFonts w:ascii="仿宋_GB2312" w:hAnsi="仿宋_GB2312" w:eastAsia="仿宋_GB2312"/>
          <w:sz w:val="32"/>
        </w:rPr>
        <w:t>（8）承担建筑工程质量和安全监管的责任。负责建筑工程质量、建筑安全生产以及施工许可，招投标备案、结算备案、竣工验收备案的法律法规规章执行、监督指导，组织和参与工程质量、安全事故的调查处理。</w:t>
      </w:r>
    </w:p>
    <w:p w14:paraId="14CE1117">
      <w:pPr>
        <w:spacing w:line="580" w:lineRule="exact"/>
        <w:ind w:firstLine="640"/>
        <w:jc w:val="both"/>
      </w:pPr>
      <w:r>
        <w:rPr>
          <w:rFonts w:ascii="仿宋_GB2312" w:hAnsi="仿宋_GB2312" w:eastAsia="仿宋_GB2312"/>
          <w:sz w:val="32"/>
        </w:rPr>
        <w:t>（9）综合管理城乡建设抗震减灾工作。负责城乡抗震安居工程建设的指导监督；对全县各类房屋建筑及其附属设施和城市市政工程的抗震设计规范的实施进行监督检查；组织城市超限高层建筑工程抗震设防审查工作；指导震后重建工作。</w:t>
      </w:r>
    </w:p>
    <w:p w14:paraId="089852BA">
      <w:pPr>
        <w:spacing w:line="580" w:lineRule="exact"/>
        <w:ind w:firstLine="640"/>
        <w:jc w:val="both"/>
      </w:pPr>
      <w:r>
        <w:rPr>
          <w:rFonts w:ascii="仿宋_GB2312" w:hAnsi="仿宋_GB2312" w:eastAsia="仿宋_GB2312"/>
          <w:sz w:val="32"/>
        </w:rPr>
        <w:t>（10）承担推进建筑节能、城镇减排的责任。会同有关部门拟订建筑节能的规</w:t>
      </w:r>
      <w:r>
        <w:rPr>
          <w:rFonts w:hint="eastAsia" w:ascii="仿宋_GB2312" w:hAnsi="仿宋_GB2312" w:eastAsia="仿宋_GB2312"/>
          <w:sz w:val="32"/>
          <w:lang w:eastAsia="zh-CN"/>
        </w:rPr>
        <w:t>划</w:t>
      </w:r>
      <w:r>
        <w:rPr>
          <w:rFonts w:ascii="仿宋_GB2312" w:hAnsi="仿宋_GB2312" w:eastAsia="仿宋_GB2312"/>
          <w:sz w:val="32"/>
        </w:rPr>
        <w:t>并监督指导；拟订住房和城乡建设科技发展规划，组织实施建设行业重大科技项目攻关合作交流、技术创新与成果推广应用；组织实施建筑节能等科技示范项目。</w:t>
      </w:r>
    </w:p>
    <w:p w14:paraId="6556C28F">
      <w:pPr>
        <w:spacing w:line="580" w:lineRule="exact"/>
        <w:ind w:firstLine="640"/>
        <w:jc w:val="both"/>
      </w:pPr>
      <w:r>
        <w:rPr>
          <w:rFonts w:ascii="仿宋_GB2312" w:hAnsi="仿宋_GB2312" w:eastAsia="仿宋_GB2312"/>
          <w:sz w:val="32"/>
        </w:rPr>
        <w:t>（11）贯彻执行国家、自治区关于人民防空建设的法律、法规和方针、政策，拟定全县人民防空规范性文件，经审议后通过实施。负责督促检查</w:t>
      </w:r>
      <w:r>
        <w:rPr>
          <w:rFonts w:hint="eastAsia" w:ascii="仿宋_GB2312" w:hAnsi="仿宋_GB2312" w:eastAsia="仿宋_GB2312"/>
          <w:sz w:val="32"/>
          <w:lang w:eastAsia="zh-CN"/>
        </w:rPr>
        <w:t>《中华人民共和国人民防空法》</w:t>
      </w:r>
      <w:r>
        <w:rPr>
          <w:rFonts w:ascii="仿宋_GB2312" w:hAnsi="仿宋_GB2312" w:eastAsia="仿宋_GB2312"/>
          <w:sz w:val="32"/>
        </w:rPr>
        <w:t>、《</w:t>
      </w:r>
      <w:bookmarkStart w:id="0" w:name="_GoBack"/>
      <w:bookmarkEnd w:id="0"/>
      <w:r>
        <w:rPr>
          <w:rFonts w:ascii="仿宋_GB2312" w:hAnsi="仿宋_GB2312" w:eastAsia="仿宋_GB2312"/>
          <w:sz w:val="32"/>
        </w:rPr>
        <w:t>新疆维吾尔自治区实施&lt;</w:t>
      </w:r>
      <w:r>
        <w:rPr>
          <w:rFonts w:hint="eastAsia" w:ascii="仿宋_GB2312" w:hAnsi="仿宋_GB2312" w:eastAsia="仿宋_GB2312"/>
          <w:sz w:val="32"/>
          <w:lang w:eastAsia="zh-CN"/>
        </w:rPr>
        <w:t>中华人民共和国人民防空法</w:t>
      </w:r>
      <w:r>
        <w:rPr>
          <w:rFonts w:ascii="仿宋_GB2312" w:hAnsi="仿宋_GB2312" w:eastAsia="仿宋_GB2312"/>
          <w:sz w:val="32"/>
        </w:rPr>
        <w:t>&gt;办法》等法律法规的贯彻实施。负责组织拟订防空袭方案和各项保障方案；组织人民防空通信、警报、信息化建设与管理。</w:t>
      </w:r>
    </w:p>
    <w:p w14:paraId="32F2D980">
      <w:pPr>
        <w:spacing w:line="580" w:lineRule="exact"/>
        <w:ind w:firstLine="640"/>
        <w:jc w:val="both"/>
      </w:pPr>
      <w:r>
        <w:rPr>
          <w:rFonts w:ascii="仿宋_GB2312" w:hAnsi="仿宋_GB2312" w:eastAsia="仿宋_GB2312"/>
          <w:sz w:val="32"/>
        </w:rPr>
        <w:t>（12）按照“管行业必须管安全、管业务必须管安全”的要求，对本行业领域安全生产负行业监管（行业主管）职责，组织开展本行业领域安全生产宣传教育、日常监督检查工作。</w:t>
      </w:r>
    </w:p>
    <w:p w14:paraId="781CC75F">
      <w:pPr>
        <w:spacing w:line="580" w:lineRule="exact"/>
        <w:ind w:firstLine="640"/>
        <w:jc w:val="both"/>
      </w:pPr>
      <w:r>
        <w:rPr>
          <w:rFonts w:ascii="仿宋_GB2312" w:hAnsi="仿宋_GB2312" w:eastAsia="仿宋_GB2312"/>
          <w:sz w:val="32"/>
        </w:rPr>
        <w:t>（13）承办县委、县人民政府交办的其他任务。</w:t>
      </w:r>
    </w:p>
    <w:p w14:paraId="06C7C596">
      <w:pPr>
        <w:spacing w:line="640" w:lineRule="exact"/>
        <w:ind w:firstLine="640"/>
        <w:jc w:val="both"/>
        <w:outlineLvl w:val="2"/>
      </w:pPr>
      <w:r>
        <w:rPr>
          <w:rFonts w:ascii="黑体" w:hAnsi="黑体" w:eastAsia="黑体"/>
          <w:sz w:val="32"/>
        </w:rPr>
        <w:t>二、机构设置及人员情况</w:t>
      </w:r>
    </w:p>
    <w:p w14:paraId="4AA0E0D8">
      <w:pPr>
        <w:spacing w:line="580" w:lineRule="exact"/>
        <w:ind w:firstLine="640"/>
        <w:jc w:val="both"/>
      </w:pPr>
      <w:r>
        <w:rPr>
          <w:rFonts w:ascii="仿宋_GB2312" w:hAnsi="仿宋_GB2312" w:eastAsia="仿宋_GB2312"/>
          <w:sz w:val="32"/>
        </w:rPr>
        <w:t>阿克陶县住房和城乡建设局2024年度，实有人数35人，其中：在职人员23人，增加2人；离休人员0人，增加0人；退休人员12人,增加2人。</w:t>
      </w:r>
    </w:p>
    <w:p w14:paraId="0B2A5A77">
      <w:pPr>
        <w:spacing w:line="580" w:lineRule="exact"/>
        <w:ind w:firstLine="640"/>
        <w:jc w:val="both"/>
      </w:pPr>
      <w:r>
        <w:rPr>
          <w:rFonts w:ascii="仿宋_GB2312" w:hAnsi="仿宋_GB2312" w:eastAsia="仿宋_GB2312"/>
          <w:sz w:val="32"/>
        </w:rPr>
        <w:t>阿克陶县住房和城乡建设局无下属预算单位，下设7个科室，分别是：党政综合办公室、消防（人防）办、城建科、质监站、项目办、财务室、建管科。</w:t>
      </w:r>
    </w:p>
    <w:p w14:paraId="761D4892">
      <w:r>
        <w:br w:type="page"/>
      </w:r>
    </w:p>
    <w:p w14:paraId="2F32D3DA">
      <w:pPr>
        <w:spacing w:line="240" w:lineRule="auto"/>
        <w:jc w:val="center"/>
        <w:outlineLvl w:val="1"/>
      </w:pPr>
      <w:r>
        <w:rPr>
          <w:rFonts w:ascii="黑体" w:hAnsi="黑体" w:eastAsia="黑体"/>
          <w:sz w:val="32"/>
        </w:rPr>
        <w:t>第二部分 部门决算情况说明</w:t>
      </w:r>
    </w:p>
    <w:p w14:paraId="664B17DF">
      <w:pPr>
        <w:spacing w:line="640" w:lineRule="exact"/>
        <w:ind w:firstLine="640"/>
        <w:jc w:val="both"/>
        <w:outlineLvl w:val="2"/>
      </w:pPr>
      <w:r>
        <w:rPr>
          <w:rFonts w:ascii="黑体" w:hAnsi="黑体" w:eastAsia="黑体"/>
          <w:sz w:val="32"/>
        </w:rPr>
        <w:t>一、收入支出决算总体情况说明</w:t>
      </w:r>
    </w:p>
    <w:p w14:paraId="17E57BF0">
      <w:pPr>
        <w:spacing w:line="580" w:lineRule="exact"/>
        <w:ind w:firstLine="640"/>
        <w:jc w:val="both"/>
      </w:pPr>
      <w:r>
        <w:rPr>
          <w:rFonts w:ascii="仿宋_GB2312" w:hAnsi="仿宋_GB2312" w:eastAsia="仿宋_GB2312"/>
          <w:b/>
          <w:sz w:val="32"/>
        </w:rPr>
        <w:t>2024年度收入总计18,551.50万元，</w:t>
      </w:r>
      <w:r>
        <w:rPr>
          <w:rFonts w:ascii="仿宋_GB2312" w:hAnsi="仿宋_GB2312" w:eastAsia="仿宋_GB2312"/>
          <w:b w:val="0"/>
          <w:sz w:val="32"/>
        </w:rPr>
        <w:t>其中：本年收入合计18,110.56万元，使用非财政拨款结余（含专用结余）0.00万元，年初结转和结余440.94万元。</w:t>
      </w:r>
    </w:p>
    <w:p w14:paraId="4F905ED0">
      <w:pPr>
        <w:spacing w:line="580" w:lineRule="exact"/>
        <w:ind w:firstLine="640"/>
        <w:jc w:val="both"/>
      </w:pPr>
      <w:r>
        <w:rPr>
          <w:rFonts w:ascii="仿宋_GB2312" w:hAnsi="仿宋_GB2312" w:eastAsia="仿宋_GB2312"/>
          <w:b/>
          <w:sz w:val="32"/>
        </w:rPr>
        <w:t>2024年度支出总计18,551.50万元，</w:t>
      </w:r>
      <w:r>
        <w:rPr>
          <w:rFonts w:ascii="仿宋_GB2312" w:hAnsi="仿宋_GB2312" w:eastAsia="仿宋_GB2312"/>
          <w:b w:val="0"/>
          <w:sz w:val="32"/>
        </w:rPr>
        <w:t>其中：本年支出合计18,411.27万元，结余分配0.00万元，年末结转和结余140.23万元。</w:t>
      </w:r>
    </w:p>
    <w:p w14:paraId="51CA403A">
      <w:pPr>
        <w:spacing w:line="580" w:lineRule="exact"/>
        <w:ind w:firstLine="640"/>
        <w:jc w:val="both"/>
      </w:pPr>
      <w:r>
        <w:rPr>
          <w:rFonts w:ascii="仿宋_GB2312" w:hAnsi="仿宋_GB2312" w:eastAsia="仿宋_GB2312"/>
          <w:b w:val="0"/>
          <w:sz w:val="32"/>
        </w:rPr>
        <w:t>收入支出总体与上年相比，减少80,426.07万元，下降81.26%，主要原因是：本年减少2016年棚户区改造及配套基础设施建设项目贷款本金、2015年棚户区改造项目贷款本金、阿克陶县垃圾处理综合利用建设项目、阿克陶县市政公共基础设施建设项目等项目支出。</w:t>
      </w:r>
    </w:p>
    <w:p w14:paraId="0FBA9AB0">
      <w:pPr>
        <w:spacing w:line="640" w:lineRule="exact"/>
        <w:ind w:firstLine="640"/>
        <w:jc w:val="both"/>
        <w:outlineLvl w:val="2"/>
      </w:pPr>
      <w:r>
        <w:rPr>
          <w:rFonts w:ascii="黑体" w:hAnsi="黑体" w:eastAsia="黑体"/>
          <w:sz w:val="32"/>
        </w:rPr>
        <w:t>二、收入决算情况说明</w:t>
      </w:r>
    </w:p>
    <w:p w14:paraId="3EEDA44E">
      <w:pPr>
        <w:spacing w:line="580" w:lineRule="exact"/>
        <w:ind w:firstLine="640"/>
        <w:jc w:val="both"/>
      </w:pPr>
      <w:r>
        <w:rPr>
          <w:rFonts w:ascii="仿宋_GB2312" w:hAnsi="仿宋_GB2312" w:eastAsia="仿宋_GB2312"/>
          <w:b/>
          <w:sz w:val="32"/>
        </w:rPr>
        <w:t>本年收入18,110.56万元，</w:t>
      </w:r>
      <w:r>
        <w:rPr>
          <w:rFonts w:ascii="仿宋_GB2312" w:hAnsi="仿宋_GB2312" w:eastAsia="仿宋_GB2312"/>
          <w:b w:val="0"/>
          <w:sz w:val="32"/>
        </w:rPr>
        <w:t>其中：财政拨款收入16,942.75万元，占93.55%；上级补助收入0.00万元，占0.00%；事业收入0.00万元，占0.00%；经营收入0.00万元，占0.00%；附属单位上缴收入0.00万元，占0.00%；其他收入1,167.81万元，占6.45%。</w:t>
      </w:r>
    </w:p>
    <w:p w14:paraId="70EE1A3E">
      <w:pPr>
        <w:spacing w:line="640" w:lineRule="exact"/>
        <w:ind w:firstLine="640"/>
        <w:jc w:val="both"/>
        <w:outlineLvl w:val="2"/>
      </w:pPr>
      <w:r>
        <w:rPr>
          <w:rFonts w:ascii="黑体" w:hAnsi="黑体" w:eastAsia="黑体"/>
          <w:sz w:val="32"/>
        </w:rPr>
        <w:t>三、支出决算情况说明</w:t>
      </w:r>
    </w:p>
    <w:p w14:paraId="7A88A62A">
      <w:pPr>
        <w:spacing w:line="580" w:lineRule="exact"/>
        <w:ind w:firstLine="640"/>
        <w:jc w:val="both"/>
      </w:pPr>
      <w:r>
        <w:rPr>
          <w:rFonts w:ascii="仿宋_GB2312" w:hAnsi="仿宋_GB2312" w:eastAsia="仿宋_GB2312"/>
          <w:b/>
          <w:sz w:val="32"/>
        </w:rPr>
        <w:t>本年支出18,411.27万元，</w:t>
      </w:r>
      <w:r>
        <w:rPr>
          <w:rFonts w:ascii="仿宋_GB2312" w:hAnsi="仿宋_GB2312" w:eastAsia="仿宋_GB2312"/>
          <w:b w:val="0"/>
          <w:sz w:val="32"/>
        </w:rPr>
        <w:t>其中：基本支出572.58万元，占3.11%；项目支出17,838.68万元，占96.89%；上缴上级支出0.00万元，占0.00%；经营支出0.00万元，占0.00%；对附属单位补助支出0.00万元，占0.00%。</w:t>
      </w:r>
    </w:p>
    <w:p w14:paraId="3695185D">
      <w:pPr>
        <w:spacing w:line="640" w:lineRule="exact"/>
        <w:ind w:firstLine="640"/>
        <w:jc w:val="both"/>
        <w:outlineLvl w:val="2"/>
      </w:pPr>
      <w:r>
        <w:rPr>
          <w:rFonts w:ascii="黑体" w:hAnsi="黑体" w:eastAsia="黑体"/>
          <w:sz w:val="32"/>
        </w:rPr>
        <w:t>四、财政拨款收入支出决算总体情况说明</w:t>
      </w:r>
    </w:p>
    <w:p w14:paraId="494D73BD">
      <w:pPr>
        <w:spacing w:line="580" w:lineRule="exact"/>
        <w:ind w:firstLine="640"/>
        <w:jc w:val="both"/>
      </w:pPr>
      <w:r>
        <w:rPr>
          <w:rFonts w:ascii="仿宋_GB2312" w:hAnsi="仿宋_GB2312" w:eastAsia="仿宋_GB2312"/>
          <w:b/>
          <w:sz w:val="32"/>
        </w:rPr>
        <w:t>2024年度财政拨款收入总计16,942.75万元，</w:t>
      </w:r>
      <w:r>
        <w:rPr>
          <w:rFonts w:ascii="仿宋_GB2312" w:hAnsi="仿宋_GB2312" w:eastAsia="仿宋_GB2312"/>
          <w:b w:val="0"/>
          <w:sz w:val="32"/>
        </w:rPr>
        <w:t>其中：年初财政拨款结转和结余0.00万元，本年财政拨款收入16,942.75万元。</w:t>
      </w:r>
      <w:r>
        <w:rPr>
          <w:rFonts w:ascii="仿宋_GB2312" w:hAnsi="仿宋_GB2312" w:eastAsia="仿宋_GB2312"/>
          <w:b/>
          <w:sz w:val="32"/>
        </w:rPr>
        <w:t>财政拨款支出总计16,942.75万元，</w:t>
      </w:r>
      <w:r>
        <w:rPr>
          <w:rFonts w:ascii="仿宋_GB2312" w:hAnsi="仿宋_GB2312" w:eastAsia="仿宋_GB2312"/>
          <w:b w:val="0"/>
          <w:sz w:val="32"/>
        </w:rPr>
        <w:t>其中：年末财政拨款结转和结余0.00万元，本年财政拨款支出16,942.75万元。</w:t>
      </w:r>
    </w:p>
    <w:p w14:paraId="081D52D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79,463.87万元，下降82.43%，主要原因是：本年减少2016年棚户区改造及配套基础设施建设项目贷款本金、2015年棚户区改造项目贷款本金、阿克陶县垃圾处理综合利用建设项目、阿克陶县市政公共基础设施建设项目等项目支出。</w:t>
      </w:r>
      <w:r>
        <w:rPr>
          <w:rFonts w:ascii="仿宋_GB2312" w:hAnsi="仿宋_GB2312" w:eastAsia="仿宋_GB2312"/>
          <w:b/>
          <w:sz w:val="32"/>
        </w:rPr>
        <w:t>与年初预算相比，</w:t>
      </w:r>
      <w:r>
        <w:rPr>
          <w:rFonts w:ascii="仿宋_GB2312" w:hAnsi="仿宋_GB2312" w:eastAsia="仿宋_GB2312"/>
          <w:b w:val="0"/>
          <w:sz w:val="32"/>
        </w:rPr>
        <w:t>年初预算数13,185.99万元，决算数16,942.75万元，预决算差异率28.49%，主要原因是：年中追加克州阿克陶县城乡环境提升改造项目、克州阿克陶县2022年保障性安居工程城市燃气设施更新改造等项目，导致预决算存在差异。</w:t>
      </w:r>
    </w:p>
    <w:p w14:paraId="5F0321BE">
      <w:pPr>
        <w:spacing w:line="640" w:lineRule="exact"/>
        <w:ind w:firstLine="640"/>
        <w:jc w:val="both"/>
        <w:outlineLvl w:val="2"/>
      </w:pPr>
      <w:r>
        <w:rPr>
          <w:rFonts w:ascii="黑体" w:hAnsi="黑体" w:eastAsia="黑体"/>
          <w:sz w:val="32"/>
        </w:rPr>
        <w:t>五、一般公共预算财政拨款支出决算情况说明</w:t>
      </w:r>
    </w:p>
    <w:p w14:paraId="732A12B3">
      <w:pPr>
        <w:spacing w:line="640" w:lineRule="exact"/>
        <w:ind w:firstLine="640"/>
        <w:jc w:val="both"/>
        <w:outlineLvl w:val="3"/>
      </w:pPr>
      <w:r>
        <w:rPr>
          <w:rFonts w:ascii="楷体_GB2312" w:hAnsi="楷体_GB2312" w:eastAsia="楷体_GB2312"/>
          <w:b/>
          <w:sz w:val="32"/>
        </w:rPr>
        <w:t>（一）一般公共预算财政拨款支出决算总体情况</w:t>
      </w:r>
    </w:p>
    <w:p w14:paraId="24F26F34">
      <w:pPr>
        <w:spacing w:line="580" w:lineRule="exact"/>
        <w:ind w:firstLine="640"/>
        <w:jc w:val="both"/>
      </w:pPr>
      <w:r>
        <w:rPr>
          <w:rFonts w:ascii="仿宋_GB2312" w:hAnsi="仿宋_GB2312" w:eastAsia="仿宋_GB2312"/>
          <w:b/>
          <w:sz w:val="32"/>
        </w:rPr>
        <w:t>2024年度一般公共预算财政拨款支出11,414.48万元，</w:t>
      </w:r>
      <w:r>
        <w:rPr>
          <w:rFonts w:ascii="仿宋_GB2312" w:hAnsi="仿宋_GB2312" w:eastAsia="仿宋_GB2312"/>
          <w:b w:val="0"/>
          <w:sz w:val="32"/>
        </w:rPr>
        <w:t>占本年支出合计的62.00%。</w:t>
      </w:r>
      <w:r>
        <w:rPr>
          <w:rFonts w:ascii="仿宋_GB2312" w:hAnsi="仿宋_GB2312" w:eastAsia="仿宋_GB2312"/>
          <w:b/>
          <w:sz w:val="32"/>
        </w:rPr>
        <w:t>与上年相比，</w:t>
      </w:r>
      <w:r>
        <w:rPr>
          <w:rFonts w:ascii="仿宋_GB2312" w:hAnsi="仿宋_GB2312" w:eastAsia="仿宋_GB2312"/>
          <w:b w:val="0"/>
          <w:sz w:val="32"/>
        </w:rPr>
        <w:t>减少24,359.72万元，下降68.09%，主要原因是：本年减少阿克陶县住建局历年拆迁等项目。本年减少克州阿克陶县市政道路建设项目。</w:t>
      </w:r>
      <w:r>
        <w:rPr>
          <w:rFonts w:ascii="仿宋_GB2312" w:hAnsi="仿宋_GB2312" w:eastAsia="仿宋_GB2312"/>
          <w:b/>
          <w:sz w:val="32"/>
        </w:rPr>
        <w:t>与年初预算相比,</w:t>
      </w:r>
      <w:r>
        <w:rPr>
          <w:rFonts w:ascii="仿宋_GB2312" w:hAnsi="仿宋_GB2312" w:eastAsia="仿宋_GB2312"/>
          <w:b w:val="0"/>
          <w:sz w:val="32"/>
        </w:rPr>
        <w:t>年初预算数5,032.96万元，决算数11,414.48万元，预决算差异率126.79%，主要原因是：年中追加克州阿克陶县城乡环境提升改造项目、克州阿克陶县2022年保障性安居工程城市燃气设施更新改造等项目，导致预决算存在差异。</w:t>
      </w:r>
    </w:p>
    <w:p w14:paraId="7D3C6866">
      <w:pPr>
        <w:spacing w:line="640" w:lineRule="exact"/>
        <w:ind w:firstLine="640"/>
        <w:jc w:val="both"/>
        <w:outlineLvl w:val="3"/>
      </w:pPr>
      <w:r>
        <w:rPr>
          <w:rFonts w:ascii="楷体_GB2312" w:hAnsi="楷体_GB2312" w:eastAsia="楷体_GB2312"/>
          <w:b/>
          <w:sz w:val="32"/>
        </w:rPr>
        <w:t>（二）一般公共预算财政拨款支出决算结构情况</w:t>
      </w:r>
    </w:p>
    <w:p w14:paraId="36BC1CDC">
      <w:pPr>
        <w:spacing w:line="580" w:lineRule="exact"/>
        <w:ind w:firstLine="640"/>
        <w:jc w:val="both"/>
      </w:pPr>
      <w:r>
        <w:rPr>
          <w:rFonts w:ascii="仿宋_GB2312" w:hAnsi="仿宋_GB2312" w:eastAsia="仿宋_GB2312"/>
          <w:b w:val="0"/>
          <w:sz w:val="32"/>
        </w:rPr>
        <w:t>1.一般公共服务支出(类)2.23万元,占0.02%。</w:t>
      </w:r>
    </w:p>
    <w:p w14:paraId="15DA2583">
      <w:pPr>
        <w:spacing w:line="580" w:lineRule="exact"/>
        <w:ind w:firstLine="640"/>
        <w:jc w:val="both"/>
      </w:pPr>
      <w:r>
        <w:rPr>
          <w:rFonts w:ascii="仿宋_GB2312" w:hAnsi="仿宋_GB2312" w:eastAsia="仿宋_GB2312"/>
          <w:b w:val="0"/>
          <w:sz w:val="32"/>
        </w:rPr>
        <w:t>2.社会保障和就业支出(类)71.79万元,占0.63%。</w:t>
      </w:r>
    </w:p>
    <w:p w14:paraId="0B075EF6">
      <w:pPr>
        <w:spacing w:line="580" w:lineRule="exact"/>
        <w:ind w:firstLine="640"/>
        <w:jc w:val="both"/>
      </w:pPr>
      <w:r>
        <w:rPr>
          <w:rFonts w:ascii="仿宋_GB2312" w:hAnsi="仿宋_GB2312" w:eastAsia="仿宋_GB2312"/>
          <w:b w:val="0"/>
          <w:sz w:val="32"/>
        </w:rPr>
        <w:t>3.卫生健康支出(类)26.06万元,占0.23%。</w:t>
      </w:r>
    </w:p>
    <w:p w14:paraId="7A1A3C11">
      <w:pPr>
        <w:spacing w:line="580" w:lineRule="exact"/>
        <w:ind w:firstLine="640"/>
        <w:jc w:val="both"/>
      </w:pPr>
      <w:r>
        <w:rPr>
          <w:rFonts w:ascii="仿宋_GB2312" w:hAnsi="仿宋_GB2312" w:eastAsia="仿宋_GB2312"/>
          <w:b w:val="0"/>
          <w:sz w:val="32"/>
        </w:rPr>
        <w:t>4.节能环保支出(类)1,987.77万元,占17.41%。</w:t>
      </w:r>
    </w:p>
    <w:p w14:paraId="067C801A">
      <w:pPr>
        <w:spacing w:line="580" w:lineRule="exact"/>
        <w:ind w:firstLine="640"/>
        <w:jc w:val="both"/>
      </w:pPr>
      <w:r>
        <w:rPr>
          <w:rFonts w:ascii="仿宋_GB2312" w:hAnsi="仿宋_GB2312" w:eastAsia="仿宋_GB2312"/>
          <w:b w:val="0"/>
          <w:sz w:val="32"/>
        </w:rPr>
        <w:t>5.城乡社区支出(类)6,404.61万元,占56.11%。</w:t>
      </w:r>
    </w:p>
    <w:p w14:paraId="5FC25749">
      <w:pPr>
        <w:spacing w:line="580" w:lineRule="exact"/>
        <w:ind w:firstLine="640"/>
        <w:jc w:val="both"/>
      </w:pPr>
      <w:r>
        <w:rPr>
          <w:rFonts w:ascii="仿宋_GB2312" w:hAnsi="仿宋_GB2312" w:eastAsia="仿宋_GB2312"/>
          <w:b w:val="0"/>
          <w:sz w:val="32"/>
        </w:rPr>
        <w:t>6.住房保障支出(类)2,582.03万元,占22.62%。</w:t>
      </w:r>
    </w:p>
    <w:p w14:paraId="392B4023">
      <w:pPr>
        <w:spacing w:line="580" w:lineRule="exact"/>
        <w:ind w:firstLine="640"/>
        <w:jc w:val="both"/>
      </w:pPr>
      <w:r>
        <w:rPr>
          <w:rFonts w:ascii="仿宋_GB2312" w:hAnsi="仿宋_GB2312" w:eastAsia="仿宋_GB2312"/>
          <w:b w:val="0"/>
          <w:sz w:val="32"/>
        </w:rPr>
        <w:t>7.其他支出(类)340.00万元,占2.98%。</w:t>
      </w:r>
    </w:p>
    <w:p w14:paraId="06EC1FA8">
      <w:pPr>
        <w:spacing w:line="640" w:lineRule="exact"/>
        <w:ind w:firstLine="640"/>
        <w:jc w:val="both"/>
        <w:outlineLvl w:val="3"/>
      </w:pPr>
      <w:r>
        <w:rPr>
          <w:rFonts w:ascii="楷体_GB2312" w:hAnsi="楷体_GB2312" w:eastAsia="楷体_GB2312"/>
          <w:b/>
          <w:sz w:val="32"/>
        </w:rPr>
        <w:t>（三）一般公共预算财政拨款支出决算具体情况</w:t>
      </w:r>
    </w:p>
    <w:p w14:paraId="7C663F67">
      <w:pPr>
        <w:spacing w:line="580" w:lineRule="exact"/>
        <w:ind w:firstLine="640"/>
        <w:jc w:val="both"/>
      </w:pPr>
      <w:r>
        <w:rPr>
          <w:rFonts w:ascii="仿宋_GB2312" w:hAnsi="仿宋_GB2312" w:eastAsia="仿宋_GB2312"/>
          <w:b w:val="0"/>
          <w:sz w:val="32"/>
        </w:rPr>
        <w:t>1.一般公共服务支出(类)组织事务(款)其他组织事务支出(项):支出决算数为2.23万元，比上年决算减少2.03万元，下降47.65%,主要原因是：本年功能科目调整，援疆干部生活补助调整至行政运行科目列支，导致经费较上年减少。</w:t>
      </w:r>
    </w:p>
    <w:p w14:paraId="2378F50E">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12.62万元，比上年决算增加2.24万元，增长21.58%,主要原因是：一是本年增加退休人员基础绩效奖，退休费支出增加。二是本年退休人员增加，退休费支出增加。</w:t>
      </w:r>
    </w:p>
    <w:p w14:paraId="283A401C">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1.31万元，比上年决算增加0.21万元，增长19.09%,主要原因是：一是本年增加退休人员基础绩效奖，退休费支出增加。二是本年退休人员增加，退休费支出增加。</w:t>
      </w:r>
    </w:p>
    <w:p w14:paraId="15674025">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48.95万元，比上年决算增加8.26万元，增长20.30%,主要原因是：本年在职人员工资基数调增，养老缴费基数上涨，相应支出增加。</w:t>
      </w:r>
    </w:p>
    <w:p w14:paraId="2F6FD62A">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8.91万元，比上年决算增加3.80万元，增长74.36%,主要原因是：本年新增退休人员较上年增加，职业年金缴费支出增加。</w:t>
      </w:r>
    </w:p>
    <w:p w14:paraId="7DCA1FEB">
      <w:pPr>
        <w:spacing w:line="580" w:lineRule="exact"/>
        <w:ind w:firstLine="640"/>
        <w:jc w:val="both"/>
      </w:pPr>
      <w:r>
        <w:rPr>
          <w:rFonts w:ascii="仿宋_GB2312" w:hAnsi="仿宋_GB2312" w:eastAsia="仿宋_GB2312"/>
          <w:b w:val="0"/>
          <w:sz w:val="32"/>
        </w:rPr>
        <w:t>6.卫生健康支出(类)公共卫生(款)重大公共卫生服务(项):支出决算数为4.95万元，比上年决算增加4.95万元，增长100.00%,主要原因是：本年支付2020年</w:t>
      </w:r>
      <w:r>
        <w:rPr>
          <w:rFonts w:hint="eastAsia" w:ascii="仿宋_GB2312" w:hAnsi="仿宋_GB2312" w:eastAsia="仿宋_GB2312"/>
          <w:b w:val="0"/>
          <w:sz w:val="32"/>
          <w:lang w:eastAsia="zh-CN"/>
        </w:rPr>
        <w:t>YQ</w:t>
      </w:r>
      <w:r>
        <w:rPr>
          <w:rFonts w:ascii="仿宋_GB2312" w:hAnsi="仿宋_GB2312" w:eastAsia="仿宋_GB2312"/>
          <w:b w:val="0"/>
          <w:sz w:val="32"/>
        </w:rPr>
        <w:t>期间医学观察隔离点相关费用，导致此科目经费较上年增加。</w:t>
      </w:r>
    </w:p>
    <w:p w14:paraId="3053F9BE">
      <w:pPr>
        <w:spacing w:line="580" w:lineRule="exact"/>
        <w:ind w:firstLine="640"/>
        <w:jc w:val="both"/>
      </w:pPr>
      <w:r>
        <w:rPr>
          <w:rFonts w:ascii="仿宋_GB2312" w:hAnsi="仿宋_GB2312" w:eastAsia="仿宋_GB2312"/>
          <w:b w:val="0"/>
          <w:sz w:val="32"/>
        </w:rPr>
        <w:t>7.卫生健康支出(类)行政事业单位医疗(款)行政单位医疗(项):支出决算数为15.69万元，比上年决算增加3.27万元，增长26.33%,主要原因是：本年在职人员工资基数调增，医疗缴费基数上涨，相应支出增加。</w:t>
      </w:r>
    </w:p>
    <w:p w14:paraId="78BBB215">
      <w:pPr>
        <w:spacing w:line="580" w:lineRule="exact"/>
        <w:ind w:firstLine="640"/>
        <w:jc w:val="both"/>
      </w:pPr>
      <w:r>
        <w:rPr>
          <w:rFonts w:ascii="仿宋_GB2312" w:hAnsi="仿宋_GB2312" w:eastAsia="仿宋_GB2312"/>
          <w:b w:val="0"/>
          <w:sz w:val="32"/>
        </w:rPr>
        <w:t>8.卫生健康支出(类)行政事业单位医疗(款)事业单位医疗(项):支出决算数为5.42万元，比上年决算增加0.43万元，增长8.62%,主要原因是：本年在职人员增加，事业单位医疗较上年增加。</w:t>
      </w:r>
    </w:p>
    <w:p w14:paraId="468E26CA">
      <w:pPr>
        <w:spacing w:line="580" w:lineRule="exact"/>
        <w:ind w:firstLine="640"/>
        <w:jc w:val="both"/>
      </w:pPr>
      <w:r>
        <w:rPr>
          <w:rFonts w:ascii="仿宋_GB2312" w:hAnsi="仿宋_GB2312" w:eastAsia="仿宋_GB2312"/>
          <w:b w:val="0"/>
          <w:sz w:val="32"/>
        </w:rPr>
        <w:t>9.节能环保支出(类)污染防治(款)大气(项):支出决算数为1,926.61万元，比上年决算增加1,926.61万元，增长100.00%,主要原因是：本年增加阿克陶县城区集中供热改造项目超低排放改造工程项目。</w:t>
      </w:r>
    </w:p>
    <w:p w14:paraId="00C71CE4">
      <w:pPr>
        <w:spacing w:line="580" w:lineRule="exact"/>
        <w:ind w:firstLine="640"/>
        <w:jc w:val="both"/>
      </w:pPr>
      <w:r>
        <w:rPr>
          <w:rFonts w:ascii="仿宋_GB2312" w:hAnsi="仿宋_GB2312" w:eastAsia="仿宋_GB2312"/>
          <w:b w:val="0"/>
          <w:sz w:val="32"/>
        </w:rPr>
        <w:t>10.节能环保支出(类)能源管理事务(款)能源行业管理(项):支出决算数为61.16万元，比上年决算减少255.23万元，下降80.67%,主要原因是：本年减少阿克陶县2020、2021年煤改电工程居民入户项目资金。</w:t>
      </w:r>
    </w:p>
    <w:p w14:paraId="0423CE24">
      <w:pPr>
        <w:spacing w:line="580" w:lineRule="exact"/>
        <w:ind w:firstLine="640"/>
        <w:jc w:val="both"/>
      </w:pPr>
      <w:r>
        <w:rPr>
          <w:rFonts w:ascii="仿宋_GB2312" w:hAnsi="仿宋_GB2312" w:eastAsia="仿宋_GB2312"/>
          <w:b w:val="0"/>
          <w:sz w:val="32"/>
        </w:rPr>
        <w:t>11.城乡社区支出(类)城乡社区管理事务(款)行政运行(项):支出决算数为422.97万元，比上年决算减少368.65万元，下降46.57%,主要原因是：本年减少支付教育系统各学校取暖费。</w:t>
      </w:r>
    </w:p>
    <w:p w14:paraId="29E5FAC3">
      <w:pPr>
        <w:spacing w:line="580" w:lineRule="exact"/>
        <w:ind w:firstLine="640"/>
        <w:jc w:val="both"/>
      </w:pPr>
      <w:r>
        <w:rPr>
          <w:rFonts w:ascii="仿宋_GB2312" w:hAnsi="仿宋_GB2312" w:eastAsia="仿宋_GB2312"/>
          <w:b w:val="0"/>
          <w:sz w:val="32"/>
        </w:rPr>
        <w:t>12.城乡社区支出(类)城乡社区管理事务(款)机关服务(项):支出决算数为5.00万元，比上年决算增加5.00万元，增长100.00%,主要原因是：本年增加阿克陶县住建局运行经费项目。</w:t>
      </w:r>
    </w:p>
    <w:p w14:paraId="7EA8A079">
      <w:pPr>
        <w:spacing w:line="580" w:lineRule="exact"/>
        <w:ind w:firstLine="640"/>
        <w:jc w:val="both"/>
      </w:pPr>
      <w:r>
        <w:rPr>
          <w:rFonts w:ascii="仿宋_GB2312" w:hAnsi="仿宋_GB2312" w:eastAsia="仿宋_GB2312"/>
          <w:b w:val="0"/>
          <w:sz w:val="32"/>
        </w:rPr>
        <w:t>13.城乡社区支出(类)城乡社区管理事务(款)其他城乡社区管理事务支出(项):支出决算数为282.60万元，比上年决算增加41.78万元，增长17.35%,主要原因是：本年阿克陶县供水改造项目支出较上年增加。</w:t>
      </w:r>
    </w:p>
    <w:p w14:paraId="52D7B36A">
      <w:pPr>
        <w:spacing w:line="580" w:lineRule="exact"/>
        <w:ind w:firstLine="640"/>
        <w:jc w:val="both"/>
      </w:pPr>
      <w:r>
        <w:rPr>
          <w:rFonts w:ascii="仿宋_GB2312" w:hAnsi="仿宋_GB2312" w:eastAsia="仿宋_GB2312"/>
          <w:b w:val="0"/>
          <w:sz w:val="32"/>
        </w:rPr>
        <w:t>14.城乡社区支出(类)城乡社区规划与管理(款)城乡社区规划与管理(项):支出决算数为180.00万元，比上年决算减少205.35万元，下降53.29%,主要原因是：本年减少风险灾害普查工作项目、城区防涝建设项目。</w:t>
      </w:r>
    </w:p>
    <w:p w14:paraId="38EEFF3D">
      <w:pPr>
        <w:spacing w:line="580" w:lineRule="exact"/>
        <w:ind w:firstLine="640"/>
        <w:jc w:val="both"/>
      </w:pPr>
      <w:r>
        <w:rPr>
          <w:rFonts w:ascii="仿宋_GB2312" w:hAnsi="仿宋_GB2312" w:eastAsia="仿宋_GB2312"/>
          <w:b w:val="0"/>
          <w:sz w:val="32"/>
        </w:rPr>
        <w:t>15.城乡社区支出(类)城乡社区公共设施(款)小城镇基础设施建设(项):支出决算数为2,103.60万元，比上年决算减少3,100.80万元，下降59.58%,主要原因是：本年减少克州阿克陶县市政道路建设项目。</w:t>
      </w:r>
    </w:p>
    <w:p w14:paraId="41A827DC">
      <w:pPr>
        <w:spacing w:line="580" w:lineRule="exact"/>
        <w:ind w:firstLine="640"/>
        <w:jc w:val="both"/>
      </w:pPr>
      <w:r>
        <w:rPr>
          <w:rFonts w:ascii="仿宋_GB2312" w:hAnsi="仿宋_GB2312" w:eastAsia="仿宋_GB2312"/>
          <w:b w:val="0"/>
          <w:sz w:val="32"/>
        </w:rPr>
        <w:t>16.城乡社区支出(类)城乡社区公共设施(款)其他城乡社区公共设施支出(项):支出决算数为3,290.45万元，比上年决算减少727.51万元，下降18.11%,主要原因是：本年减少克州阿克陶县2022年燃气老化更新改造建设项目。</w:t>
      </w:r>
    </w:p>
    <w:p w14:paraId="7D32285B">
      <w:pPr>
        <w:spacing w:line="580" w:lineRule="exact"/>
        <w:ind w:firstLine="640"/>
        <w:jc w:val="both"/>
      </w:pPr>
      <w:r>
        <w:rPr>
          <w:rFonts w:ascii="仿宋_GB2312" w:hAnsi="仿宋_GB2312" w:eastAsia="仿宋_GB2312"/>
          <w:b w:val="0"/>
          <w:sz w:val="32"/>
        </w:rPr>
        <w:t>17.城乡社区支出(类)城乡社区环境卫生(款)城乡社区环境卫生(项):支出决算数为120.00万元，比上年决算减少465.00万元，下降79.49%,主要原因是：本年减少阿克陶县城市市容整治建设项目、克州阿克陶县市政公共设施基础设施建设项目-节点绿化和补植项目。</w:t>
      </w:r>
    </w:p>
    <w:p w14:paraId="69F7D9BD">
      <w:pPr>
        <w:spacing w:line="580" w:lineRule="exact"/>
        <w:ind w:firstLine="640"/>
        <w:jc w:val="both"/>
      </w:pPr>
      <w:r>
        <w:rPr>
          <w:rFonts w:ascii="仿宋_GB2312" w:hAnsi="仿宋_GB2312" w:eastAsia="仿宋_GB2312"/>
          <w:b w:val="0"/>
          <w:sz w:val="32"/>
        </w:rPr>
        <w:t>18.城乡社区支出(类)其他城乡社区支出(款)其他城乡社区支出(项):支出决算数为0.00万元，比上年决算减少36.30万元，下降100.00%,主要原因是：本年减少“两案一书”编制费。</w:t>
      </w:r>
    </w:p>
    <w:p w14:paraId="56A6EC98">
      <w:pPr>
        <w:spacing w:line="580" w:lineRule="exact"/>
        <w:ind w:firstLine="640"/>
        <w:jc w:val="both"/>
      </w:pPr>
      <w:r>
        <w:rPr>
          <w:rFonts w:ascii="仿宋_GB2312" w:hAnsi="仿宋_GB2312" w:eastAsia="仿宋_GB2312"/>
          <w:b w:val="0"/>
          <w:sz w:val="32"/>
        </w:rPr>
        <w:t>19.住房保障支出(类)保障性安居工程支出(款)棚户区改造(项):支出决算数为238.96万元，比上年决算减少21,433.27万元，下降98.90%,主要原因是：本年减少阿克陶县住建局历年拆迁等项目。</w:t>
      </w:r>
    </w:p>
    <w:p w14:paraId="1F00D5BC">
      <w:pPr>
        <w:spacing w:line="580" w:lineRule="exact"/>
        <w:ind w:firstLine="640"/>
        <w:jc w:val="both"/>
      </w:pPr>
      <w:r>
        <w:rPr>
          <w:rFonts w:ascii="仿宋_GB2312" w:hAnsi="仿宋_GB2312" w:eastAsia="仿宋_GB2312"/>
          <w:b w:val="0"/>
          <w:sz w:val="32"/>
        </w:rPr>
        <w:t>20.住房保障支出(类)保障性安居工程支出(款)少数民族地区游牧民定居工程(项):支出决算数为1,469.76万元，比上年决算增加1,469.76万元，增长100.00%,主要原因是：本年增加阿克陶县牧民越冬放牧点生产用房居住采购项目。</w:t>
      </w:r>
    </w:p>
    <w:p w14:paraId="09FD7BA3">
      <w:pPr>
        <w:spacing w:line="580" w:lineRule="exact"/>
        <w:ind w:firstLine="640"/>
        <w:jc w:val="both"/>
      </w:pPr>
      <w:r>
        <w:rPr>
          <w:rFonts w:ascii="仿宋_GB2312" w:hAnsi="仿宋_GB2312" w:eastAsia="仿宋_GB2312"/>
          <w:b w:val="0"/>
          <w:sz w:val="32"/>
        </w:rPr>
        <w:t>21.住房保障支出(类)保障性安居工程支出(款)公共租赁住房(项):支出决算数为129.64万元，比上年决算减少444.36万元，下降77.41%,主要原因是：本年减少城镇保障性安居工程建设项目。</w:t>
      </w:r>
    </w:p>
    <w:p w14:paraId="0BF7EB26">
      <w:pPr>
        <w:spacing w:line="580" w:lineRule="exact"/>
        <w:ind w:firstLine="640"/>
        <w:jc w:val="both"/>
      </w:pPr>
      <w:r>
        <w:rPr>
          <w:rFonts w:ascii="仿宋_GB2312" w:hAnsi="仿宋_GB2312" w:eastAsia="仿宋_GB2312"/>
          <w:b w:val="0"/>
          <w:sz w:val="32"/>
        </w:rPr>
        <w:t>22.住房保障支出(类)保障性安居工程支出(款)老旧小区改造(项):支出决算数为0.00万元，比上年决算减少926.31万元，下降100.00%,主要原因是：本年度减少阿克陶县2022年保障性安居工程城市燃气设施更新改造项目支出。</w:t>
      </w:r>
    </w:p>
    <w:p w14:paraId="7CB43CBA">
      <w:pPr>
        <w:spacing w:line="580" w:lineRule="exact"/>
        <w:ind w:firstLine="640"/>
        <w:jc w:val="both"/>
      </w:pPr>
      <w:r>
        <w:rPr>
          <w:rFonts w:ascii="仿宋_GB2312" w:hAnsi="仿宋_GB2312" w:eastAsia="仿宋_GB2312"/>
          <w:b w:val="0"/>
          <w:sz w:val="32"/>
        </w:rPr>
        <w:t>23.住房保障支出(类)保障性安居工程支出(款)保障性租赁住房(项):支出决算数为213.00万元，比上年决算增加213.00万元，增长100.00%,主要原因是：本年增加保障性租赁住房项目补助资金。</w:t>
      </w:r>
    </w:p>
    <w:p w14:paraId="11872EE0">
      <w:pPr>
        <w:spacing w:line="580" w:lineRule="exact"/>
        <w:ind w:firstLine="640"/>
        <w:jc w:val="both"/>
      </w:pPr>
      <w:r>
        <w:rPr>
          <w:rFonts w:ascii="仿宋_GB2312" w:hAnsi="仿宋_GB2312" w:eastAsia="仿宋_GB2312"/>
          <w:b w:val="0"/>
          <w:sz w:val="32"/>
        </w:rPr>
        <w:t>24.住房保障支出(类)保障性安居工程支出(款)其他保障性安居工程支出(项):支出决算数为420.17万元，比上年决算减少23.10万元，下降5.21%,主要原因是：本年减少2022年老旧小区改造配套基础设施建设奖励项目-保温工程。</w:t>
      </w:r>
    </w:p>
    <w:p w14:paraId="591D8CEA">
      <w:pPr>
        <w:spacing w:line="580" w:lineRule="exact"/>
        <w:ind w:firstLine="640"/>
        <w:jc w:val="both"/>
      </w:pPr>
      <w:r>
        <w:rPr>
          <w:rFonts w:ascii="仿宋_GB2312" w:hAnsi="仿宋_GB2312" w:eastAsia="仿宋_GB2312"/>
          <w:b w:val="0"/>
          <w:sz w:val="32"/>
        </w:rPr>
        <w:t>25.住房保障支出(类)住房改革支出(款)住房公积金(项):支出决算数为38.80万元，比上年决算增加6.10万元，增长18.65%,主要原因是：一是本年在职人员工资基数调增，公积金缴费基数上涨，相应支出增加；二是本年在职人员增加，住房公积金支出较上年增加。</w:t>
      </w:r>
    </w:p>
    <w:p w14:paraId="3FF04CB4">
      <w:pPr>
        <w:spacing w:line="580" w:lineRule="exact"/>
        <w:ind w:firstLine="640"/>
        <w:jc w:val="both"/>
      </w:pPr>
      <w:r>
        <w:rPr>
          <w:rFonts w:ascii="仿宋_GB2312" w:hAnsi="仿宋_GB2312" w:eastAsia="仿宋_GB2312"/>
          <w:b w:val="0"/>
          <w:sz w:val="32"/>
        </w:rPr>
        <w:t>26.住房保障支出(类)城乡社区住宅(款)其他城乡社区住宅支出(项):支出决算数为71.70万元，比上年决算增加71.70万元，增长100.00%,主要原因是：本年增加城镇住宅建筑抗震安全排查评估项目。</w:t>
      </w:r>
    </w:p>
    <w:p w14:paraId="769333A7">
      <w:pPr>
        <w:spacing w:line="580" w:lineRule="exact"/>
        <w:ind w:firstLine="640"/>
        <w:jc w:val="both"/>
      </w:pPr>
      <w:r>
        <w:rPr>
          <w:rFonts w:ascii="仿宋_GB2312" w:hAnsi="仿宋_GB2312" w:eastAsia="仿宋_GB2312"/>
          <w:b w:val="0"/>
          <w:sz w:val="32"/>
        </w:rPr>
        <w:t>27.其他支出(类)其他支出(款)其他支出(项):支出决算数为340.00万元，比上年决算减少128.90万元，下降27.49%,主要原因是：本年减少克州阿克陶县2022年城区供水管网改造项目。</w:t>
      </w:r>
    </w:p>
    <w:p w14:paraId="1A973C85">
      <w:pPr>
        <w:spacing w:line="640" w:lineRule="exact"/>
        <w:ind w:firstLine="640"/>
        <w:jc w:val="both"/>
        <w:outlineLvl w:val="2"/>
      </w:pPr>
      <w:r>
        <w:rPr>
          <w:rFonts w:ascii="黑体" w:hAnsi="黑体" w:eastAsia="黑体"/>
          <w:sz w:val="32"/>
        </w:rPr>
        <w:t>六、一般公共预算财政拨款基本支出决算情况说明</w:t>
      </w:r>
    </w:p>
    <w:p w14:paraId="58A062A3">
      <w:pPr>
        <w:spacing w:line="580" w:lineRule="exact"/>
        <w:ind w:firstLine="640"/>
        <w:jc w:val="both"/>
      </w:pPr>
      <w:r>
        <w:rPr>
          <w:rFonts w:ascii="仿宋_GB2312" w:hAnsi="仿宋_GB2312" w:eastAsia="仿宋_GB2312"/>
          <w:b w:val="0"/>
          <w:sz w:val="32"/>
        </w:rPr>
        <w:t>2024年度一般公共预算财政拨款基本支出554.66万元，其中：</w:t>
      </w:r>
      <w:r>
        <w:rPr>
          <w:rFonts w:ascii="仿宋_GB2312" w:hAnsi="仿宋_GB2312" w:eastAsia="仿宋_GB2312"/>
          <w:b/>
          <w:sz w:val="32"/>
        </w:rPr>
        <w:t>人员经费497.67万元，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包括：基本工资、津贴补贴、奖金、机关事业单位基本养老保险缴费、职业年金缴费、职工基本医疗保险缴费、其他社会保障缴费、住房公积金、退休费、生活补助、奖励金、其他对个人和家庭的补助。</w:t>
      </w:r>
    </w:p>
    <w:p w14:paraId="33302112">
      <w:pPr>
        <w:spacing w:line="580" w:lineRule="exact"/>
        <w:ind w:firstLine="640"/>
        <w:jc w:val="both"/>
      </w:pPr>
      <w:r>
        <w:rPr>
          <w:rFonts w:ascii="仿宋_GB2312" w:hAnsi="仿宋_GB2312" w:eastAsia="仿宋_GB2312"/>
          <w:b/>
          <w:sz w:val="32"/>
        </w:rPr>
        <w:t>公用经费56.99万元，</w:t>
      </w:r>
      <w:r>
        <w:rPr>
          <w:rFonts w:ascii="仿宋_GB2312" w:hAnsi="仿宋_GB2312" w:eastAsia="仿宋_GB2312"/>
          <w:b w:val="0"/>
          <w:sz w:val="32"/>
        </w:rPr>
        <w:t>包括：办公费、水费、电费、邮电费、取暖费、差旅费、公务用车运行维护费、税金及附加费用。</w:t>
      </w:r>
    </w:p>
    <w:p w14:paraId="38314D67">
      <w:pPr>
        <w:spacing w:line="640" w:lineRule="exact"/>
        <w:ind w:firstLine="640"/>
        <w:jc w:val="both"/>
        <w:outlineLvl w:val="2"/>
      </w:pPr>
      <w:r>
        <w:rPr>
          <w:rFonts w:ascii="黑体" w:hAnsi="黑体" w:eastAsia="黑体"/>
          <w:sz w:val="32"/>
        </w:rPr>
        <w:t>七、政府性基金预算财政拨款收入支出决算情况说明</w:t>
      </w:r>
    </w:p>
    <w:p w14:paraId="4451FABB">
      <w:pPr>
        <w:spacing w:line="580" w:lineRule="exact"/>
        <w:ind w:firstLine="640"/>
        <w:jc w:val="both"/>
      </w:pPr>
      <w:r>
        <w:rPr>
          <w:rFonts w:ascii="仿宋_GB2312" w:hAnsi="仿宋_GB2312" w:eastAsia="仿宋_GB2312"/>
          <w:b/>
          <w:sz w:val="32"/>
        </w:rPr>
        <w:t>2024年度政府性基金预算财政拨款收入总计5,528.27万元，</w:t>
      </w:r>
      <w:r>
        <w:rPr>
          <w:rFonts w:ascii="仿宋_GB2312" w:hAnsi="仿宋_GB2312" w:eastAsia="仿宋_GB2312"/>
          <w:b w:val="0"/>
          <w:sz w:val="32"/>
        </w:rPr>
        <w:t>其中：年初结转和结余0.00万元，本年收入5,528.27万元。</w:t>
      </w:r>
      <w:r>
        <w:rPr>
          <w:rFonts w:ascii="仿宋_GB2312" w:hAnsi="仿宋_GB2312" w:eastAsia="仿宋_GB2312"/>
          <w:b/>
          <w:sz w:val="32"/>
        </w:rPr>
        <w:t>政府性基金预算财政拨款支出总计5,528.27万元，</w:t>
      </w:r>
      <w:r>
        <w:rPr>
          <w:rFonts w:ascii="仿宋_GB2312" w:hAnsi="仿宋_GB2312" w:eastAsia="仿宋_GB2312"/>
          <w:b w:val="0"/>
          <w:sz w:val="32"/>
        </w:rPr>
        <w:t>其中：年末结转和结余0.00万元，本年支出5,528.27万元。</w:t>
      </w:r>
    </w:p>
    <w:p w14:paraId="6287BC0D">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55,104.15万元，下降90.88%，主要原因是：本年阿克陶县阳光丽景小区惠民小区及白山小区棚户区改造建设项目、阿克陶县城区集中供热改造项目、阿克陶县垃圾处理综合利用工程建设项目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年初预算数8,153.02万元，决算数5,528.27万元，预决算差异率-32.19%，主要原因是：年中调减阿克陶县城区集中供热改造项目、克州阿克陶县市政道路基础设施配套项目资金，导致预决算存在差异。</w:t>
      </w:r>
    </w:p>
    <w:p w14:paraId="2E85EA07">
      <w:pPr>
        <w:spacing w:line="580" w:lineRule="exact"/>
        <w:ind w:firstLine="640"/>
        <w:jc w:val="both"/>
      </w:pPr>
      <w:r>
        <w:rPr>
          <w:rFonts w:ascii="仿宋_GB2312" w:hAnsi="仿宋_GB2312" w:eastAsia="仿宋_GB2312"/>
          <w:b w:val="0"/>
          <w:sz w:val="32"/>
        </w:rPr>
        <w:t>政府性基金预算财政拨款支出5,528.27万元。</w:t>
      </w:r>
    </w:p>
    <w:p w14:paraId="41FA69A9">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1.城乡社区支出(类)国有土地使用权出让收入安排的支出(款)征地和拆迁补偿支出(项):支出决算数为0.00万元，比上年决算减少298.44万元，下降100.00%,主要原因是：本年减少艾力夏提300套安置房回购项目。</w:t>
      </w:r>
    </w:p>
    <w:p w14:paraId="6C305F7C">
      <w:pPr>
        <w:spacing w:line="580" w:lineRule="exact"/>
        <w:ind w:firstLine="640"/>
        <w:jc w:val="both"/>
      </w:pPr>
      <w:r>
        <w:rPr>
          <w:rFonts w:ascii="仿宋_GB2312" w:hAnsi="仿宋_GB2312" w:eastAsia="仿宋_GB2312"/>
          <w:b w:val="0"/>
          <w:sz w:val="32"/>
        </w:rPr>
        <w:t>2.城乡社区支出(类)国有土地使用权出让收入安排的支出(款)城市建设支出(项):支出决算数为0.00万元，比上年决算减少54.33万元，下降100.00%,主要原因是：本年减少阿克陶县阳光丽景小区惠民小区及白山小区棚户区改造建设项目植被恢复费支出。</w:t>
      </w:r>
    </w:p>
    <w:p w14:paraId="62D5EB07">
      <w:pPr>
        <w:spacing w:line="580" w:lineRule="exact"/>
        <w:ind w:firstLine="640"/>
        <w:jc w:val="both"/>
      </w:pPr>
      <w:r>
        <w:rPr>
          <w:rFonts w:ascii="仿宋_GB2312" w:hAnsi="仿宋_GB2312" w:eastAsia="仿宋_GB2312"/>
          <w:b w:val="0"/>
          <w:sz w:val="32"/>
        </w:rPr>
        <w:t>3.城乡社区支出(类)国有土地使用权出让收入安排的支出(款)农村基础设施建设支出(项):支出决算数为4.22万元，比上年决算增加4.22万元，增长100.00%,主要原因是：本年支付阿克陶县供水改造基础设施建设项目草原植被恢复费，经费增加。</w:t>
      </w:r>
    </w:p>
    <w:p w14:paraId="5FC8F658">
      <w:pPr>
        <w:spacing w:line="580" w:lineRule="exact"/>
        <w:ind w:firstLine="640"/>
        <w:jc w:val="both"/>
      </w:pPr>
      <w:r>
        <w:rPr>
          <w:rFonts w:ascii="仿宋_GB2312" w:hAnsi="仿宋_GB2312" w:eastAsia="仿宋_GB2312"/>
          <w:b w:val="0"/>
          <w:sz w:val="32"/>
        </w:rPr>
        <w:t>4.城乡社区支出(类)城市基础设施配套费安排的支出(款)城市公共设施(项):支出决算数为301.62万元，比上年决算增加301.62万元，增长100.00%,主要原因是：本年增加阿克陶县市政基础设施管理服务采购项目。</w:t>
      </w:r>
    </w:p>
    <w:p w14:paraId="56847E7B">
      <w:pPr>
        <w:spacing w:line="580" w:lineRule="exact"/>
        <w:ind w:firstLine="640"/>
        <w:jc w:val="both"/>
      </w:pPr>
      <w:r>
        <w:rPr>
          <w:rFonts w:ascii="仿宋_GB2312" w:hAnsi="仿宋_GB2312" w:eastAsia="仿宋_GB2312"/>
          <w:b w:val="0"/>
          <w:sz w:val="32"/>
        </w:rPr>
        <w:t>5.城乡社区支出(类)城市基础设施配套费安排的支出(款)其他城市基础设施配套费安排的支出(项):支出决算数为0.00万元，比上年决算减少35.79万元，下降100.00%,主要原因是：本年减少棚区改造白山小区用地耕地开垦费。</w:t>
      </w:r>
    </w:p>
    <w:p w14:paraId="1E395513">
      <w:pPr>
        <w:spacing w:line="580" w:lineRule="exact"/>
        <w:ind w:firstLine="640"/>
        <w:jc w:val="both"/>
      </w:pPr>
      <w:r>
        <w:rPr>
          <w:rFonts w:ascii="仿宋_GB2312" w:hAnsi="仿宋_GB2312" w:eastAsia="仿宋_GB2312"/>
          <w:b w:val="0"/>
          <w:sz w:val="32"/>
        </w:rPr>
        <w:t>6.城乡社区支出(类)污水处理费安排的支出(款)污水处理设施建设和运营(项):支出决算数为321.03万元，比上年决算增加321.03万元，增长100.00%,主要原因是：本年增加城东、城北污水处理厂运行费。</w:t>
      </w:r>
    </w:p>
    <w:p w14:paraId="1A9AE98A">
      <w:pPr>
        <w:spacing w:line="580" w:lineRule="exact"/>
        <w:ind w:firstLine="640"/>
        <w:jc w:val="both"/>
      </w:pPr>
      <w:r>
        <w:rPr>
          <w:rFonts w:ascii="仿宋_GB2312" w:hAnsi="仿宋_GB2312" w:eastAsia="仿宋_GB2312"/>
          <w:b w:val="0"/>
          <w:sz w:val="32"/>
        </w:rPr>
        <w:t>7.城乡社区支出(类)棚户区改造专项债券收入安排的支出(款)其他棚户区改造专项债券收入安排的支出(项):支出决算数为4,609.40万元，比上年决算减少10,674.65万元，下降69.84%,主要原因是：本年阿克陶县阳光丽景小区、惠民小区及白山小区棚户区改造建设项目支出较上年减少。</w:t>
      </w:r>
    </w:p>
    <w:p w14:paraId="215B6D7C">
      <w:pPr>
        <w:spacing w:line="580" w:lineRule="exact"/>
        <w:ind w:firstLine="640"/>
        <w:jc w:val="both"/>
      </w:pPr>
      <w:r>
        <w:rPr>
          <w:rFonts w:ascii="仿宋_GB2312" w:hAnsi="仿宋_GB2312" w:eastAsia="仿宋_GB2312"/>
          <w:b w:val="0"/>
          <w:sz w:val="32"/>
        </w:rPr>
        <w:t>8.城乡社区支出(类)国有土地使用权出让收入对应专项债务收入安排的支出(款)其他国有土地使用权出让收入对应专项债务收入安排的支出(项):支出决算数为0.00万元，比上年决算减少34,200.00万元，下降100.00%,主要原因是：本年减少2016年棚户区改造及配套基础设施建设项目贷款本金、2015年棚户区改造项目贷款本金。</w:t>
      </w:r>
    </w:p>
    <w:p w14:paraId="7D6AF5FF">
      <w:pPr>
        <w:spacing w:line="580" w:lineRule="exact"/>
        <w:ind w:firstLine="640"/>
        <w:jc w:val="both"/>
      </w:pPr>
      <w:r>
        <w:rPr>
          <w:rFonts w:ascii="仿宋_GB2312" w:hAnsi="仿宋_GB2312" w:eastAsia="仿宋_GB2312"/>
          <w:b w:val="0"/>
          <w:sz w:val="32"/>
        </w:rPr>
        <w:t>9.其他支出(类)其他政府性基金及对应专项债务收入安排的支出(款)其他地方自行试点项目收益专项债券收入安排的支出(项):支出决算数为292.00万元，比上年决算减少10,467.82万元，下降97.29%,主要原因是：本年减少阿克陶县垃圾处理综合利用建设项目、阿克陶县市政公共基础设施建设项目、阿克陶县城北轻工业园区中水库及综合利用管网建设、阿克陶县城区集中供热改造等项目支出。</w:t>
      </w:r>
    </w:p>
    <w:p w14:paraId="1C4F7475">
      <w:pPr>
        <w:spacing w:line="640" w:lineRule="exact"/>
        <w:ind w:firstLine="640"/>
        <w:jc w:val="both"/>
        <w:outlineLvl w:val="2"/>
      </w:pPr>
      <w:r>
        <w:rPr>
          <w:rFonts w:ascii="黑体" w:hAnsi="黑体" w:eastAsia="黑体"/>
          <w:sz w:val="32"/>
        </w:rPr>
        <w:t>八、国有资本经营预算财政拨款收入支出决算情况说明</w:t>
      </w:r>
    </w:p>
    <w:p w14:paraId="0F7AE5A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F433678">
      <w:pPr>
        <w:spacing w:line="640" w:lineRule="exact"/>
        <w:ind w:firstLine="640"/>
        <w:jc w:val="both"/>
        <w:outlineLvl w:val="2"/>
      </w:pPr>
      <w:r>
        <w:rPr>
          <w:rFonts w:ascii="黑体" w:hAnsi="黑体" w:eastAsia="黑体"/>
          <w:sz w:val="32"/>
        </w:rPr>
        <w:t>九、财政拨款“三公”经费支出决算情况说明</w:t>
      </w:r>
    </w:p>
    <w:p w14:paraId="7906355D">
      <w:pPr>
        <w:spacing w:line="580" w:lineRule="exact"/>
        <w:ind w:firstLine="640"/>
        <w:jc w:val="both"/>
      </w:pPr>
      <w:r>
        <w:rPr>
          <w:rFonts w:ascii="仿宋_GB2312" w:hAnsi="仿宋_GB2312" w:eastAsia="仿宋_GB2312"/>
          <w:b/>
          <w:sz w:val="32"/>
        </w:rPr>
        <w:t>2024年度财政拨款“三公”经费支出3.60万元，</w:t>
      </w:r>
      <w:r>
        <w:rPr>
          <w:rFonts w:ascii="仿宋_GB2312" w:hAnsi="仿宋_GB2312" w:eastAsia="仿宋_GB2312"/>
          <w:b w:val="0"/>
          <w:sz w:val="32"/>
        </w:rPr>
        <w:t>比上年增加1.16万元，增长47.54%，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3.60万元，占100.00%，比上年增加1.16万元，增长47.54%，主要原因是：本单位公务用车日渐老化，维修维护成本增加，导致公务用车运行维护费较上年增加。公务接待费支出0.00万元，占0.00%，比上年增加0.00万元，增长0.00%，主要原因是：2023年与2024年均未安排公务接待费支出。</w:t>
      </w:r>
    </w:p>
    <w:p w14:paraId="14BBFA95">
      <w:pPr>
        <w:spacing w:line="580" w:lineRule="exact"/>
        <w:ind w:firstLine="640"/>
        <w:jc w:val="both"/>
      </w:pPr>
      <w:r>
        <w:rPr>
          <w:rFonts w:ascii="仿宋_GB2312" w:hAnsi="仿宋_GB2312" w:eastAsia="仿宋_GB2312"/>
          <w:b/>
          <w:sz w:val="32"/>
        </w:rPr>
        <w:t>具体情况如下：</w:t>
      </w:r>
    </w:p>
    <w:p w14:paraId="0F6A063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A1B7D76">
      <w:pPr>
        <w:spacing w:line="580" w:lineRule="exact"/>
        <w:ind w:firstLine="640"/>
        <w:jc w:val="both"/>
      </w:pPr>
      <w:r>
        <w:rPr>
          <w:rFonts w:ascii="仿宋_GB2312" w:hAnsi="仿宋_GB2312" w:eastAsia="仿宋_GB2312"/>
          <w:b w:val="0"/>
          <w:sz w:val="32"/>
        </w:rPr>
        <w:t>公务用车购置及运行维护费3.60万元，其中：公务用车购置费0.00万元，公务用车运行维护费3.60万元。公务用车运行维护费开支内容包括车辆加油费、维修费、保险费、审车费、过路费等。公务用车购置数0辆，公务用车保有量4辆。国有资产占用情况中固定资产车辆4辆，与公务用车保有量差异原因是：本单位固定资产车辆与公务用车保有量一致无差异。</w:t>
      </w:r>
    </w:p>
    <w:p w14:paraId="2B3D89F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5B2BAF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3.60万元，决算数3.60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3.60万元，决算数3.60万元，预决算差异率0.00%，主要原因是：严格按照预算执行，预决算无差异。公务接待费全年预算数0.00万元，决算数0.00万元，预决算差异率0.00%，主要原因是：本单位无公务接待费。</w:t>
      </w:r>
    </w:p>
    <w:p w14:paraId="5050E041">
      <w:pPr>
        <w:spacing w:line="640" w:lineRule="exact"/>
        <w:ind w:firstLine="640"/>
        <w:jc w:val="both"/>
        <w:outlineLvl w:val="2"/>
      </w:pPr>
      <w:r>
        <w:rPr>
          <w:rFonts w:ascii="黑体" w:hAnsi="黑体" w:eastAsia="黑体"/>
          <w:sz w:val="32"/>
        </w:rPr>
        <w:t>十、其他重要事项的情况说明</w:t>
      </w:r>
    </w:p>
    <w:p w14:paraId="6F6C71BA">
      <w:pPr>
        <w:spacing w:line="640" w:lineRule="exact"/>
        <w:ind w:firstLine="640"/>
        <w:jc w:val="both"/>
        <w:outlineLvl w:val="3"/>
      </w:pPr>
      <w:r>
        <w:rPr>
          <w:rFonts w:ascii="楷体_GB2312" w:hAnsi="楷体_GB2312" w:eastAsia="楷体_GB2312"/>
          <w:b/>
          <w:sz w:val="32"/>
        </w:rPr>
        <w:t>（一）机关运行经费及公用经费支出情况</w:t>
      </w:r>
    </w:p>
    <w:p w14:paraId="126128E2">
      <w:pPr>
        <w:spacing w:line="580" w:lineRule="exact"/>
        <w:ind w:firstLine="640"/>
        <w:jc w:val="both"/>
      </w:pPr>
      <w:r>
        <w:rPr>
          <w:rFonts w:ascii="仿宋_GB2312" w:hAnsi="仿宋_GB2312" w:eastAsia="仿宋_GB2312"/>
          <w:b w:val="0"/>
          <w:sz w:val="32"/>
        </w:rPr>
        <w:t>2024年度阿克陶县住房和城乡建设局（行政单位和参照公务员法管理事业单位）机关运行经费支出56.99万元，比上年减少378.33万元，下降86.91%，主要原因是：本年减少支付教育系统各学校取暖费。</w:t>
      </w:r>
    </w:p>
    <w:p w14:paraId="0803A4C1">
      <w:pPr>
        <w:spacing w:line="640" w:lineRule="exact"/>
        <w:ind w:firstLine="640"/>
        <w:jc w:val="both"/>
        <w:outlineLvl w:val="3"/>
      </w:pPr>
      <w:r>
        <w:rPr>
          <w:rFonts w:ascii="楷体_GB2312" w:hAnsi="楷体_GB2312" w:eastAsia="楷体_GB2312"/>
          <w:b/>
          <w:sz w:val="32"/>
        </w:rPr>
        <w:t>（二）政府采购情况</w:t>
      </w:r>
    </w:p>
    <w:p w14:paraId="766FF81E">
      <w:pPr>
        <w:spacing w:line="580" w:lineRule="exact"/>
        <w:ind w:firstLine="640"/>
        <w:jc w:val="both"/>
      </w:pPr>
      <w:r>
        <w:rPr>
          <w:rFonts w:ascii="仿宋_GB2312" w:hAnsi="仿宋_GB2312" w:eastAsia="仿宋_GB2312"/>
          <w:b w:val="0"/>
          <w:sz w:val="32"/>
        </w:rPr>
        <w:t>2024年度政府采购支出总额1,976.73万元，其中：政府采购货物支出1,652.73万元、政府采购工程支出0.00万元、政府采购服务支出324.00万元。</w:t>
      </w:r>
    </w:p>
    <w:p w14:paraId="38801409">
      <w:pPr>
        <w:spacing w:line="580" w:lineRule="exact"/>
        <w:ind w:firstLine="640"/>
        <w:jc w:val="both"/>
      </w:pPr>
      <w:r>
        <w:rPr>
          <w:rFonts w:ascii="仿宋_GB2312" w:hAnsi="仿宋_GB2312" w:eastAsia="仿宋_GB2312"/>
          <w:b w:val="0"/>
          <w:sz w:val="32"/>
        </w:rPr>
        <w:t>授予中小企业合同金额1,975.62万元，占政府采购支出总额的99.94%，其中：授予小微企业合同金额505.86万元，占政府采购支出总额的25.59%。</w:t>
      </w:r>
    </w:p>
    <w:p w14:paraId="65678769">
      <w:pPr>
        <w:spacing w:line="640" w:lineRule="exact"/>
        <w:ind w:firstLine="640"/>
        <w:jc w:val="both"/>
        <w:outlineLvl w:val="3"/>
      </w:pPr>
      <w:r>
        <w:rPr>
          <w:rFonts w:ascii="楷体_GB2312" w:hAnsi="楷体_GB2312" w:eastAsia="楷体_GB2312"/>
          <w:b/>
          <w:sz w:val="32"/>
        </w:rPr>
        <w:t>（三）国有资产占用情况说明</w:t>
      </w:r>
    </w:p>
    <w:p w14:paraId="573FB5C4">
      <w:pPr>
        <w:spacing w:line="580" w:lineRule="exact"/>
        <w:ind w:firstLine="640"/>
        <w:jc w:val="both"/>
      </w:pPr>
      <w:r>
        <w:rPr>
          <w:rFonts w:ascii="仿宋_GB2312" w:hAnsi="仿宋_GB2312" w:eastAsia="仿宋_GB2312"/>
          <w:b w:val="0"/>
          <w:sz w:val="32"/>
        </w:rPr>
        <w:t>截至2024年12月31日，房屋1,978.70平方米，价值173.68万元。车辆4辆，价值109.69万元，其中：副部（省）级及以上领导用车0辆、主要负责人用车2辆、机要通信用车0辆、应急保障用车0辆、执法执勤用车0辆、特种专业技术用车0辆、离退休干部服务用车0辆、其他用车2辆，其他用车主要是：中联牌清洗吸污车和中联牌吸污车。单价100万元（含）以上设备（不含车辆）0台（套）。</w:t>
      </w:r>
    </w:p>
    <w:p w14:paraId="5A59E7A2">
      <w:pPr>
        <w:spacing w:line="640" w:lineRule="exact"/>
        <w:ind w:firstLine="640"/>
        <w:jc w:val="both"/>
        <w:outlineLvl w:val="2"/>
      </w:pPr>
      <w:r>
        <w:rPr>
          <w:rFonts w:ascii="黑体" w:hAnsi="黑体" w:eastAsia="黑体"/>
          <w:sz w:val="32"/>
        </w:rPr>
        <w:t>十一、预算绩效的情况说明</w:t>
      </w:r>
    </w:p>
    <w:p w14:paraId="4DCEC42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18,551.50万元，实际执行总额18,411.27万元；预算绩效评价项目6个，全年预算数3,498.00万元，全年执行数2,613.64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一是加强学习，提高对绩效管理的认识，提高对绩效管理的重视度，对相关人员进行培训与宣传，树立事前、事中、事后全过程的监督评价机制。二是建立明确的绩效管理计划，绩效计划应对执行绩效管理作出深入细致的规划，保证各个环节有人负责，保证整个绩效管理过程可以追踪和考核。具体附整体支出绩效自评表，项目支出绩效自评表和评价报告。</w:t>
      </w:r>
    </w:p>
    <w:p w14:paraId="47253CE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207"/>
        <w:gridCol w:w="1003"/>
        <w:gridCol w:w="1247"/>
        <w:gridCol w:w="963"/>
        <w:gridCol w:w="1105"/>
        <w:gridCol w:w="1105"/>
      </w:tblGrid>
      <w:tr w14:paraId="74C87A0C">
        <w:tblPrEx>
          <w:tblCellMar>
            <w:top w:w="0" w:type="dxa"/>
            <w:left w:w="108" w:type="dxa"/>
            <w:bottom w:w="0" w:type="dxa"/>
            <w:right w:w="108" w:type="dxa"/>
          </w:tblCellMar>
        </w:tblPrEx>
        <w:tc>
          <w:tcPr>
            <w:tcW w:w="8840" w:type="dxa"/>
            <w:gridSpan w:val="8"/>
            <w:vAlign w:val="center"/>
          </w:tcPr>
          <w:p w14:paraId="6E24C141">
            <w:pPr>
              <w:jc w:val="center"/>
            </w:pPr>
            <w:r>
              <w:rPr>
                <w:rFonts w:ascii="宋体" w:hAnsi="宋体" w:eastAsia="宋体"/>
                <w:sz w:val="24"/>
              </w:rPr>
              <w:t>单位整体支出绩效自评表</w:t>
            </w:r>
          </w:p>
        </w:tc>
      </w:tr>
      <w:tr w14:paraId="12917F28">
        <w:tblPrEx>
          <w:tblCellMar>
            <w:top w:w="0" w:type="dxa"/>
            <w:left w:w="108" w:type="dxa"/>
            <w:bottom w:w="0" w:type="dxa"/>
            <w:right w:w="108" w:type="dxa"/>
          </w:tblCellMar>
        </w:tblPrEx>
        <w:tc>
          <w:tcPr>
            <w:tcW w:w="8840" w:type="dxa"/>
            <w:gridSpan w:val="8"/>
            <w:vAlign w:val="center"/>
          </w:tcPr>
          <w:p w14:paraId="5241EF1A">
            <w:pPr>
              <w:jc w:val="center"/>
            </w:pPr>
            <w:r>
              <w:rPr>
                <w:rFonts w:ascii="宋体" w:hAnsi="宋体" w:eastAsia="宋体"/>
                <w:sz w:val="24"/>
              </w:rPr>
              <w:t>（2024年度）</w:t>
            </w:r>
          </w:p>
        </w:tc>
      </w:tr>
      <w:tr w14:paraId="3272EAB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E1D4B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65ACC5">
            <w:pPr>
              <w:jc w:val="center"/>
            </w:pPr>
            <w:r>
              <w:rPr>
                <w:rFonts w:ascii="宋体" w:hAnsi="宋体" w:eastAsia="宋体"/>
                <w:sz w:val="16"/>
              </w:rPr>
              <w:t>阿克陶县住房和城乡建设局</w:t>
            </w:r>
          </w:p>
        </w:tc>
      </w:tr>
      <w:tr w14:paraId="42D393B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303973">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AB8337">
            <w:pPr>
              <w:jc w:val="center"/>
            </w:pPr>
            <w:r>
              <w:rPr>
                <w:rFonts w:ascii="宋体" w:hAnsi="宋体" w:eastAsia="宋体"/>
                <w:sz w:val="16"/>
              </w:rPr>
              <w:t>资金来源</w:t>
            </w:r>
          </w:p>
        </w:tc>
        <w:tc>
          <w:tcPr>
            <w:tcW w:w="1207" w:type="dxa"/>
            <w:tcBorders>
              <w:top w:val="single" w:color="auto" w:sz="10" w:space="0"/>
              <w:left w:val="single" w:color="auto" w:sz="10" w:space="0"/>
              <w:bottom w:val="single" w:color="auto" w:sz="10" w:space="0"/>
              <w:right w:val="single" w:color="auto" w:sz="10" w:space="0"/>
              <w:insideV w:val="single" w:sz="10" w:space="0"/>
            </w:tcBorders>
            <w:vAlign w:val="center"/>
          </w:tcPr>
          <w:p w14:paraId="5CDAC7F5">
            <w:pPr>
              <w:jc w:val="center"/>
            </w:pPr>
            <w:r>
              <w:rPr>
                <w:rFonts w:ascii="宋体" w:hAnsi="宋体" w:eastAsia="宋体"/>
                <w:sz w:val="16"/>
              </w:rPr>
              <w:t>年初预算数</w:t>
            </w:r>
          </w:p>
        </w:tc>
        <w:tc>
          <w:tcPr>
            <w:tcW w:w="1003" w:type="dxa"/>
            <w:tcBorders>
              <w:top w:val="single" w:color="auto" w:sz="10" w:space="0"/>
              <w:left w:val="single" w:color="auto" w:sz="10" w:space="0"/>
              <w:bottom w:val="single" w:color="auto" w:sz="10" w:space="0"/>
              <w:right w:val="single" w:color="auto" w:sz="10" w:space="0"/>
              <w:insideV w:val="single" w:sz="10" w:space="0"/>
            </w:tcBorders>
            <w:vAlign w:val="center"/>
          </w:tcPr>
          <w:p w14:paraId="5EC463F4">
            <w:pPr>
              <w:jc w:val="center"/>
            </w:pPr>
            <w:r>
              <w:rPr>
                <w:rFonts w:ascii="宋体" w:hAnsi="宋体" w:eastAsia="宋体"/>
                <w:sz w:val="16"/>
              </w:rPr>
              <w:t>预算数（调整后）</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14:paraId="01ACCFCE">
            <w:pPr>
              <w:jc w:val="center"/>
            </w:pPr>
            <w:r>
              <w:rPr>
                <w:rFonts w:ascii="宋体" w:hAnsi="宋体" w:eastAsia="宋体"/>
                <w:sz w:val="16"/>
              </w:rPr>
              <w:t>执行数</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14:paraId="70F9B6A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AC051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4361E">
            <w:pPr>
              <w:jc w:val="center"/>
            </w:pPr>
            <w:r>
              <w:rPr>
                <w:rFonts w:ascii="宋体" w:hAnsi="宋体" w:eastAsia="宋体"/>
                <w:sz w:val="16"/>
              </w:rPr>
              <w:t>得分</w:t>
            </w:r>
          </w:p>
        </w:tc>
      </w:tr>
      <w:tr w14:paraId="374272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E1653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6A6F9D">
            <w:pPr>
              <w:jc w:val="center"/>
            </w:pPr>
            <w:r>
              <w:rPr>
                <w:rFonts w:ascii="宋体" w:hAnsi="宋体" w:eastAsia="宋体"/>
                <w:sz w:val="16"/>
              </w:rPr>
              <w:t>年度总资金：</w:t>
            </w:r>
          </w:p>
        </w:tc>
        <w:tc>
          <w:tcPr>
            <w:tcW w:w="1207" w:type="dxa"/>
            <w:tcBorders>
              <w:top w:val="single" w:color="auto" w:sz="10" w:space="0"/>
              <w:left w:val="single" w:color="auto" w:sz="10" w:space="0"/>
              <w:bottom w:val="single" w:color="auto" w:sz="10" w:space="0"/>
              <w:right w:val="single" w:color="auto" w:sz="10" w:space="0"/>
              <w:insideV w:val="single" w:sz="10" w:space="0"/>
            </w:tcBorders>
            <w:vAlign w:val="center"/>
          </w:tcPr>
          <w:p w14:paraId="13476FAB">
            <w:pPr>
              <w:jc w:val="center"/>
            </w:pPr>
            <w:r>
              <w:rPr>
                <w:rFonts w:ascii="宋体" w:hAnsi="宋体" w:eastAsia="宋体"/>
                <w:sz w:val="16"/>
              </w:rPr>
              <w:t>3,970.76</w:t>
            </w:r>
          </w:p>
        </w:tc>
        <w:tc>
          <w:tcPr>
            <w:tcW w:w="1003" w:type="dxa"/>
            <w:tcBorders>
              <w:top w:val="single" w:color="auto" w:sz="10" w:space="0"/>
              <w:left w:val="single" w:color="auto" w:sz="10" w:space="0"/>
              <w:bottom w:val="single" w:color="auto" w:sz="10" w:space="0"/>
              <w:right w:val="single" w:color="auto" w:sz="10" w:space="0"/>
              <w:insideV w:val="single" w:sz="10" w:space="0"/>
            </w:tcBorders>
            <w:vAlign w:val="center"/>
          </w:tcPr>
          <w:p w14:paraId="7EA6CD97">
            <w:pPr>
              <w:jc w:val="center"/>
            </w:pPr>
            <w:r>
              <w:rPr>
                <w:rFonts w:ascii="宋体" w:hAnsi="宋体" w:eastAsia="宋体"/>
                <w:sz w:val="16"/>
              </w:rPr>
              <w:t>18,551.50</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14:paraId="42DAC3D7">
            <w:pPr>
              <w:jc w:val="center"/>
            </w:pPr>
            <w:r>
              <w:rPr>
                <w:rFonts w:ascii="宋体" w:hAnsi="宋体" w:eastAsia="宋体"/>
                <w:sz w:val="16"/>
              </w:rPr>
              <w:t>18,411.27</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14:paraId="2348242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BE9094">
            <w:pPr>
              <w:jc w:val="center"/>
            </w:pPr>
            <w:r>
              <w:rPr>
                <w:rFonts w:ascii="宋体" w:hAnsi="宋体" w:eastAsia="宋体"/>
                <w:sz w:val="16"/>
              </w:rPr>
              <w:t>99.24%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820825">
            <w:pPr>
              <w:jc w:val="center"/>
            </w:pPr>
            <w:r>
              <w:rPr>
                <w:rFonts w:ascii="宋体" w:hAnsi="宋体" w:eastAsia="宋体"/>
                <w:sz w:val="16"/>
              </w:rPr>
              <w:t>9.92</w:t>
            </w:r>
          </w:p>
        </w:tc>
      </w:tr>
      <w:tr w14:paraId="3A4F28C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9FBD2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AFB82">
            <w:pPr>
              <w:jc w:val="center"/>
            </w:pPr>
            <w:r>
              <w:rPr>
                <w:rFonts w:ascii="宋体" w:hAnsi="宋体" w:eastAsia="宋体"/>
                <w:sz w:val="16"/>
              </w:rPr>
              <w:t>上级资金：</w:t>
            </w:r>
          </w:p>
        </w:tc>
        <w:tc>
          <w:tcPr>
            <w:tcW w:w="1207" w:type="dxa"/>
            <w:tcBorders>
              <w:top w:val="single" w:color="auto" w:sz="10" w:space="0"/>
              <w:left w:val="single" w:color="auto" w:sz="10" w:space="0"/>
              <w:bottom w:val="single" w:color="auto" w:sz="10" w:space="0"/>
              <w:right w:val="single" w:color="auto" w:sz="10" w:space="0"/>
              <w:insideV w:val="single" w:sz="10" w:space="0"/>
            </w:tcBorders>
            <w:vAlign w:val="center"/>
          </w:tcPr>
          <w:p w14:paraId="71153E0C">
            <w:pPr>
              <w:jc w:val="center"/>
            </w:pPr>
            <w:r>
              <w:rPr>
                <w:rFonts w:ascii="宋体" w:hAnsi="宋体" w:eastAsia="宋体"/>
                <w:sz w:val="16"/>
              </w:rPr>
              <w:t>2,916.00</w:t>
            </w:r>
          </w:p>
        </w:tc>
        <w:tc>
          <w:tcPr>
            <w:tcW w:w="1003" w:type="dxa"/>
            <w:tcBorders>
              <w:top w:val="single" w:color="auto" w:sz="10" w:space="0"/>
              <w:left w:val="single" w:color="auto" w:sz="10" w:space="0"/>
              <w:bottom w:val="single" w:color="auto" w:sz="10" w:space="0"/>
              <w:right w:val="single" w:color="auto" w:sz="10" w:space="0"/>
              <w:insideV w:val="single" w:sz="10" w:space="0"/>
            </w:tcBorders>
            <w:vAlign w:val="center"/>
          </w:tcPr>
          <w:p w14:paraId="400A45FC">
            <w:pPr>
              <w:jc w:val="center"/>
            </w:pPr>
            <w:r>
              <w:rPr>
                <w:rFonts w:ascii="宋体" w:hAnsi="宋体" w:eastAsia="宋体"/>
                <w:sz w:val="16"/>
              </w:rPr>
              <w:t>2,916.00</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14:paraId="30C8BF33">
            <w:pPr>
              <w:jc w:val="center"/>
            </w:pPr>
            <w:r>
              <w:rPr>
                <w:rFonts w:ascii="宋体" w:hAnsi="宋体" w:eastAsia="宋体"/>
                <w:sz w:val="16"/>
              </w:rPr>
              <w:t>2,916.00</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14:paraId="2C4348F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44082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907867">
            <w:pPr>
              <w:jc w:val="center"/>
            </w:pPr>
            <w:r>
              <w:rPr>
                <w:rFonts w:ascii="宋体" w:hAnsi="宋体" w:eastAsia="宋体"/>
                <w:sz w:val="16"/>
              </w:rPr>
              <w:t>—</w:t>
            </w:r>
          </w:p>
        </w:tc>
      </w:tr>
      <w:tr w14:paraId="4C10A8F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A03D8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40E20D">
            <w:pPr>
              <w:jc w:val="center"/>
            </w:pPr>
            <w:r>
              <w:rPr>
                <w:rFonts w:ascii="宋体" w:hAnsi="宋体" w:eastAsia="宋体"/>
                <w:sz w:val="16"/>
              </w:rPr>
              <w:t>本级资金：</w:t>
            </w:r>
          </w:p>
        </w:tc>
        <w:tc>
          <w:tcPr>
            <w:tcW w:w="1207" w:type="dxa"/>
            <w:tcBorders>
              <w:top w:val="single" w:color="auto" w:sz="10" w:space="0"/>
              <w:left w:val="single" w:color="auto" w:sz="10" w:space="0"/>
              <w:bottom w:val="single" w:color="auto" w:sz="10" w:space="0"/>
              <w:right w:val="single" w:color="auto" w:sz="10" w:space="0"/>
              <w:insideV w:val="single" w:sz="10" w:space="0"/>
            </w:tcBorders>
            <w:vAlign w:val="center"/>
          </w:tcPr>
          <w:p w14:paraId="691B3DF3">
            <w:pPr>
              <w:jc w:val="center"/>
            </w:pPr>
            <w:r>
              <w:rPr>
                <w:rFonts w:ascii="宋体" w:hAnsi="宋体" w:eastAsia="宋体"/>
                <w:sz w:val="16"/>
              </w:rPr>
              <w:t>1,054.76</w:t>
            </w:r>
          </w:p>
        </w:tc>
        <w:tc>
          <w:tcPr>
            <w:tcW w:w="1003" w:type="dxa"/>
            <w:tcBorders>
              <w:top w:val="single" w:color="auto" w:sz="10" w:space="0"/>
              <w:left w:val="single" w:color="auto" w:sz="10" w:space="0"/>
              <w:bottom w:val="single" w:color="auto" w:sz="10" w:space="0"/>
              <w:right w:val="single" w:color="auto" w:sz="10" w:space="0"/>
              <w:insideV w:val="single" w:sz="10" w:space="0"/>
            </w:tcBorders>
            <w:vAlign w:val="center"/>
          </w:tcPr>
          <w:p w14:paraId="40601862">
            <w:pPr>
              <w:jc w:val="center"/>
            </w:pPr>
            <w:r>
              <w:rPr>
                <w:rFonts w:ascii="宋体" w:hAnsi="宋体" w:eastAsia="宋体"/>
                <w:sz w:val="16"/>
              </w:rPr>
              <w:t>15,635.50</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14:paraId="4F5D8D7A">
            <w:pPr>
              <w:jc w:val="center"/>
            </w:pPr>
            <w:r>
              <w:rPr>
                <w:rFonts w:ascii="宋体" w:hAnsi="宋体" w:eastAsia="宋体"/>
                <w:sz w:val="16"/>
              </w:rPr>
              <w:t>15,495.27</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14:paraId="11BCEE3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63CAD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08972A">
            <w:pPr>
              <w:jc w:val="center"/>
            </w:pPr>
            <w:r>
              <w:rPr>
                <w:rFonts w:ascii="宋体" w:hAnsi="宋体" w:eastAsia="宋体"/>
                <w:sz w:val="16"/>
              </w:rPr>
              <w:t>—</w:t>
            </w:r>
          </w:p>
        </w:tc>
      </w:tr>
      <w:tr w14:paraId="3E1C733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1B4D8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BB480">
            <w:pPr>
              <w:jc w:val="center"/>
            </w:pPr>
            <w:r>
              <w:rPr>
                <w:rFonts w:ascii="宋体" w:hAnsi="宋体" w:eastAsia="宋体"/>
                <w:sz w:val="16"/>
              </w:rPr>
              <w:t>其他资金：</w:t>
            </w:r>
          </w:p>
        </w:tc>
        <w:tc>
          <w:tcPr>
            <w:tcW w:w="1207" w:type="dxa"/>
            <w:tcBorders>
              <w:top w:val="single" w:color="auto" w:sz="10" w:space="0"/>
              <w:left w:val="single" w:color="auto" w:sz="10" w:space="0"/>
              <w:bottom w:val="single" w:color="auto" w:sz="10" w:space="0"/>
              <w:right w:val="single" w:color="auto" w:sz="10" w:space="0"/>
              <w:insideV w:val="single" w:sz="10" w:space="0"/>
            </w:tcBorders>
            <w:vAlign w:val="center"/>
          </w:tcPr>
          <w:p w14:paraId="271413F4">
            <w:pPr>
              <w:jc w:val="center"/>
            </w:pPr>
            <w:r>
              <w:rPr>
                <w:rFonts w:ascii="宋体" w:hAnsi="宋体" w:eastAsia="宋体"/>
                <w:sz w:val="16"/>
              </w:rPr>
              <w:t>0.00</w:t>
            </w:r>
          </w:p>
        </w:tc>
        <w:tc>
          <w:tcPr>
            <w:tcW w:w="1003" w:type="dxa"/>
            <w:tcBorders>
              <w:top w:val="single" w:color="auto" w:sz="10" w:space="0"/>
              <w:left w:val="single" w:color="auto" w:sz="10" w:space="0"/>
              <w:bottom w:val="single" w:color="auto" w:sz="10" w:space="0"/>
              <w:right w:val="single" w:color="auto" w:sz="10" w:space="0"/>
              <w:insideV w:val="single" w:sz="10" w:space="0"/>
            </w:tcBorders>
            <w:vAlign w:val="center"/>
          </w:tcPr>
          <w:p w14:paraId="390173ED">
            <w:pPr>
              <w:jc w:val="center"/>
            </w:pPr>
            <w:r>
              <w:rPr>
                <w:rFonts w:ascii="宋体" w:hAnsi="宋体" w:eastAsia="宋体"/>
                <w:sz w:val="16"/>
              </w:rPr>
              <w:t>0.00</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14:paraId="56C26C2C">
            <w:pPr>
              <w:jc w:val="center"/>
            </w:pPr>
            <w:r>
              <w:rPr>
                <w:rFonts w:ascii="宋体" w:hAnsi="宋体" w:eastAsia="宋体"/>
                <w:sz w:val="16"/>
              </w:rPr>
              <w:t>0.00</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14:paraId="098F9C9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3CFF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50916F">
            <w:pPr>
              <w:jc w:val="center"/>
            </w:pPr>
            <w:r>
              <w:rPr>
                <w:rFonts w:ascii="宋体" w:hAnsi="宋体" w:eastAsia="宋体"/>
                <w:sz w:val="16"/>
              </w:rPr>
              <w:t>—</w:t>
            </w:r>
          </w:p>
        </w:tc>
      </w:tr>
      <w:tr w14:paraId="4E5A44E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83409F">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14E51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E2D8E43">
            <w:pPr>
              <w:jc w:val="center"/>
            </w:pPr>
            <w:r>
              <w:rPr>
                <w:rFonts w:ascii="宋体" w:hAnsi="宋体" w:eastAsia="宋体"/>
                <w:sz w:val="16"/>
              </w:rPr>
              <w:t>实际完成情况</w:t>
            </w:r>
          </w:p>
        </w:tc>
      </w:tr>
      <w:tr w14:paraId="0F36005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14865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295AAE">
            <w:pPr>
              <w:jc w:val="both"/>
            </w:pPr>
            <w:r>
              <w:rPr>
                <w:rFonts w:ascii="宋体" w:hAnsi="宋体" w:eastAsia="宋体"/>
                <w:sz w:val="16"/>
              </w:rPr>
              <w:t>保障22人在职人员的工资、津贴、补贴、社保、医保、公积金等以及10名退休人员的工资；保障科室各项工作有序开展，为住房保障，房地产市场整治，工程建设质量等事务各项工作开展提供有效支撑。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3C0943">
            <w:pPr>
              <w:jc w:val="both"/>
            </w:pPr>
            <w:r>
              <w:rPr>
                <w:rFonts w:ascii="宋体" w:hAnsi="宋体" w:eastAsia="宋体"/>
                <w:sz w:val="16"/>
              </w:rPr>
              <w:t>保障22人在职人员的工资、津贴、补贴、社保、医保、公积金等以及10名退休人员的工资；保障科室各项工作有序开展，为住房保障，房地产市场整治，工程建设质量等事务各项工作开展提供有效支撑。</w:t>
            </w:r>
          </w:p>
        </w:tc>
      </w:tr>
      <w:tr w14:paraId="5A65858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AA191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432E6D">
            <w:pPr>
              <w:jc w:val="center"/>
            </w:pPr>
            <w:r>
              <w:rPr>
                <w:rFonts w:ascii="宋体" w:hAnsi="宋体" w:eastAsia="宋体"/>
                <w:sz w:val="16"/>
              </w:rPr>
              <w:t>二级指标</w:t>
            </w:r>
          </w:p>
        </w:tc>
        <w:tc>
          <w:tcPr>
            <w:tcW w:w="1207" w:type="dxa"/>
            <w:tcBorders>
              <w:top w:val="single" w:color="auto" w:sz="10" w:space="0"/>
              <w:left w:val="single" w:color="auto" w:sz="10" w:space="0"/>
              <w:bottom w:val="single" w:color="auto" w:sz="10" w:space="0"/>
              <w:right w:val="single" w:color="auto" w:sz="10" w:space="0"/>
              <w:insideV w:val="single" w:sz="10" w:space="0"/>
            </w:tcBorders>
            <w:vAlign w:val="center"/>
          </w:tcPr>
          <w:p w14:paraId="0A483BAA">
            <w:pPr>
              <w:jc w:val="center"/>
            </w:pPr>
            <w:r>
              <w:rPr>
                <w:rFonts w:ascii="宋体" w:hAnsi="宋体" w:eastAsia="宋体"/>
                <w:sz w:val="16"/>
              </w:rPr>
              <w:t>三级指标</w:t>
            </w:r>
          </w:p>
        </w:tc>
        <w:tc>
          <w:tcPr>
            <w:tcW w:w="1003" w:type="dxa"/>
            <w:tcBorders>
              <w:top w:val="single" w:color="auto" w:sz="10" w:space="0"/>
              <w:left w:val="single" w:color="auto" w:sz="10" w:space="0"/>
              <w:bottom w:val="single" w:color="auto" w:sz="10" w:space="0"/>
              <w:right w:val="single" w:color="auto" w:sz="10" w:space="0"/>
              <w:insideV w:val="single" w:sz="10" w:space="0"/>
            </w:tcBorders>
            <w:vAlign w:val="center"/>
          </w:tcPr>
          <w:p w14:paraId="2E2DC4B7">
            <w:pPr>
              <w:jc w:val="center"/>
            </w:pPr>
            <w:r>
              <w:rPr>
                <w:rFonts w:ascii="宋体" w:hAnsi="宋体" w:eastAsia="宋体"/>
                <w:sz w:val="16"/>
              </w:rPr>
              <w:t>指标值</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14:paraId="21E98CF3">
            <w:pPr>
              <w:jc w:val="center"/>
            </w:pPr>
            <w:r>
              <w:rPr>
                <w:rFonts w:ascii="宋体" w:hAnsi="宋体" w:eastAsia="宋体"/>
                <w:sz w:val="16"/>
              </w:rPr>
              <w:t>指标值设定依据</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14:paraId="03BD843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AC30A0">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C45205">
            <w:pPr>
              <w:jc w:val="center"/>
            </w:pPr>
            <w:r>
              <w:rPr>
                <w:rFonts w:ascii="宋体" w:hAnsi="宋体" w:eastAsia="宋体"/>
                <w:sz w:val="16"/>
              </w:rPr>
              <w:t>得分</w:t>
            </w:r>
          </w:p>
        </w:tc>
      </w:tr>
      <w:tr w14:paraId="58480CD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655FF2">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93412E">
            <w:pPr>
              <w:jc w:val="center"/>
            </w:pPr>
            <w:r>
              <w:rPr>
                <w:rFonts w:ascii="宋体" w:hAnsi="宋体" w:eastAsia="宋体"/>
                <w:sz w:val="16"/>
              </w:rPr>
              <w:t>数量指标</w:t>
            </w:r>
          </w:p>
        </w:tc>
        <w:tc>
          <w:tcPr>
            <w:tcW w:w="1207" w:type="dxa"/>
            <w:tcBorders>
              <w:top w:val="single" w:color="auto" w:sz="10" w:space="0"/>
              <w:left w:val="single" w:color="auto" w:sz="10" w:space="0"/>
              <w:bottom w:val="single" w:color="auto" w:sz="10" w:space="0"/>
              <w:right w:val="single" w:color="auto" w:sz="10" w:space="0"/>
              <w:insideV w:val="single" w:sz="10" w:space="0"/>
            </w:tcBorders>
            <w:vAlign w:val="center"/>
          </w:tcPr>
          <w:p w14:paraId="1577271B">
            <w:pPr>
              <w:jc w:val="center"/>
            </w:pPr>
            <w:r>
              <w:rPr>
                <w:rFonts w:ascii="宋体" w:hAnsi="宋体" w:eastAsia="宋体"/>
                <w:sz w:val="16"/>
              </w:rPr>
              <w:t>人员工资福利支出预算保障在职人员人数（人)</w:t>
            </w:r>
          </w:p>
        </w:tc>
        <w:tc>
          <w:tcPr>
            <w:tcW w:w="1003" w:type="dxa"/>
            <w:tcBorders>
              <w:top w:val="single" w:color="auto" w:sz="10" w:space="0"/>
              <w:left w:val="single" w:color="auto" w:sz="10" w:space="0"/>
              <w:bottom w:val="single" w:color="auto" w:sz="10" w:space="0"/>
              <w:right w:val="single" w:color="auto" w:sz="10" w:space="0"/>
              <w:insideV w:val="single" w:sz="10" w:space="0"/>
            </w:tcBorders>
            <w:vAlign w:val="center"/>
          </w:tcPr>
          <w:p w14:paraId="68551381">
            <w:pPr>
              <w:jc w:val="center"/>
            </w:pPr>
            <w:r>
              <w:rPr>
                <w:rFonts w:ascii="宋体" w:hAnsi="宋体" w:eastAsia="宋体"/>
                <w:sz w:val="16"/>
              </w:rPr>
              <w:t>&gt;=32人</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14:paraId="6FC37B57">
            <w:pPr>
              <w:jc w:val="center"/>
            </w:pPr>
            <w:r>
              <w:rPr>
                <w:rFonts w:ascii="宋体" w:hAnsi="宋体" w:eastAsia="宋体"/>
                <w:sz w:val="16"/>
              </w:rPr>
              <w:t>年度月工资册汇总表\人员编制增减变动的批复文件</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14:paraId="5196180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5259D0">
            <w:pPr>
              <w:jc w:val="center"/>
            </w:pPr>
            <w:r>
              <w:rPr>
                <w:rFonts w:ascii="宋体" w:hAnsi="宋体" w:eastAsia="宋体"/>
                <w:sz w:val="16"/>
              </w:rPr>
              <w:t>32个人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5F6B51">
            <w:pPr>
              <w:jc w:val="center"/>
            </w:pPr>
            <w:r>
              <w:rPr>
                <w:rFonts w:ascii="宋体" w:hAnsi="宋体" w:eastAsia="宋体"/>
                <w:sz w:val="16"/>
              </w:rPr>
              <w:t>10</w:t>
            </w:r>
          </w:p>
        </w:tc>
      </w:tr>
      <w:tr w14:paraId="58D878A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E56A1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577806">
            <w:pPr>
              <w:jc w:val="center"/>
            </w:pPr>
            <w:r>
              <w:rPr>
                <w:rFonts w:ascii="宋体" w:hAnsi="宋体" w:eastAsia="宋体"/>
                <w:sz w:val="16"/>
              </w:rPr>
              <w:t>成本指标</w:t>
            </w:r>
          </w:p>
        </w:tc>
        <w:tc>
          <w:tcPr>
            <w:tcW w:w="1207" w:type="dxa"/>
            <w:tcBorders>
              <w:top w:val="single" w:color="auto" w:sz="10" w:space="0"/>
              <w:left w:val="single" w:color="auto" w:sz="10" w:space="0"/>
              <w:bottom w:val="single" w:color="auto" w:sz="10" w:space="0"/>
              <w:right w:val="single" w:color="auto" w:sz="10" w:space="0"/>
              <w:insideV w:val="single" w:sz="10" w:space="0"/>
            </w:tcBorders>
            <w:vAlign w:val="center"/>
          </w:tcPr>
          <w:p w14:paraId="4A3ABC36">
            <w:pPr>
              <w:jc w:val="center"/>
            </w:pPr>
            <w:r>
              <w:rPr>
                <w:rFonts w:ascii="宋体" w:hAnsi="宋体" w:eastAsia="宋体"/>
                <w:sz w:val="16"/>
              </w:rPr>
              <w:t>整体支出控制数（%）</w:t>
            </w:r>
          </w:p>
        </w:tc>
        <w:tc>
          <w:tcPr>
            <w:tcW w:w="1003" w:type="dxa"/>
            <w:tcBorders>
              <w:top w:val="single" w:color="auto" w:sz="10" w:space="0"/>
              <w:left w:val="single" w:color="auto" w:sz="10" w:space="0"/>
              <w:bottom w:val="single" w:color="auto" w:sz="10" w:space="0"/>
              <w:right w:val="single" w:color="auto" w:sz="10" w:space="0"/>
              <w:insideV w:val="single" w:sz="10" w:space="0"/>
            </w:tcBorders>
            <w:vAlign w:val="center"/>
          </w:tcPr>
          <w:p w14:paraId="6AD465BD">
            <w:pPr>
              <w:jc w:val="center"/>
            </w:pPr>
            <w:r>
              <w:rPr>
                <w:rFonts w:ascii="宋体" w:hAnsi="宋体" w:eastAsia="宋体"/>
                <w:sz w:val="16"/>
              </w:rPr>
              <w:t>&lt;=3970.76万元</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14:paraId="0F08EBFC">
            <w:pPr>
              <w:jc w:val="center"/>
            </w:pPr>
            <w:r>
              <w:rPr>
                <w:rFonts w:ascii="宋体" w:hAnsi="宋体" w:eastAsia="宋体"/>
                <w:sz w:val="16"/>
              </w:rPr>
              <w:t>根据编制数和人员各项标准规定核算</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14:paraId="591E1279">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5C7797">
            <w:pPr>
              <w:jc w:val="center"/>
            </w:pPr>
            <w:r>
              <w:rPr>
                <w:rFonts w:ascii="宋体" w:hAnsi="宋体" w:eastAsia="宋体"/>
                <w:sz w:val="16"/>
              </w:rPr>
              <w:t>17951.64万元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C479D4">
            <w:pPr>
              <w:jc w:val="center"/>
            </w:pPr>
            <w:r>
              <w:rPr>
                <w:rFonts w:ascii="宋体" w:hAnsi="宋体" w:eastAsia="宋体"/>
                <w:sz w:val="16"/>
              </w:rPr>
              <w:t>0</w:t>
            </w:r>
          </w:p>
        </w:tc>
      </w:tr>
      <w:tr w14:paraId="71A7C81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873A28"/>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9A5BF2">
            <w:pPr>
              <w:jc w:val="center"/>
            </w:pPr>
            <w:r>
              <w:rPr>
                <w:rFonts w:ascii="宋体" w:hAnsi="宋体" w:eastAsia="宋体"/>
                <w:sz w:val="16"/>
              </w:rPr>
              <w:t>质量指标</w:t>
            </w:r>
          </w:p>
        </w:tc>
        <w:tc>
          <w:tcPr>
            <w:tcW w:w="1207" w:type="dxa"/>
            <w:tcBorders>
              <w:top w:val="single" w:color="auto" w:sz="10" w:space="0"/>
              <w:left w:val="single" w:color="auto" w:sz="10" w:space="0"/>
              <w:bottom w:val="single" w:color="auto" w:sz="10" w:space="0"/>
              <w:right w:val="single" w:color="auto" w:sz="10" w:space="0"/>
              <w:insideV w:val="single" w:sz="10" w:space="0"/>
            </w:tcBorders>
            <w:vAlign w:val="center"/>
          </w:tcPr>
          <w:p w14:paraId="62DA3A28">
            <w:pPr>
              <w:jc w:val="center"/>
            </w:pPr>
            <w:r>
              <w:rPr>
                <w:rFonts w:ascii="宋体" w:hAnsi="宋体" w:eastAsia="宋体"/>
                <w:sz w:val="16"/>
              </w:rPr>
              <w:t>资金使用合规率（%）</w:t>
            </w:r>
          </w:p>
        </w:tc>
        <w:tc>
          <w:tcPr>
            <w:tcW w:w="1003" w:type="dxa"/>
            <w:tcBorders>
              <w:top w:val="single" w:color="auto" w:sz="10" w:space="0"/>
              <w:left w:val="single" w:color="auto" w:sz="10" w:space="0"/>
              <w:bottom w:val="single" w:color="auto" w:sz="10" w:space="0"/>
              <w:right w:val="single" w:color="auto" w:sz="10" w:space="0"/>
              <w:insideV w:val="single" w:sz="10" w:space="0"/>
            </w:tcBorders>
            <w:vAlign w:val="center"/>
          </w:tcPr>
          <w:p w14:paraId="191ACEDF">
            <w:pPr>
              <w:jc w:val="center"/>
            </w:pPr>
            <w:r>
              <w:rPr>
                <w:rFonts w:ascii="宋体" w:hAnsi="宋体" w:eastAsia="宋体"/>
                <w:sz w:val="16"/>
              </w:rPr>
              <w:t>=100%</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14:paraId="2F8D212A">
            <w:pPr>
              <w:jc w:val="center"/>
            </w:pPr>
            <w:r>
              <w:rPr>
                <w:rFonts w:ascii="宋体" w:hAnsi="宋体" w:eastAsia="宋体"/>
                <w:sz w:val="16"/>
              </w:rPr>
              <w:t>部门职能要求</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14:paraId="23ACF93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A6CA5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7811D3">
            <w:pPr>
              <w:jc w:val="center"/>
            </w:pPr>
            <w:r>
              <w:rPr>
                <w:rFonts w:ascii="宋体" w:hAnsi="宋体" w:eastAsia="宋体"/>
                <w:sz w:val="16"/>
              </w:rPr>
              <w:t>10</w:t>
            </w:r>
          </w:p>
        </w:tc>
      </w:tr>
      <w:tr w14:paraId="0BAD9C3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A42FA9">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63CFE9"/>
        </w:tc>
        <w:tc>
          <w:tcPr>
            <w:tcW w:w="1207" w:type="dxa"/>
            <w:tcBorders>
              <w:top w:val="single" w:color="auto" w:sz="10" w:space="0"/>
              <w:left w:val="single" w:color="auto" w:sz="10" w:space="0"/>
              <w:bottom w:val="single" w:color="auto" w:sz="10" w:space="0"/>
              <w:right w:val="single" w:color="auto" w:sz="10" w:space="0"/>
              <w:insideV w:val="single" w:sz="10" w:space="0"/>
            </w:tcBorders>
            <w:vAlign w:val="center"/>
          </w:tcPr>
          <w:p w14:paraId="4724B1BD">
            <w:pPr>
              <w:jc w:val="center"/>
            </w:pPr>
            <w:r>
              <w:rPr>
                <w:rFonts w:ascii="宋体" w:hAnsi="宋体" w:eastAsia="宋体"/>
                <w:sz w:val="16"/>
              </w:rPr>
              <w:t>保障性住房管理覆盖率（%）</w:t>
            </w:r>
          </w:p>
        </w:tc>
        <w:tc>
          <w:tcPr>
            <w:tcW w:w="1003" w:type="dxa"/>
            <w:tcBorders>
              <w:top w:val="single" w:color="auto" w:sz="10" w:space="0"/>
              <w:left w:val="single" w:color="auto" w:sz="10" w:space="0"/>
              <w:bottom w:val="single" w:color="auto" w:sz="10" w:space="0"/>
              <w:right w:val="single" w:color="auto" w:sz="10" w:space="0"/>
              <w:insideV w:val="single" w:sz="10" w:space="0"/>
            </w:tcBorders>
            <w:vAlign w:val="center"/>
          </w:tcPr>
          <w:p w14:paraId="28C9AC4D">
            <w:pPr>
              <w:jc w:val="center"/>
            </w:pPr>
            <w:r>
              <w:rPr>
                <w:rFonts w:ascii="宋体" w:hAnsi="宋体" w:eastAsia="宋体"/>
                <w:sz w:val="16"/>
              </w:rPr>
              <w:t>=100%</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14:paraId="0F48881C">
            <w:pPr>
              <w:jc w:val="center"/>
            </w:pPr>
            <w:r>
              <w:rPr>
                <w:rFonts w:ascii="宋体" w:hAnsi="宋体" w:eastAsia="宋体"/>
                <w:sz w:val="16"/>
              </w:rPr>
              <w:t>部门职能要求</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14:paraId="601EC58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898A7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94F932">
            <w:pPr>
              <w:jc w:val="center"/>
            </w:pPr>
            <w:r>
              <w:rPr>
                <w:rFonts w:ascii="宋体" w:hAnsi="宋体" w:eastAsia="宋体"/>
                <w:sz w:val="16"/>
              </w:rPr>
              <w:t>10</w:t>
            </w:r>
          </w:p>
        </w:tc>
      </w:tr>
      <w:tr w14:paraId="23A9555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B7F71C">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694D90"/>
        </w:tc>
        <w:tc>
          <w:tcPr>
            <w:tcW w:w="1207" w:type="dxa"/>
            <w:tcBorders>
              <w:top w:val="single" w:color="auto" w:sz="10" w:space="0"/>
              <w:left w:val="single" w:color="auto" w:sz="10" w:space="0"/>
              <w:bottom w:val="single" w:color="auto" w:sz="10" w:space="0"/>
              <w:right w:val="single" w:color="auto" w:sz="10" w:space="0"/>
              <w:insideV w:val="single" w:sz="10" w:space="0"/>
            </w:tcBorders>
            <w:vAlign w:val="center"/>
          </w:tcPr>
          <w:p w14:paraId="70A84D1D">
            <w:pPr>
              <w:jc w:val="center"/>
            </w:pPr>
            <w:r>
              <w:rPr>
                <w:rFonts w:ascii="宋体" w:hAnsi="宋体" w:eastAsia="宋体"/>
                <w:sz w:val="16"/>
              </w:rPr>
              <w:t>监督管理全县建筑施工覆盖率（%）</w:t>
            </w:r>
          </w:p>
        </w:tc>
        <w:tc>
          <w:tcPr>
            <w:tcW w:w="1003" w:type="dxa"/>
            <w:tcBorders>
              <w:top w:val="single" w:color="auto" w:sz="10" w:space="0"/>
              <w:left w:val="single" w:color="auto" w:sz="10" w:space="0"/>
              <w:bottom w:val="single" w:color="auto" w:sz="10" w:space="0"/>
              <w:right w:val="single" w:color="auto" w:sz="10" w:space="0"/>
              <w:insideV w:val="single" w:sz="10" w:space="0"/>
            </w:tcBorders>
            <w:vAlign w:val="center"/>
          </w:tcPr>
          <w:p w14:paraId="4878B573">
            <w:pPr>
              <w:jc w:val="center"/>
            </w:pPr>
            <w:r>
              <w:rPr>
                <w:rFonts w:ascii="宋体" w:hAnsi="宋体" w:eastAsia="宋体"/>
                <w:sz w:val="16"/>
              </w:rPr>
              <w:t>=100%</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14:paraId="4BD899B3">
            <w:pPr>
              <w:jc w:val="center"/>
            </w:pPr>
            <w:r>
              <w:rPr>
                <w:rFonts w:ascii="宋体" w:hAnsi="宋体" w:eastAsia="宋体"/>
                <w:sz w:val="16"/>
              </w:rPr>
              <w:t>部门职能要求</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14:paraId="55EC66E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8368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051C6">
            <w:pPr>
              <w:jc w:val="center"/>
            </w:pPr>
            <w:r>
              <w:rPr>
                <w:rFonts w:ascii="宋体" w:hAnsi="宋体" w:eastAsia="宋体"/>
                <w:sz w:val="16"/>
              </w:rPr>
              <w:t>15</w:t>
            </w:r>
          </w:p>
        </w:tc>
      </w:tr>
      <w:tr w14:paraId="1AB8AF1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0D811C">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7A84B8">
            <w:pPr>
              <w:jc w:val="center"/>
            </w:pPr>
            <w:r>
              <w:rPr>
                <w:rFonts w:ascii="宋体" w:hAnsi="宋体" w:eastAsia="宋体"/>
                <w:sz w:val="16"/>
              </w:rPr>
              <w:t>效益指标</w:t>
            </w:r>
          </w:p>
        </w:tc>
        <w:tc>
          <w:tcPr>
            <w:tcW w:w="1207" w:type="dxa"/>
            <w:tcBorders>
              <w:top w:val="single" w:color="auto" w:sz="10" w:space="0"/>
              <w:left w:val="single" w:color="auto" w:sz="10" w:space="0"/>
              <w:bottom w:val="single" w:color="auto" w:sz="10" w:space="0"/>
              <w:right w:val="single" w:color="auto" w:sz="10" w:space="0"/>
              <w:insideV w:val="single" w:sz="10" w:space="0"/>
            </w:tcBorders>
            <w:vAlign w:val="center"/>
          </w:tcPr>
          <w:p w14:paraId="28D672AC">
            <w:pPr>
              <w:jc w:val="center"/>
            </w:pPr>
            <w:r>
              <w:rPr>
                <w:rFonts w:ascii="宋体" w:hAnsi="宋体" w:eastAsia="宋体"/>
                <w:sz w:val="16"/>
              </w:rPr>
              <w:t>保障部门正常履职和各项政策措施有效实施</w:t>
            </w:r>
          </w:p>
        </w:tc>
        <w:tc>
          <w:tcPr>
            <w:tcW w:w="1003" w:type="dxa"/>
            <w:tcBorders>
              <w:top w:val="single" w:color="auto" w:sz="10" w:space="0"/>
              <w:left w:val="single" w:color="auto" w:sz="10" w:space="0"/>
              <w:bottom w:val="single" w:color="auto" w:sz="10" w:space="0"/>
              <w:right w:val="single" w:color="auto" w:sz="10" w:space="0"/>
              <w:insideV w:val="single" w:sz="10" w:space="0"/>
            </w:tcBorders>
            <w:vAlign w:val="center"/>
          </w:tcPr>
          <w:p w14:paraId="0B804FD2">
            <w:pPr>
              <w:jc w:val="center"/>
            </w:pPr>
            <w:r>
              <w:rPr>
                <w:rFonts w:ascii="宋体" w:hAnsi="宋体" w:eastAsia="宋体"/>
                <w:sz w:val="16"/>
              </w:rPr>
              <w:t>保障</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14:paraId="4EB614A4">
            <w:pPr>
              <w:jc w:val="center"/>
            </w:pPr>
            <w:r>
              <w:rPr>
                <w:rFonts w:ascii="宋体" w:hAnsi="宋体" w:eastAsia="宋体"/>
                <w:sz w:val="16"/>
              </w:rPr>
              <w:t>部门职能要求</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14:paraId="3A2C665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EDA56F">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A1078E">
            <w:pPr>
              <w:jc w:val="center"/>
            </w:pPr>
            <w:r>
              <w:rPr>
                <w:rFonts w:ascii="宋体" w:hAnsi="宋体" w:eastAsia="宋体"/>
                <w:sz w:val="16"/>
              </w:rPr>
              <w:t>15</w:t>
            </w:r>
          </w:p>
        </w:tc>
      </w:tr>
      <w:tr w14:paraId="4B10526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A99B24">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AF700E">
            <w:pPr>
              <w:jc w:val="center"/>
            </w:pPr>
            <w:r>
              <w:rPr>
                <w:rFonts w:ascii="宋体" w:hAnsi="宋体" w:eastAsia="宋体"/>
                <w:sz w:val="16"/>
              </w:rPr>
              <w:t>满意度指标</w:t>
            </w:r>
          </w:p>
        </w:tc>
        <w:tc>
          <w:tcPr>
            <w:tcW w:w="1207" w:type="dxa"/>
            <w:tcBorders>
              <w:top w:val="single" w:color="auto" w:sz="10" w:space="0"/>
              <w:left w:val="single" w:color="auto" w:sz="10" w:space="0"/>
              <w:bottom w:val="single" w:color="auto" w:sz="10" w:space="0"/>
              <w:right w:val="single" w:color="auto" w:sz="10" w:space="0"/>
              <w:insideV w:val="single" w:sz="10" w:space="0"/>
            </w:tcBorders>
            <w:vAlign w:val="center"/>
          </w:tcPr>
          <w:p w14:paraId="75851FB0">
            <w:pPr>
              <w:jc w:val="center"/>
            </w:pPr>
            <w:r>
              <w:rPr>
                <w:rFonts w:ascii="宋体" w:hAnsi="宋体" w:eastAsia="宋体"/>
                <w:sz w:val="16"/>
              </w:rPr>
              <w:t>社会公众对本部门履职效果的满意度（%）</w:t>
            </w:r>
          </w:p>
        </w:tc>
        <w:tc>
          <w:tcPr>
            <w:tcW w:w="1003" w:type="dxa"/>
            <w:tcBorders>
              <w:top w:val="single" w:color="auto" w:sz="10" w:space="0"/>
              <w:left w:val="single" w:color="auto" w:sz="10" w:space="0"/>
              <w:bottom w:val="single" w:color="auto" w:sz="10" w:space="0"/>
              <w:right w:val="single" w:color="auto" w:sz="10" w:space="0"/>
              <w:insideV w:val="single" w:sz="10" w:space="0"/>
            </w:tcBorders>
            <w:vAlign w:val="center"/>
          </w:tcPr>
          <w:p w14:paraId="3350BF33">
            <w:pPr>
              <w:jc w:val="center"/>
            </w:pPr>
            <w:r>
              <w:rPr>
                <w:rFonts w:ascii="宋体" w:hAnsi="宋体" w:eastAsia="宋体"/>
                <w:sz w:val="16"/>
              </w:rPr>
              <w:t>&gt;=95%</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14:paraId="7982A88A">
            <w:pPr>
              <w:jc w:val="center"/>
            </w:pPr>
            <w:r>
              <w:rPr>
                <w:rFonts w:ascii="宋体" w:hAnsi="宋体" w:eastAsia="宋体"/>
                <w:sz w:val="16"/>
              </w:rPr>
              <w:t>部门职能要求</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14:paraId="40633B7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B2F4A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47B1B6">
            <w:pPr>
              <w:jc w:val="center"/>
            </w:pPr>
            <w:r>
              <w:rPr>
                <w:rFonts w:ascii="宋体" w:hAnsi="宋体" w:eastAsia="宋体"/>
                <w:sz w:val="16"/>
              </w:rPr>
              <w:t>10</w:t>
            </w:r>
          </w:p>
        </w:tc>
      </w:tr>
    </w:tbl>
    <w:p w14:paraId="58F6C21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4A4CD32">
        <w:tblPrEx>
          <w:tblCellMar>
            <w:top w:w="0" w:type="dxa"/>
            <w:left w:w="108" w:type="dxa"/>
            <w:bottom w:w="0" w:type="dxa"/>
            <w:right w:w="108" w:type="dxa"/>
          </w:tblCellMar>
        </w:tblPrEx>
        <w:tc>
          <w:tcPr>
            <w:tcW w:w="8848" w:type="dxa"/>
            <w:gridSpan w:val="14"/>
            <w:vAlign w:val="center"/>
          </w:tcPr>
          <w:p w14:paraId="7C415240">
            <w:pPr>
              <w:jc w:val="center"/>
            </w:pPr>
            <w:r>
              <w:rPr>
                <w:rFonts w:ascii="宋体" w:hAnsi="宋体" w:eastAsia="宋体"/>
                <w:sz w:val="24"/>
              </w:rPr>
              <w:t>项目支出绩效自评表</w:t>
            </w:r>
          </w:p>
        </w:tc>
      </w:tr>
      <w:tr w14:paraId="19570542">
        <w:tblPrEx>
          <w:tblCellMar>
            <w:top w:w="0" w:type="dxa"/>
            <w:left w:w="108" w:type="dxa"/>
            <w:bottom w:w="0" w:type="dxa"/>
            <w:right w:w="108" w:type="dxa"/>
          </w:tblCellMar>
        </w:tblPrEx>
        <w:tc>
          <w:tcPr>
            <w:tcW w:w="8848" w:type="dxa"/>
            <w:gridSpan w:val="14"/>
            <w:vAlign w:val="center"/>
          </w:tcPr>
          <w:p w14:paraId="7DA3103D">
            <w:pPr>
              <w:jc w:val="center"/>
            </w:pPr>
            <w:r>
              <w:rPr>
                <w:rFonts w:ascii="宋体" w:hAnsi="宋体" w:eastAsia="宋体"/>
                <w:sz w:val="24"/>
              </w:rPr>
              <w:t>(2024年度)</w:t>
            </w:r>
          </w:p>
        </w:tc>
      </w:tr>
      <w:tr w14:paraId="14709F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F103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1AB377">
            <w:pPr>
              <w:jc w:val="center"/>
            </w:pPr>
            <w:r>
              <w:rPr>
                <w:rFonts w:ascii="宋体" w:hAnsi="宋体" w:eastAsia="宋体"/>
                <w:sz w:val="16"/>
              </w:rPr>
              <w:t>2024年县级住建局运行费</w:t>
            </w:r>
          </w:p>
        </w:tc>
      </w:tr>
      <w:tr w14:paraId="609AF3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CFFC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4B2857">
            <w:pPr>
              <w:jc w:val="center"/>
            </w:pPr>
            <w:r>
              <w:rPr>
                <w:rFonts w:ascii="宋体" w:hAnsi="宋体" w:eastAsia="宋体"/>
                <w:sz w:val="16"/>
              </w:rPr>
              <w:t>阿克陶县住房和城乡建设局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5BF5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C209F8">
            <w:pPr>
              <w:jc w:val="center"/>
            </w:pPr>
            <w:r>
              <w:rPr>
                <w:rFonts w:ascii="宋体" w:hAnsi="宋体" w:eastAsia="宋体"/>
                <w:sz w:val="16"/>
              </w:rPr>
              <w:t>阿克陶县住房和城乡建设局</w:t>
            </w:r>
          </w:p>
        </w:tc>
      </w:tr>
      <w:tr w14:paraId="495669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B5D6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87F2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302A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4BEB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045F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6653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F751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125D6">
            <w:pPr>
              <w:jc w:val="center"/>
            </w:pPr>
            <w:r>
              <w:rPr>
                <w:rFonts w:ascii="宋体" w:hAnsi="宋体" w:eastAsia="宋体"/>
                <w:sz w:val="16"/>
              </w:rPr>
              <w:t>得分</w:t>
            </w:r>
          </w:p>
        </w:tc>
      </w:tr>
      <w:tr w14:paraId="3A0448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B68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DB91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CAA5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3F4E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3FFF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783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578D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D0965">
            <w:pPr>
              <w:jc w:val="center"/>
            </w:pPr>
            <w:r>
              <w:rPr>
                <w:rFonts w:ascii="宋体" w:hAnsi="宋体" w:eastAsia="宋体"/>
                <w:sz w:val="16"/>
              </w:rPr>
              <w:t>10.00分</w:t>
            </w:r>
          </w:p>
        </w:tc>
      </w:tr>
      <w:tr w14:paraId="708004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DB2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5A3E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41BE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EF35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8872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8C14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CD9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AA807">
            <w:pPr>
              <w:jc w:val="center"/>
            </w:pPr>
            <w:r>
              <w:rPr>
                <w:rFonts w:ascii="宋体" w:hAnsi="宋体" w:eastAsia="宋体"/>
                <w:sz w:val="16"/>
              </w:rPr>
              <w:t>—</w:t>
            </w:r>
          </w:p>
        </w:tc>
      </w:tr>
      <w:tr w14:paraId="49DEF0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599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BB5B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39E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D34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C0F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706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746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57E5C">
            <w:pPr>
              <w:jc w:val="center"/>
            </w:pPr>
            <w:r>
              <w:rPr>
                <w:rFonts w:ascii="宋体" w:hAnsi="宋体" w:eastAsia="宋体"/>
                <w:sz w:val="16"/>
              </w:rPr>
              <w:t>—</w:t>
            </w:r>
          </w:p>
        </w:tc>
      </w:tr>
      <w:tr w14:paraId="6D86C8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E5E79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9E1DE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4FA903">
            <w:pPr>
              <w:jc w:val="center"/>
            </w:pPr>
            <w:r>
              <w:rPr>
                <w:rFonts w:ascii="宋体" w:hAnsi="宋体" w:eastAsia="宋体"/>
                <w:sz w:val="16"/>
              </w:rPr>
              <w:t>实际完成情况</w:t>
            </w:r>
          </w:p>
        </w:tc>
      </w:tr>
      <w:tr w14:paraId="0D6D10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5C29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456FF0">
            <w:pPr>
              <w:jc w:val="both"/>
            </w:pPr>
            <w:r>
              <w:rPr>
                <w:rFonts w:ascii="宋体" w:hAnsi="宋体" w:eastAsia="宋体"/>
                <w:sz w:val="16"/>
              </w:rPr>
              <w:t>通过项目实施，征订报刊1次、报销干部职工差旅费2次，为单位正常运行及单位正常开展各项业务提供保障</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4A9335">
            <w:pPr>
              <w:jc w:val="both"/>
            </w:pPr>
            <w:r>
              <w:rPr>
                <w:rFonts w:ascii="宋体" w:hAnsi="宋体" w:eastAsia="宋体"/>
                <w:sz w:val="16"/>
              </w:rPr>
              <w:t>项目已实施。征订报刊1次、报销干部职工差旅费2次，为单位正常运行及单位正常开展各项业务提供保障</w:t>
            </w:r>
          </w:p>
        </w:tc>
      </w:tr>
      <w:tr w14:paraId="63B41F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3F33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56FC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09A2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3374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89FB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7428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3EB4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65F9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7E5E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FC36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E13B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97CB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8C577">
            <w:pPr>
              <w:jc w:val="center"/>
            </w:pPr>
            <w:r>
              <w:rPr>
                <w:rFonts w:ascii="宋体" w:hAnsi="宋体" w:eastAsia="宋体"/>
                <w:sz w:val="16"/>
              </w:rPr>
              <w:t>偏差原因分析及改进措施</w:t>
            </w:r>
          </w:p>
        </w:tc>
      </w:tr>
      <w:tr w14:paraId="3A28ED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9A92D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BA70F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919BA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12ABB">
            <w:pPr>
              <w:jc w:val="center"/>
            </w:pPr>
            <w:r>
              <w:rPr>
                <w:rFonts w:ascii="宋体" w:hAnsi="宋体" w:eastAsia="宋体"/>
                <w:sz w:val="16"/>
              </w:rPr>
              <w:t>报刊征订次数（次）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02CD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8F0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0DB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EA2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6EC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F9B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C855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BEE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D0927">
            <w:pPr>
              <w:jc w:val="center"/>
            </w:pPr>
          </w:p>
        </w:tc>
      </w:tr>
      <w:tr w14:paraId="65D1F1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07F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687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BF9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9BEC2">
            <w:pPr>
              <w:jc w:val="center"/>
            </w:pPr>
            <w:r>
              <w:rPr>
                <w:rFonts w:ascii="宋体" w:hAnsi="宋体" w:eastAsia="宋体"/>
                <w:sz w:val="16"/>
              </w:rPr>
              <w:t>干部职工差费报销次数（次）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B0D49">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7DA5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3AB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359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68D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DF7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9A040">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229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40160">
            <w:pPr>
              <w:jc w:val="center"/>
            </w:pPr>
          </w:p>
        </w:tc>
      </w:tr>
      <w:tr w14:paraId="3A3352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FB8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A8F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0EA1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2BF2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2E1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953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6D9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7BD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53F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E15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A73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44A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ABEE1">
            <w:pPr>
              <w:jc w:val="center"/>
            </w:pPr>
          </w:p>
        </w:tc>
      </w:tr>
      <w:tr w14:paraId="175FB9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9B3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81B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9A3F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93C2D">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F12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1D4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D64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146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6FD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5A9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E66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593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B5F21">
            <w:pPr>
              <w:jc w:val="center"/>
            </w:pPr>
          </w:p>
        </w:tc>
      </w:tr>
      <w:tr w14:paraId="1FA971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A94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37A49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C1AF1B">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7E4E4">
            <w:pPr>
              <w:jc w:val="center"/>
            </w:pPr>
            <w:r>
              <w:rPr>
                <w:rFonts w:ascii="宋体" w:hAnsi="宋体" w:eastAsia="宋体"/>
                <w:sz w:val="16"/>
              </w:rPr>
              <w:t>差旅费成本（万元）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999B7">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5C3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4B7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3C2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11F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413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322E1">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096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3343D">
            <w:pPr>
              <w:jc w:val="center"/>
            </w:pPr>
          </w:p>
        </w:tc>
      </w:tr>
      <w:tr w14:paraId="1AD3D6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FDE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AB5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656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4B5C8">
            <w:pPr>
              <w:jc w:val="center"/>
            </w:pPr>
            <w:r>
              <w:rPr>
                <w:rFonts w:ascii="宋体" w:hAnsi="宋体" w:eastAsia="宋体"/>
                <w:sz w:val="16"/>
              </w:rPr>
              <w:t>办公费成本（万元）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40191">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7FD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C26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0BC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438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006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986A4">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183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9E0A8">
            <w:pPr>
              <w:jc w:val="center"/>
            </w:pPr>
          </w:p>
        </w:tc>
      </w:tr>
      <w:tr w14:paraId="1110CF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D04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26EA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575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9777C">
            <w:pPr>
              <w:jc w:val="center"/>
            </w:pPr>
            <w:r>
              <w:rPr>
                <w:rFonts w:ascii="宋体" w:hAnsi="宋体" w:eastAsia="宋体"/>
                <w:sz w:val="16"/>
              </w:rPr>
              <w:t>提升公共服务水平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FFBA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2B6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324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630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421D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4BA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FAA1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48CB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53751">
            <w:pPr>
              <w:jc w:val="center"/>
            </w:pPr>
          </w:p>
        </w:tc>
      </w:tr>
      <w:tr w14:paraId="73C3A8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BBC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426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297B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C9499">
            <w:pPr>
              <w:jc w:val="center"/>
            </w:pPr>
            <w:r>
              <w:rPr>
                <w:rFonts w:ascii="宋体" w:hAnsi="宋体" w:eastAsia="宋体"/>
                <w:sz w:val="16"/>
              </w:rPr>
              <w:t>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78BD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C9C9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233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51F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201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C75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3ED6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F03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DA7AD">
            <w:pPr>
              <w:jc w:val="center"/>
            </w:pPr>
          </w:p>
        </w:tc>
      </w:tr>
      <w:tr w14:paraId="1BA79A8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BE83E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0839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BF063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7BA7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DC76778"/>
        </w:tc>
      </w:tr>
    </w:tbl>
    <w:p w14:paraId="4214AFA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7E7F326">
        <w:tblPrEx>
          <w:tblCellMar>
            <w:top w:w="0" w:type="dxa"/>
            <w:left w:w="108" w:type="dxa"/>
            <w:bottom w:w="0" w:type="dxa"/>
            <w:right w:w="108" w:type="dxa"/>
          </w:tblCellMar>
        </w:tblPrEx>
        <w:tc>
          <w:tcPr>
            <w:tcW w:w="8848" w:type="dxa"/>
            <w:gridSpan w:val="14"/>
            <w:vAlign w:val="center"/>
          </w:tcPr>
          <w:p w14:paraId="061501A1">
            <w:pPr>
              <w:jc w:val="center"/>
            </w:pPr>
            <w:r>
              <w:rPr>
                <w:rFonts w:ascii="宋体" w:hAnsi="宋体" w:eastAsia="宋体"/>
                <w:sz w:val="24"/>
              </w:rPr>
              <w:t>项目支出绩效自评表</w:t>
            </w:r>
          </w:p>
        </w:tc>
      </w:tr>
      <w:tr w14:paraId="74E33A10">
        <w:tblPrEx>
          <w:tblCellMar>
            <w:top w:w="0" w:type="dxa"/>
            <w:left w:w="108" w:type="dxa"/>
            <w:bottom w:w="0" w:type="dxa"/>
            <w:right w:w="108" w:type="dxa"/>
          </w:tblCellMar>
        </w:tblPrEx>
        <w:tc>
          <w:tcPr>
            <w:tcW w:w="8848" w:type="dxa"/>
            <w:gridSpan w:val="14"/>
            <w:vAlign w:val="center"/>
          </w:tcPr>
          <w:p w14:paraId="57E7F97A">
            <w:pPr>
              <w:jc w:val="center"/>
            </w:pPr>
            <w:r>
              <w:rPr>
                <w:rFonts w:ascii="宋体" w:hAnsi="宋体" w:eastAsia="宋体"/>
                <w:sz w:val="24"/>
              </w:rPr>
              <w:t>(2024年度)</w:t>
            </w:r>
          </w:p>
        </w:tc>
      </w:tr>
      <w:tr w14:paraId="5CBA41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7035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EE9F6C">
            <w:pPr>
              <w:jc w:val="center"/>
            </w:pPr>
            <w:r>
              <w:rPr>
                <w:rFonts w:ascii="宋体" w:hAnsi="宋体" w:eastAsia="宋体"/>
                <w:sz w:val="16"/>
              </w:rPr>
              <w:t>2024年县级阿克陶县城区路灯电费</w:t>
            </w:r>
          </w:p>
        </w:tc>
      </w:tr>
      <w:tr w14:paraId="1E433B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F93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C22D13">
            <w:pPr>
              <w:jc w:val="center"/>
            </w:pPr>
            <w:r>
              <w:rPr>
                <w:rFonts w:ascii="宋体" w:hAnsi="宋体" w:eastAsia="宋体"/>
                <w:sz w:val="16"/>
              </w:rPr>
              <w:t>阿克陶县住房和城乡建设局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5983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9E0E83">
            <w:pPr>
              <w:jc w:val="center"/>
            </w:pPr>
            <w:r>
              <w:rPr>
                <w:rFonts w:ascii="宋体" w:hAnsi="宋体" w:eastAsia="宋体"/>
                <w:sz w:val="16"/>
              </w:rPr>
              <w:t>阿克陶县住房和城乡建设局</w:t>
            </w:r>
          </w:p>
        </w:tc>
      </w:tr>
      <w:tr w14:paraId="0378E5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EA334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4E40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68CA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F8E0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7FAF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E200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9855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D5937">
            <w:pPr>
              <w:jc w:val="center"/>
            </w:pPr>
            <w:r>
              <w:rPr>
                <w:rFonts w:ascii="宋体" w:hAnsi="宋体" w:eastAsia="宋体"/>
                <w:sz w:val="16"/>
              </w:rPr>
              <w:t>得分</w:t>
            </w:r>
          </w:p>
        </w:tc>
      </w:tr>
      <w:tr w14:paraId="4D91E6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0C0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7181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FFDF9">
            <w:pPr>
              <w:jc w:val="center"/>
            </w:pPr>
            <w:r>
              <w:rPr>
                <w:rFonts w:ascii="宋体" w:hAnsi="宋体" w:eastAsia="宋体"/>
                <w:sz w:val="16"/>
              </w:rPr>
              <w:t>145.00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2869D">
            <w:pPr>
              <w:jc w:val="center"/>
            </w:pPr>
            <w:r>
              <w:rPr>
                <w:rFonts w:ascii="宋体" w:hAnsi="宋体" w:eastAsia="宋体"/>
                <w:sz w:val="16"/>
              </w:rPr>
              <w:t>145.00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927D1">
            <w:pPr>
              <w:jc w:val="center"/>
            </w:pPr>
            <w:r>
              <w:rPr>
                <w:rFonts w:ascii="宋体" w:hAnsi="宋体" w:eastAsia="宋体"/>
                <w:sz w:val="16"/>
              </w:rPr>
              <w:t>145.00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FB8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F649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C2697">
            <w:pPr>
              <w:jc w:val="center"/>
            </w:pPr>
            <w:r>
              <w:rPr>
                <w:rFonts w:ascii="宋体" w:hAnsi="宋体" w:eastAsia="宋体"/>
                <w:sz w:val="16"/>
              </w:rPr>
              <w:t>10.00分</w:t>
            </w:r>
          </w:p>
        </w:tc>
      </w:tr>
      <w:tr w14:paraId="38A680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AC8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C20F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1A754">
            <w:pPr>
              <w:jc w:val="center"/>
            </w:pPr>
            <w:r>
              <w:rPr>
                <w:rFonts w:ascii="宋体" w:hAnsi="宋体" w:eastAsia="宋体"/>
                <w:sz w:val="16"/>
              </w:rPr>
              <w:t>145.00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C137D">
            <w:pPr>
              <w:jc w:val="center"/>
            </w:pPr>
            <w:r>
              <w:rPr>
                <w:rFonts w:ascii="宋体" w:hAnsi="宋体" w:eastAsia="宋体"/>
                <w:sz w:val="16"/>
              </w:rPr>
              <w:t>145.00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6D83E">
            <w:pPr>
              <w:jc w:val="center"/>
            </w:pPr>
            <w:r>
              <w:rPr>
                <w:rFonts w:ascii="宋体" w:hAnsi="宋体" w:eastAsia="宋体"/>
                <w:sz w:val="16"/>
              </w:rPr>
              <w:t>145.00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D6C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CF2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7DDEB">
            <w:pPr>
              <w:jc w:val="center"/>
            </w:pPr>
            <w:r>
              <w:rPr>
                <w:rFonts w:ascii="宋体" w:hAnsi="宋体" w:eastAsia="宋体"/>
                <w:sz w:val="16"/>
              </w:rPr>
              <w:t>—</w:t>
            </w:r>
          </w:p>
        </w:tc>
      </w:tr>
      <w:tr w14:paraId="65CA42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E87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F1AC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BC7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C75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ED5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A23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935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3D3B3">
            <w:pPr>
              <w:jc w:val="center"/>
            </w:pPr>
            <w:r>
              <w:rPr>
                <w:rFonts w:ascii="宋体" w:hAnsi="宋体" w:eastAsia="宋体"/>
                <w:sz w:val="16"/>
              </w:rPr>
              <w:t>—</w:t>
            </w:r>
          </w:p>
        </w:tc>
      </w:tr>
      <w:tr w14:paraId="2218CC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C5881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644EA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A7F038">
            <w:pPr>
              <w:jc w:val="center"/>
            </w:pPr>
            <w:r>
              <w:rPr>
                <w:rFonts w:ascii="宋体" w:hAnsi="宋体" w:eastAsia="宋体"/>
                <w:sz w:val="16"/>
              </w:rPr>
              <w:t>实际完成情况</w:t>
            </w:r>
          </w:p>
        </w:tc>
      </w:tr>
      <w:tr w14:paraId="4C83FC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1B3F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34A881">
            <w:pPr>
              <w:jc w:val="both"/>
            </w:pPr>
            <w:r>
              <w:rPr>
                <w:rFonts w:ascii="宋体" w:hAnsi="宋体" w:eastAsia="宋体"/>
                <w:sz w:val="16"/>
              </w:rPr>
              <w:t>通过实施该项目，确保我县城区路灯照明率达到 98% 。方便市民出行，保障夜间交通安全，美化亮化城市。通过该项目的实施，创造良好的生活环境、提升人民幸福感。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4A5D43">
            <w:pPr>
              <w:jc w:val="both"/>
            </w:pPr>
            <w:r>
              <w:rPr>
                <w:rFonts w:ascii="宋体" w:hAnsi="宋体" w:eastAsia="宋体"/>
                <w:sz w:val="16"/>
              </w:rPr>
              <w:t>该项目已实施，确保我县城区路灯照明率达到 98% 。方便市民出行，保障夜间交通安全，美化亮化城市。通过该项目的实施，创造良好的生活环境、提升人民幸福感。</w:t>
            </w:r>
          </w:p>
        </w:tc>
      </w:tr>
      <w:tr w14:paraId="089EFF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9A77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C9C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EBB5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E95F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816B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A7CF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25B9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74BC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4F03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D679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287C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A7B5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0F74E">
            <w:pPr>
              <w:jc w:val="center"/>
            </w:pPr>
            <w:r>
              <w:rPr>
                <w:rFonts w:ascii="宋体" w:hAnsi="宋体" w:eastAsia="宋体"/>
                <w:sz w:val="16"/>
              </w:rPr>
              <w:t>偏差原因分析及改进措施</w:t>
            </w:r>
          </w:p>
        </w:tc>
      </w:tr>
      <w:tr w14:paraId="644C42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03F8E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1DC78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D104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84953">
            <w:pPr>
              <w:jc w:val="center"/>
            </w:pPr>
            <w:r>
              <w:rPr>
                <w:rFonts w:ascii="宋体" w:hAnsi="宋体" w:eastAsia="宋体"/>
                <w:sz w:val="16"/>
              </w:rPr>
              <w:t>城区路灯电费用户编码（个）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E6C2B">
            <w:pPr>
              <w:jc w:val="center"/>
            </w:pPr>
            <w:r>
              <w:rPr>
                <w:rFonts w:ascii="宋体" w:hAnsi="宋体" w:eastAsia="宋体"/>
                <w:sz w:val="16"/>
              </w:rPr>
              <w:t>&gt;=50个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180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2F7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DD4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901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E21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AE671">
            <w:pPr>
              <w:jc w:val="center"/>
            </w:pPr>
            <w:r>
              <w:rPr>
                <w:rFonts w:ascii="宋体" w:hAnsi="宋体" w:eastAsia="宋体"/>
                <w:sz w:val="16"/>
              </w:rPr>
              <w:t>=50个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EC07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96B73">
            <w:pPr>
              <w:jc w:val="center"/>
            </w:pPr>
          </w:p>
        </w:tc>
      </w:tr>
      <w:tr w14:paraId="41C4D7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9CE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656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18AB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D656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583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616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E84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D82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377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3AD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7BD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553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E9B62">
            <w:pPr>
              <w:jc w:val="center"/>
            </w:pPr>
          </w:p>
        </w:tc>
      </w:tr>
      <w:tr w14:paraId="391A38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36C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3D8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5B20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62E50">
            <w:pPr>
              <w:jc w:val="center"/>
            </w:pPr>
            <w:r>
              <w:rPr>
                <w:rFonts w:ascii="宋体" w:hAnsi="宋体" w:eastAsia="宋体"/>
                <w:sz w:val="16"/>
              </w:rPr>
              <w:t>项目完成时效（月）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9277F">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669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899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5A0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772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87D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D0233">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F97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FC605">
            <w:pPr>
              <w:jc w:val="center"/>
            </w:pPr>
          </w:p>
        </w:tc>
      </w:tr>
      <w:tr w14:paraId="7FAD16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BE3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99C4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B9BFB">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D7E6E">
            <w:pPr>
              <w:jc w:val="center"/>
            </w:pPr>
            <w:r>
              <w:rPr>
                <w:rFonts w:ascii="宋体" w:hAnsi="宋体" w:eastAsia="宋体"/>
                <w:sz w:val="16"/>
              </w:rPr>
              <w:t>城区路灯电费（万元）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5B836">
            <w:pPr>
              <w:jc w:val="center"/>
            </w:pPr>
            <w:r>
              <w:rPr>
                <w:rFonts w:ascii="宋体" w:hAnsi="宋体" w:eastAsia="宋体"/>
                <w:sz w:val="16"/>
              </w:rPr>
              <w:t>&lt;=145万元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0F81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A6A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D103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426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689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BCDC3">
            <w:pPr>
              <w:jc w:val="center"/>
            </w:pPr>
            <w:r>
              <w:rPr>
                <w:rFonts w:ascii="宋体" w:hAnsi="宋体" w:eastAsia="宋体"/>
                <w:sz w:val="16"/>
              </w:rPr>
              <w:t>=145万元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1CF7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9C7D9">
            <w:pPr>
              <w:jc w:val="center"/>
            </w:pPr>
          </w:p>
        </w:tc>
      </w:tr>
      <w:tr w14:paraId="351333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9EBD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1CCC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3CAC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5E300">
            <w:pPr>
              <w:jc w:val="center"/>
            </w:pPr>
            <w:r>
              <w:rPr>
                <w:rFonts w:ascii="宋体" w:hAnsi="宋体" w:eastAsia="宋体"/>
                <w:sz w:val="16"/>
              </w:rPr>
              <w:t>保障服务能力提升情况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9018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C472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AB3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DCD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97F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8B2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7555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C0C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C6219">
            <w:pPr>
              <w:jc w:val="center"/>
            </w:pPr>
          </w:p>
        </w:tc>
      </w:tr>
      <w:tr w14:paraId="6CAD36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67E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B9E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AED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280C7">
            <w:pPr>
              <w:jc w:val="center"/>
            </w:pPr>
            <w:r>
              <w:rPr>
                <w:rFonts w:ascii="宋体" w:hAnsi="宋体" w:eastAsia="宋体"/>
                <w:sz w:val="16"/>
              </w:rPr>
              <w:t>保障夜间交通安全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DD99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A98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70F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E45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6FC9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8BB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C9FA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8FB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8718E">
            <w:pPr>
              <w:jc w:val="center"/>
            </w:pPr>
          </w:p>
        </w:tc>
      </w:tr>
      <w:tr w14:paraId="29C758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4F6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533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E2F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81524">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9F5F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9E7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072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F14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2959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63A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151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449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5D5F6">
            <w:pPr>
              <w:jc w:val="center"/>
            </w:pPr>
          </w:p>
        </w:tc>
      </w:tr>
      <w:tr w14:paraId="29DA1A7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2AE07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E51E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D9EE4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51E7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08E9612"/>
        </w:tc>
      </w:tr>
    </w:tbl>
    <w:p w14:paraId="344FEAA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76FDD479">
        <w:tblPrEx>
          <w:tblCellMar>
            <w:top w:w="0" w:type="dxa"/>
            <w:left w:w="108" w:type="dxa"/>
            <w:bottom w:w="0" w:type="dxa"/>
            <w:right w:w="108" w:type="dxa"/>
          </w:tblCellMar>
        </w:tblPrEx>
        <w:tc>
          <w:tcPr>
            <w:tcW w:w="8848" w:type="dxa"/>
            <w:gridSpan w:val="14"/>
            <w:vAlign w:val="center"/>
          </w:tcPr>
          <w:p w14:paraId="2AD47249">
            <w:pPr>
              <w:jc w:val="center"/>
            </w:pPr>
            <w:r>
              <w:rPr>
                <w:rFonts w:ascii="宋体" w:hAnsi="宋体" w:eastAsia="宋体"/>
                <w:sz w:val="24"/>
              </w:rPr>
              <w:t>项目支出绩效自评表</w:t>
            </w:r>
          </w:p>
        </w:tc>
      </w:tr>
      <w:tr w14:paraId="382ABD5F">
        <w:tblPrEx>
          <w:tblCellMar>
            <w:top w:w="0" w:type="dxa"/>
            <w:left w:w="108" w:type="dxa"/>
            <w:bottom w:w="0" w:type="dxa"/>
            <w:right w:w="108" w:type="dxa"/>
          </w:tblCellMar>
        </w:tblPrEx>
        <w:tc>
          <w:tcPr>
            <w:tcW w:w="8848" w:type="dxa"/>
            <w:gridSpan w:val="14"/>
            <w:vAlign w:val="center"/>
          </w:tcPr>
          <w:p w14:paraId="575BFC35">
            <w:pPr>
              <w:jc w:val="center"/>
            </w:pPr>
            <w:r>
              <w:rPr>
                <w:rFonts w:ascii="宋体" w:hAnsi="宋体" w:eastAsia="宋体"/>
                <w:sz w:val="24"/>
              </w:rPr>
              <w:t>(2024年度)</w:t>
            </w:r>
          </w:p>
        </w:tc>
      </w:tr>
      <w:tr w14:paraId="1F4CA6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51F9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6D9AF1F">
            <w:pPr>
              <w:jc w:val="center"/>
            </w:pPr>
            <w:r>
              <w:rPr>
                <w:rFonts w:ascii="宋体" w:hAnsi="宋体" w:eastAsia="宋体"/>
                <w:sz w:val="16"/>
              </w:rPr>
              <w:t>2024年县级阿克陶县污水处理厂运行费</w:t>
            </w:r>
          </w:p>
        </w:tc>
      </w:tr>
      <w:tr w14:paraId="091E98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BB2A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77471F">
            <w:pPr>
              <w:jc w:val="center"/>
            </w:pPr>
            <w:r>
              <w:rPr>
                <w:rFonts w:ascii="宋体" w:hAnsi="宋体" w:eastAsia="宋体"/>
                <w:sz w:val="16"/>
              </w:rPr>
              <w:t>阿克陶县住房和城乡建设局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4919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30A304">
            <w:pPr>
              <w:jc w:val="center"/>
            </w:pPr>
            <w:r>
              <w:rPr>
                <w:rFonts w:ascii="宋体" w:hAnsi="宋体" w:eastAsia="宋体"/>
                <w:sz w:val="16"/>
              </w:rPr>
              <w:t>阿克陶县住房和城乡建设局</w:t>
            </w:r>
          </w:p>
        </w:tc>
      </w:tr>
      <w:tr w14:paraId="52B307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52CAA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7A0A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0366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BBAD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DFD3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4A66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34B0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7609D">
            <w:pPr>
              <w:jc w:val="center"/>
            </w:pPr>
            <w:r>
              <w:rPr>
                <w:rFonts w:ascii="宋体" w:hAnsi="宋体" w:eastAsia="宋体"/>
                <w:sz w:val="16"/>
              </w:rPr>
              <w:t>得分</w:t>
            </w:r>
          </w:p>
        </w:tc>
      </w:tr>
      <w:tr w14:paraId="6AA784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F28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7CCA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5409C">
            <w:pPr>
              <w:jc w:val="center"/>
            </w:pPr>
            <w:r>
              <w:rPr>
                <w:rFonts w:ascii="宋体" w:hAnsi="宋体" w:eastAsia="宋体"/>
                <w:sz w:val="16"/>
              </w:rPr>
              <w:t>430.00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8434B">
            <w:pPr>
              <w:jc w:val="center"/>
            </w:pPr>
            <w:r>
              <w:rPr>
                <w:rFonts w:ascii="宋体" w:hAnsi="宋体" w:eastAsia="宋体"/>
                <w:sz w:val="16"/>
              </w:rPr>
              <w:t>430.00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D5C06">
            <w:pPr>
              <w:jc w:val="center"/>
            </w:pPr>
            <w:r>
              <w:rPr>
                <w:rFonts w:ascii="宋体" w:hAnsi="宋体" w:eastAsia="宋体"/>
                <w:sz w:val="16"/>
              </w:rPr>
              <w:t>321.03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DC3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AC221">
            <w:pPr>
              <w:jc w:val="center"/>
            </w:pPr>
            <w:r>
              <w:rPr>
                <w:rFonts w:ascii="宋体" w:hAnsi="宋体" w:eastAsia="宋体"/>
                <w:sz w:val="16"/>
              </w:rPr>
              <w:t>74.7%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140DD">
            <w:pPr>
              <w:jc w:val="center"/>
            </w:pPr>
            <w:r>
              <w:rPr>
                <w:rFonts w:ascii="宋体" w:hAnsi="宋体" w:eastAsia="宋体"/>
                <w:sz w:val="16"/>
              </w:rPr>
              <w:t>3.68分</w:t>
            </w:r>
          </w:p>
        </w:tc>
      </w:tr>
      <w:tr w14:paraId="594173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16E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D209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F9F30">
            <w:pPr>
              <w:jc w:val="center"/>
            </w:pPr>
            <w:r>
              <w:rPr>
                <w:rFonts w:ascii="宋体" w:hAnsi="宋体" w:eastAsia="宋体"/>
                <w:sz w:val="16"/>
              </w:rPr>
              <w:t>430.00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872AC">
            <w:pPr>
              <w:jc w:val="center"/>
            </w:pPr>
            <w:r>
              <w:rPr>
                <w:rFonts w:ascii="宋体" w:hAnsi="宋体" w:eastAsia="宋体"/>
                <w:sz w:val="16"/>
              </w:rPr>
              <w:t>430.00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AD7B6">
            <w:pPr>
              <w:jc w:val="center"/>
            </w:pPr>
            <w:r>
              <w:rPr>
                <w:rFonts w:ascii="宋体" w:hAnsi="宋体" w:eastAsia="宋体"/>
                <w:sz w:val="16"/>
              </w:rPr>
              <w:t>321.03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C67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CDC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C12C5">
            <w:pPr>
              <w:jc w:val="center"/>
            </w:pPr>
            <w:r>
              <w:rPr>
                <w:rFonts w:ascii="宋体" w:hAnsi="宋体" w:eastAsia="宋体"/>
                <w:sz w:val="16"/>
              </w:rPr>
              <w:t>—</w:t>
            </w:r>
          </w:p>
        </w:tc>
      </w:tr>
      <w:tr w14:paraId="543136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B5B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DB41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F26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625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8EC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0C8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941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C74D4">
            <w:pPr>
              <w:jc w:val="center"/>
            </w:pPr>
            <w:r>
              <w:rPr>
                <w:rFonts w:ascii="宋体" w:hAnsi="宋体" w:eastAsia="宋体"/>
                <w:sz w:val="16"/>
              </w:rPr>
              <w:t>—</w:t>
            </w:r>
          </w:p>
        </w:tc>
      </w:tr>
      <w:tr w14:paraId="5E3051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84A7F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17FB5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FA1EA8">
            <w:pPr>
              <w:jc w:val="center"/>
            </w:pPr>
            <w:r>
              <w:rPr>
                <w:rFonts w:ascii="宋体" w:hAnsi="宋体" w:eastAsia="宋体"/>
                <w:sz w:val="16"/>
              </w:rPr>
              <w:t>实际完成情况</w:t>
            </w:r>
          </w:p>
        </w:tc>
      </w:tr>
      <w:tr w14:paraId="723959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A9E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466208">
            <w:pPr>
              <w:jc w:val="both"/>
            </w:pPr>
            <w:r>
              <w:rPr>
                <w:rFonts w:ascii="宋体" w:hAnsi="宋体" w:eastAsia="宋体"/>
                <w:sz w:val="16"/>
              </w:rPr>
              <w:t>该项目资金用于阿克陶县城区污水处理厂的日常运行，保障全县城市居民、企业所排放的污水安全</w:t>
            </w:r>
            <w:r>
              <w:rPr>
                <w:rFonts w:hint="eastAsia" w:ascii="宋体" w:hAnsi="宋体"/>
                <w:sz w:val="16"/>
                <w:lang w:eastAsia="zh-CN"/>
              </w:rPr>
              <w:t>及</w:t>
            </w:r>
            <w:r>
              <w:rPr>
                <w:rFonts w:ascii="宋体" w:hAnsi="宋体" w:eastAsia="宋体"/>
                <w:sz w:val="16"/>
              </w:rPr>
              <w:t>时处理，年污水处理量</w:t>
            </w:r>
            <w:r>
              <w:rPr>
                <w:rFonts w:hint="eastAsia" w:ascii="宋体" w:hAnsi="宋体"/>
                <w:sz w:val="16"/>
                <w:lang w:eastAsia="zh-CN"/>
              </w:rPr>
              <w:t>大约</w:t>
            </w:r>
            <w:r>
              <w:rPr>
                <w:rFonts w:ascii="宋体" w:hAnsi="宋体" w:eastAsia="宋体"/>
                <w:sz w:val="16"/>
              </w:rPr>
              <w:t>380万吨，该项目资金主要用于采购药剂费用，维修及更换设备费用及人员经费，污水处理厂的运行增加了就业岗位23人。通过该项目的实施，阿克陶县污水处理厂得到了有效</w:t>
            </w:r>
            <w:r>
              <w:rPr>
                <w:rFonts w:hint="eastAsia" w:ascii="宋体" w:hAnsi="宋体"/>
                <w:sz w:val="16"/>
                <w:lang w:eastAsia="zh-CN"/>
              </w:rPr>
              <w:t>地</w:t>
            </w:r>
            <w:r>
              <w:rPr>
                <w:rFonts w:ascii="宋体" w:hAnsi="宋体" w:eastAsia="宋体"/>
                <w:sz w:val="16"/>
              </w:rPr>
              <w:t>运行，提升了居民的生活品质。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D07FBB">
            <w:pPr>
              <w:jc w:val="both"/>
            </w:pPr>
            <w:r>
              <w:rPr>
                <w:rFonts w:ascii="宋体" w:hAnsi="宋体" w:eastAsia="宋体"/>
                <w:sz w:val="16"/>
              </w:rPr>
              <w:t>该项目资金用于阿克陶县城区污水处理厂的日常运行，保障全县城市居民、企业所排放的污水安全</w:t>
            </w:r>
            <w:r>
              <w:rPr>
                <w:rFonts w:hint="eastAsia" w:ascii="宋体" w:hAnsi="宋体"/>
                <w:sz w:val="16"/>
                <w:lang w:eastAsia="zh-CN"/>
              </w:rPr>
              <w:t>及</w:t>
            </w:r>
            <w:r>
              <w:rPr>
                <w:rFonts w:ascii="宋体" w:hAnsi="宋体" w:eastAsia="宋体"/>
                <w:sz w:val="16"/>
              </w:rPr>
              <w:t>时处理，年污水处理量</w:t>
            </w:r>
            <w:r>
              <w:rPr>
                <w:rFonts w:hint="eastAsia" w:ascii="宋体" w:hAnsi="宋体"/>
                <w:sz w:val="16"/>
                <w:lang w:eastAsia="zh-CN"/>
              </w:rPr>
              <w:t>大约</w:t>
            </w:r>
            <w:r>
              <w:rPr>
                <w:rFonts w:ascii="宋体" w:hAnsi="宋体" w:eastAsia="宋体"/>
                <w:sz w:val="16"/>
              </w:rPr>
              <w:t>380万吨，该项目资金主要用于采购药剂费用，维修及更换设备费用及人员经费，污水处理厂的运行增加了就业岗位23人。通过该项目的实施，阿克陶县污水处理厂得到了有效</w:t>
            </w:r>
            <w:r>
              <w:rPr>
                <w:rFonts w:hint="eastAsia" w:ascii="宋体" w:hAnsi="宋体"/>
                <w:sz w:val="16"/>
                <w:lang w:eastAsia="zh-CN"/>
              </w:rPr>
              <w:t>地</w:t>
            </w:r>
            <w:r>
              <w:rPr>
                <w:rFonts w:ascii="宋体" w:hAnsi="宋体" w:eastAsia="宋体"/>
                <w:sz w:val="16"/>
              </w:rPr>
              <w:t>运行，提升了居民的生活品质。</w:t>
            </w:r>
          </w:p>
        </w:tc>
      </w:tr>
      <w:tr w14:paraId="791171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2B2F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7EFE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E176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877B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9A76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E994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E6BA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010E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7DEF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7321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A02F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A41F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C7221">
            <w:pPr>
              <w:jc w:val="center"/>
            </w:pPr>
            <w:r>
              <w:rPr>
                <w:rFonts w:ascii="宋体" w:hAnsi="宋体" w:eastAsia="宋体"/>
                <w:sz w:val="16"/>
              </w:rPr>
              <w:t>偏差原因分析及改进措施</w:t>
            </w:r>
          </w:p>
        </w:tc>
      </w:tr>
      <w:tr w14:paraId="0B7FFD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D2A41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558EC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FB80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C9AD9">
            <w:pPr>
              <w:jc w:val="center"/>
            </w:pPr>
            <w:r>
              <w:rPr>
                <w:rFonts w:ascii="宋体" w:hAnsi="宋体" w:eastAsia="宋体"/>
                <w:sz w:val="16"/>
              </w:rPr>
              <w:t>污水处理厂扩建工程数量(个）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83966">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5CD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F60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5437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FB8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EB5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8B000">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5363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D2EFA">
            <w:pPr>
              <w:jc w:val="center"/>
            </w:pPr>
          </w:p>
        </w:tc>
      </w:tr>
      <w:tr w14:paraId="67950F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81A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CC4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ECEA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7B33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C1A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4A1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901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0506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4D3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D2D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1E5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FD53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7A22D">
            <w:pPr>
              <w:jc w:val="center"/>
            </w:pPr>
          </w:p>
        </w:tc>
      </w:tr>
      <w:tr w14:paraId="4DCDAF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E70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259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911B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02B98">
            <w:pPr>
              <w:jc w:val="center"/>
            </w:pPr>
            <w:r>
              <w:rPr>
                <w:rFonts w:ascii="宋体" w:hAnsi="宋体" w:eastAsia="宋体"/>
                <w:sz w:val="16"/>
              </w:rPr>
              <w:t>项目完成时效（月）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AD10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0D3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5ED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4C1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B2E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B34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0105A">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3B7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59B2F">
            <w:pPr>
              <w:jc w:val="center"/>
            </w:pPr>
          </w:p>
        </w:tc>
      </w:tr>
      <w:tr w14:paraId="22A17D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4FB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9FD4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45FA4">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021D9">
            <w:pPr>
              <w:jc w:val="center"/>
            </w:pPr>
            <w:r>
              <w:rPr>
                <w:rFonts w:ascii="宋体" w:hAnsi="宋体" w:eastAsia="宋体"/>
                <w:sz w:val="16"/>
              </w:rPr>
              <w:t>污水处理厂运行成本（万元）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00B47">
            <w:pPr>
              <w:jc w:val="center"/>
            </w:pPr>
            <w:r>
              <w:rPr>
                <w:rFonts w:ascii="宋体" w:hAnsi="宋体" w:eastAsia="宋体"/>
                <w:sz w:val="16"/>
              </w:rPr>
              <w:t>&lt;=430万元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E27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304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903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6DF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9D8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644C4">
            <w:pPr>
              <w:jc w:val="center"/>
            </w:pPr>
            <w:r>
              <w:rPr>
                <w:rFonts w:ascii="宋体" w:hAnsi="宋体" w:eastAsia="宋体"/>
                <w:sz w:val="16"/>
              </w:rPr>
              <w:t>=321.03万元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4B0CD">
            <w:pPr>
              <w:jc w:val="center"/>
            </w:pPr>
            <w:r>
              <w:rPr>
                <w:rFonts w:ascii="宋体" w:hAnsi="宋体" w:eastAsia="宋体"/>
                <w:sz w:val="16"/>
              </w:rPr>
              <w:t>7.33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FA318">
            <w:pPr>
              <w:jc w:val="center"/>
            </w:pPr>
            <w:r>
              <w:rPr>
                <w:rFonts w:ascii="宋体" w:hAnsi="宋体" w:eastAsia="宋体"/>
                <w:sz w:val="16"/>
              </w:rPr>
              <w:t>因财政资金紧张，资金支付没有达标。</w:t>
            </w:r>
          </w:p>
        </w:tc>
      </w:tr>
      <w:tr w14:paraId="15AE8A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CE6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E8124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18CF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08892">
            <w:pPr>
              <w:jc w:val="center"/>
            </w:pPr>
            <w:r>
              <w:rPr>
                <w:rFonts w:ascii="宋体" w:hAnsi="宋体" w:eastAsia="宋体"/>
                <w:sz w:val="16"/>
              </w:rPr>
              <w:t>保障服务能力提升情况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7F88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01C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F93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B9B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4E31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854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2CF6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2BF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5AA80">
            <w:pPr>
              <w:jc w:val="center"/>
            </w:pPr>
          </w:p>
        </w:tc>
      </w:tr>
      <w:tr w14:paraId="736C03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E6A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429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B9732">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09ACA">
            <w:pPr>
              <w:jc w:val="center"/>
            </w:pPr>
            <w:r>
              <w:rPr>
                <w:rFonts w:ascii="宋体" w:hAnsi="宋体" w:eastAsia="宋体"/>
                <w:sz w:val="16"/>
              </w:rPr>
              <w:t>污水及时处理、保持环境良好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2434E">
            <w:pPr>
              <w:jc w:val="center"/>
            </w:pPr>
            <w:r>
              <w:rPr>
                <w:rFonts w:ascii="宋体" w:hAnsi="宋体" w:eastAsia="宋体"/>
                <w:sz w:val="16"/>
              </w:rPr>
              <w:t>保持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A47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BDD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9BE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C04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CAB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73974">
            <w:pPr>
              <w:jc w:val="center"/>
            </w:pPr>
            <w:r>
              <w:rPr>
                <w:rFonts w:ascii="宋体" w:hAnsi="宋体" w:eastAsia="宋体"/>
                <w:sz w:val="16"/>
              </w:rPr>
              <w:t>保持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F19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884F8">
            <w:pPr>
              <w:jc w:val="center"/>
            </w:pPr>
          </w:p>
        </w:tc>
      </w:tr>
      <w:tr w14:paraId="1009D4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7F4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645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07F8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A140D">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13B6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81B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1AD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ACF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E27E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F086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327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CEB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1D7EC">
            <w:pPr>
              <w:jc w:val="center"/>
            </w:pPr>
            <w:r>
              <w:rPr>
                <w:rFonts w:ascii="宋体" w:hAnsi="宋体" w:eastAsia="宋体"/>
                <w:sz w:val="16"/>
              </w:rPr>
              <w:t>因财政资金紧张，资金支付没有达标。</w:t>
            </w:r>
          </w:p>
        </w:tc>
      </w:tr>
      <w:tr w14:paraId="1BF7BCE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5CBC8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E20F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3C9E8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CC994">
            <w:pPr>
              <w:jc w:val="center"/>
            </w:pPr>
            <w:r>
              <w:rPr>
                <w:rFonts w:ascii="宋体" w:hAnsi="宋体" w:eastAsia="宋体"/>
                <w:sz w:val="16"/>
              </w:rPr>
              <w:t>81.01分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C7AAF4C"/>
        </w:tc>
      </w:tr>
    </w:tbl>
    <w:p w14:paraId="069ACAD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478678E">
        <w:tblPrEx>
          <w:tblCellMar>
            <w:top w:w="0" w:type="dxa"/>
            <w:left w:w="108" w:type="dxa"/>
            <w:bottom w:w="0" w:type="dxa"/>
            <w:right w:w="108" w:type="dxa"/>
          </w:tblCellMar>
        </w:tblPrEx>
        <w:tc>
          <w:tcPr>
            <w:tcW w:w="8848" w:type="dxa"/>
            <w:gridSpan w:val="14"/>
            <w:vAlign w:val="center"/>
          </w:tcPr>
          <w:p w14:paraId="24BDF34D">
            <w:pPr>
              <w:jc w:val="center"/>
            </w:pPr>
            <w:r>
              <w:rPr>
                <w:rFonts w:ascii="宋体" w:hAnsi="宋体" w:eastAsia="宋体"/>
                <w:sz w:val="24"/>
              </w:rPr>
              <w:t>项目支出绩效自评表</w:t>
            </w:r>
          </w:p>
        </w:tc>
      </w:tr>
      <w:tr w14:paraId="6248F348">
        <w:tblPrEx>
          <w:tblCellMar>
            <w:top w:w="0" w:type="dxa"/>
            <w:left w:w="108" w:type="dxa"/>
            <w:bottom w:w="0" w:type="dxa"/>
            <w:right w:w="108" w:type="dxa"/>
          </w:tblCellMar>
        </w:tblPrEx>
        <w:tc>
          <w:tcPr>
            <w:tcW w:w="8848" w:type="dxa"/>
            <w:gridSpan w:val="14"/>
            <w:vAlign w:val="center"/>
          </w:tcPr>
          <w:p w14:paraId="175F8755">
            <w:pPr>
              <w:jc w:val="center"/>
            </w:pPr>
            <w:r>
              <w:rPr>
                <w:rFonts w:ascii="宋体" w:hAnsi="宋体" w:eastAsia="宋体"/>
                <w:sz w:val="24"/>
              </w:rPr>
              <w:t>(2024年度)</w:t>
            </w:r>
          </w:p>
        </w:tc>
      </w:tr>
      <w:tr w14:paraId="37D08C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6DBD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C1C9C8">
            <w:pPr>
              <w:jc w:val="center"/>
            </w:pPr>
            <w:r>
              <w:rPr>
                <w:rFonts w:ascii="宋体" w:hAnsi="宋体" w:eastAsia="宋体"/>
                <w:sz w:val="16"/>
              </w:rPr>
              <w:t>2024年县级</w:t>
            </w:r>
            <w:r>
              <w:rPr>
                <w:rFonts w:hint="eastAsia" w:ascii="宋体" w:hAnsi="宋体"/>
                <w:sz w:val="16"/>
                <w:lang w:eastAsia="zh-CN"/>
              </w:rPr>
              <w:t>为民办实事</w:t>
            </w:r>
            <w:r>
              <w:rPr>
                <w:rFonts w:ascii="宋体" w:hAnsi="宋体" w:eastAsia="宋体"/>
                <w:sz w:val="16"/>
              </w:rPr>
              <w:t>工作队第一书记为民办实事经费</w:t>
            </w:r>
          </w:p>
        </w:tc>
      </w:tr>
      <w:tr w14:paraId="4C780F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A1B6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739117">
            <w:pPr>
              <w:jc w:val="center"/>
            </w:pPr>
            <w:r>
              <w:rPr>
                <w:rFonts w:ascii="宋体" w:hAnsi="宋体" w:eastAsia="宋体"/>
                <w:sz w:val="16"/>
              </w:rPr>
              <w:t>阿克陶县住房和城乡建设局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5308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0CB389">
            <w:pPr>
              <w:jc w:val="center"/>
            </w:pPr>
            <w:r>
              <w:rPr>
                <w:rFonts w:ascii="宋体" w:hAnsi="宋体" w:eastAsia="宋体"/>
                <w:sz w:val="16"/>
              </w:rPr>
              <w:t>阿克陶县住房和城乡建设局</w:t>
            </w:r>
          </w:p>
        </w:tc>
      </w:tr>
      <w:tr w14:paraId="72EFC9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E7BF8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2AB5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326A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A23D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CD00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A0BF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88D9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480CD">
            <w:pPr>
              <w:jc w:val="center"/>
            </w:pPr>
            <w:r>
              <w:rPr>
                <w:rFonts w:ascii="宋体" w:hAnsi="宋体" w:eastAsia="宋体"/>
                <w:sz w:val="16"/>
              </w:rPr>
              <w:t>得分</w:t>
            </w:r>
          </w:p>
        </w:tc>
      </w:tr>
      <w:tr w14:paraId="5FEAC1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42A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B1A8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E8CC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5F45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3C5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791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73025">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D0A6F">
            <w:pPr>
              <w:jc w:val="center"/>
            </w:pPr>
            <w:r>
              <w:rPr>
                <w:rFonts w:ascii="宋体" w:hAnsi="宋体" w:eastAsia="宋体"/>
                <w:sz w:val="16"/>
              </w:rPr>
              <w:t>0.00分</w:t>
            </w:r>
          </w:p>
        </w:tc>
      </w:tr>
      <w:tr w14:paraId="2827D8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D79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4BFF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BB3C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4BCA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79B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301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9D9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B36F9">
            <w:pPr>
              <w:jc w:val="center"/>
            </w:pPr>
            <w:r>
              <w:rPr>
                <w:rFonts w:ascii="宋体" w:hAnsi="宋体" w:eastAsia="宋体"/>
                <w:sz w:val="16"/>
              </w:rPr>
              <w:t>—</w:t>
            </w:r>
          </w:p>
        </w:tc>
      </w:tr>
      <w:tr w14:paraId="02CC4A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624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C379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36B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454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77F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8F5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651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38DE">
            <w:pPr>
              <w:jc w:val="center"/>
            </w:pPr>
            <w:r>
              <w:rPr>
                <w:rFonts w:ascii="宋体" w:hAnsi="宋体" w:eastAsia="宋体"/>
                <w:sz w:val="16"/>
              </w:rPr>
              <w:t>—</w:t>
            </w:r>
          </w:p>
        </w:tc>
      </w:tr>
      <w:tr w14:paraId="0BB324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7A8DB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7533D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33A606">
            <w:pPr>
              <w:jc w:val="center"/>
            </w:pPr>
            <w:r>
              <w:rPr>
                <w:rFonts w:ascii="宋体" w:hAnsi="宋体" w:eastAsia="宋体"/>
                <w:sz w:val="16"/>
              </w:rPr>
              <w:t>实际完成情况</w:t>
            </w:r>
          </w:p>
        </w:tc>
      </w:tr>
      <w:tr w14:paraId="62BC8E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C6B8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CC0233">
            <w:pPr>
              <w:jc w:val="both"/>
            </w:pPr>
            <w:r>
              <w:rPr>
                <w:rFonts w:ascii="宋体" w:hAnsi="宋体" w:eastAsia="宋体"/>
                <w:sz w:val="16"/>
              </w:rPr>
              <w:t>深入开展2024年</w:t>
            </w:r>
            <w:r>
              <w:rPr>
                <w:rFonts w:hint="eastAsia" w:ascii="宋体" w:hAnsi="宋体"/>
                <w:sz w:val="16"/>
                <w:lang w:eastAsia="zh-CN"/>
              </w:rPr>
              <w:t>为民办实事</w:t>
            </w:r>
            <w:r>
              <w:rPr>
                <w:rFonts w:ascii="宋体" w:hAnsi="宋体" w:eastAsia="宋体"/>
                <w:sz w:val="16"/>
              </w:rPr>
              <w:t>工作，认真做好访民情、惠民生、聚民心等群众工作，加强基层党组织建设，提升</w:t>
            </w:r>
            <w:r>
              <w:rPr>
                <w:rFonts w:hint="eastAsia" w:ascii="宋体" w:hAnsi="宋体"/>
                <w:sz w:val="16"/>
                <w:lang w:eastAsia="zh-CN"/>
              </w:rPr>
              <w:t>WW</w:t>
            </w:r>
            <w:r>
              <w:rPr>
                <w:rFonts w:ascii="宋体" w:hAnsi="宋体" w:eastAsia="宋体"/>
                <w:sz w:val="16"/>
              </w:rPr>
              <w:t>戍边能力，提高基层治理水平，铸牢中华民族共同体意识。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9BB5C4">
            <w:pPr>
              <w:jc w:val="both"/>
            </w:pPr>
            <w:r>
              <w:rPr>
                <w:rFonts w:ascii="宋体" w:hAnsi="宋体" w:eastAsia="宋体"/>
                <w:sz w:val="16"/>
              </w:rPr>
              <w:t>未完成</w:t>
            </w:r>
          </w:p>
        </w:tc>
      </w:tr>
      <w:tr w14:paraId="5FD572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815E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1982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DF56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2DFF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D80C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0CD0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AC0C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0027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4F44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C89F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4CEF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BFC2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2E079">
            <w:pPr>
              <w:jc w:val="center"/>
            </w:pPr>
            <w:r>
              <w:rPr>
                <w:rFonts w:ascii="宋体" w:hAnsi="宋体" w:eastAsia="宋体"/>
                <w:sz w:val="16"/>
              </w:rPr>
              <w:t>偏差原因分析及改进措施</w:t>
            </w:r>
          </w:p>
        </w:tc>
      </w:tr>
      <w:tr w14:paraId="666356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D1F08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92F1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D8FC5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55C02">
            <w:pPr>
              <w:jc w:val="center"/>
            </w:pPr>
            <w:r>
              <w:rPr>
                <w:rFonts w:ascii="宋体" w:hAnsi="宋体" w:eastAsia="宋体"/>
                <w:sz w:val="16"/>
              </w:rPr>
              <w:t>开展联谊活动次数(次)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25DFC">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CAB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4D3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5CA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20E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0CC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215E1">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69CF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3BF91">
            <w:pPr>
              <w:jc w:val="center"/>
            </w:pPr>
            <w:r>
              <w:rPr>
                <w:rFonts w:ascii="宋体" w:hAnsi="宋体" w:eastAsia="宋体"/>
                <w:sz w:val="16"/>
              </w:rPr>
              <w:t>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w:t>
            </w:r>
          </w:p>
        </w:tc>
      </w:tr>
      <w:tr w14:paraId="26BF1F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388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C53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6CA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124B8">
            <w:pPr>
              <w:jc w:val="center"/>
            </w:pPr>
            <w:r>
              <w:rPr>
                <w:rFonts w:ascii="宋体" w:hAnsi="宋体" w:eastAsia="宋体"/>
                <w:sz w:val="16"/>
              </w:rPr>
              <w:t>慰问困难家庭次数（次）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296E1">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60F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3AB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F2E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812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10E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0A147">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402B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4A51E">
            <w:pPr>
              <w:jc w:val="center"/>
            </w:pPr>
            <w:r>
              <w:rPr>
                <w:rFonts w:ascii="宋体" w:hAnsi="宋体" w:eastAsia="宋体"/>
                <w:sz w:val="16"/>
              </w:rPr>
              <w:t>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w:t>
            </w:r>
          </w:p>
        </w:tc>
      </w:tr>
      <w:tr w14:paraId="34E265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BAA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205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649E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1B39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633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020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A91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4D0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246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661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7DD2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E342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482D7">
            <w:pPr>
              <w:jc w:val="center"/>
            </w:pPr>
            <w:r>
              <w:rPr>
                <w:rFonts w:ascii="宋体" w:hAnsi="宋体" w:eastAsia="宋体"/>
                <w:sz w:val="16"/>
              </w:rPr>
              <w:t>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w:t>
            </w:r>
          </w:p>
        </w:tc>
      </w:tr>
      <w:tr w14:paraId="683DF8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D07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7AF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5C05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886E2">
            <w:pPr>
              <w:jc w:val="center"/>
            </w:pPr>
            <w:r>
              <w:rPr>
                <w:rFonts w:ascii="宋体" w:hAnsi="宋体" w:eastAsia="宋体"/>
                <w:sz w:val="16"/>
              </w:rPr>
              <w:t>项目完成时限（月）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7D31F">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8F5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E71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2D1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6D5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7DB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9F948">
            <w:pPr>
              <w:jc w:val="center"/>
            </w:pPr>
            <w:r>
              <w:rPr>
                <w:rFonts w:ascii="宋体" w:hAnsi="宋体" w:eastAsia="宋体"/>
                <w:sz w:val="16"/>
              </w:rPr>
              <w:t>=0月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0FB4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DCFE1">
            <w:pPr>
              <w:jc w:val="center"/>
            </w:pPr>
            <w:r>
              <w:rPr>
                <w:rFonts w:ascii="宋体" w:hAnsi="宋体" w:eastAsia="宋体"/>
                <w:sz w:val="16"/>
              </w:rPr>
              <w:t>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w:t>
            </w:r>
          </w:p>
        </w:tc>
      </w:tr>
      <w:tr w14:paraId="2B87DB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AC2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C49E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A5CE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BED44">
            <w:pPr>
              <w:jc w:val="center"/>
            </w:pPr>
            <w:r>
              <w:rPr>
                <w:rFonts w:hint="eastAsia" w:ascii="宋体" w:hAnsi="宋体"/>
                <w:sz w:val="16"/>
                <w:lang w:eastAsia="zh-CN"/>
              </w:rPr>
              <w:t>为民办实事</w:t>
            </w:r>
            <w:r>
              <w:rPr>
                <w:rFonts w:ascii="宋体" w:hAnsi="宋体" w:eastAsia="宋体"/>
                <w:sz w:val="16"/>
              </w:rPr>
              <w:t>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C8385">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67A1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C6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A8C0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B70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A67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A702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D862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72811">
            <w:pPr>
              <w:jc w:val="center"/>
            </w:pPr>
            <w:r>
              <w:rPr>
                <w:rFonts w:ascii="宋体" w:hAnsi="宋体" w:eastAsia="宋体"/>
                <w:sz w:val="16"/>
              </w:rPr>
              <w:t>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w:t>
            </w:r>
          </w:p>
        </w:tc>
      </w:tr>
      <w:tr w14:paraId="293325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9681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9EE70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E2B81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90013">
            <w:pPr>
              <w:jc w:val="center"/>
            </w:pPr>
            <w:r>
              <w:rPr>
                <w:rFonts w:ascii="宋体" w:hAnsi="宋体" w:eastAsia="宋体"/>
                <w:sz w:val="16"/>
              </w:rPr>
              <w:t>提升</w:t>
            </w:r>
            <w:r>
              <w:rPr>
                <w:rFonts w:hint="eastAsia" w:ascii="宋体" w:hAnsi="宋体"/>
                <w:sz w:val="16"/>
                <w:lang w:eastAsia="zh-CN"/>
              </w:rPr>
              <w:t>WW</w:t>
            </w:r>
            <w:r>
              <w:rPr>
                <w:rFonts w:ascii="宋体" w:hAnsi="宋体" w:eastAsia="宋体"/>
                <w:sz w:val="16"/>
              </w:rPr>
              <w:t>戍边能力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A14F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2F3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83A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B3A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226B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3BC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9F9E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A991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8160D">
            <w:pPr>
              <w:jc w:val="center"/>
            </w:pPr>
            <w:r>
              <w:rPr>
                <w:rFonts w:ascii="宋体" w:hAnsi="宋体" w:eastAsia="宋体"/>
                <w:sz w:val="16"/>
              </w:rPr>
              <w:t>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w:t>
            </w:r>
          </w:p>
        </w:tc>
      </w:tr>
      <w:tr w14:paraId="69D127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B71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AAB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D42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8720E">
            <w:pPr>
              <w:jc w:val="center"/>
            </w:pPr>
            <w:r>
              <w:rPr>
                <w:rFonts w:ascii="宋体" w:hAnsi="宋体" w:eastAsia="宋体"/>
                <w:sz w:val="16"/>
              </w:rPr>
              <w:t>提高基层治理水平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B24A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9FF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CBF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A40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3D7C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8C8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9103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1D1F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B1659">
            <w:pPr>
              <w:jc w:val="center"/>
            </w:pPr>
            <w:r>
              <w:rPr>
                <w:rFonts w:ascii="宋体" w:hAnsi="宋体" w:eastAsia="宋体"/>
                <w:sz w:val="16"/>
              </w:rPr>
              <w:t>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w:t>
            </w:r>
          </w:p>
        </w:tc>
      </w:tr>
      <w:tr w14:paraId="387C67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8C4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0B4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EE7A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600D3">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AF5F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6CEF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39F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24D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8192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1E5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694B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8F7E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78162">
            <w:pPr>
              <w:jc w:val="center"/>
            </w:pPr>
            <w:r>
              <w:rPr>
                <w:rFonts w:ascii="宋体" w:hAnsi="宋体" w:eastAsia="宋体"/>
                <w:sz w:val="16"/>
              </w:rPr>
              <w:t>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w:t>
            </w:r>
          </w:p>
        </w:tc>
      </w:tr>
      <w:tr w14:paraId="5427B28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F2E3D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0AFD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2AD4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658A7">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94CCD45"/>
        </w:tc>
      </w:tr>
    </w:tbl>
    <w:p w14:paraId="0677C98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CBD37BE">
        <w:tblPrEx>
          <w:tblCellMar>
            <w:top w:w="0" w:type="dxa"/>
            <w:left w:w="108" w:type="dxa"/>
            <w:bottom w:w="0" w:type="dxa"/>
            <w:right w:w="108" w:type="dxa"/>
          </w:tblCellMar>
        </w:tblPrEx>
        <w:tc>
          <w:tcPr>
            <w:tcW w:w="8848" w:type="dxa"/>
            <w:gridSpan w:val="14"/>
            <w:vAlign w:val="center"/>
          </w:tcPr>
          <w:p w14:paraId="4C62A12F">
            <w:pPr>
              <w:jc w:val="center"/>
            </w:pPr>
            <w:r>
              <w:rPr>
                <w:rFonts w:ascii="宋体" w:hAnsi="宋体" w:eastAsia="宋体"/>
                <w:sz w:val="24"/>
              </w:rPr>
              <w:t>项目支出绩效自评表</w:t>
            </w:r>
          </w:p>
        </w:tc>
      </w:tr>
      <w:tr w14:paraId="6DEC5272">
        <w:tblPrEx>
          <w:tblCellMar>
            <w:top w:w="0" w:type="dxa"/>
            <w:left w:w="108" w:type="dxa"/>
            <w:bottom w:w="0" w:type="dxa"/>
            <w:right w:w="108" w:type="dxa"/>
          </w:tblCellMar>
        </w:tblPrEx>
        <w:tc>
          <w:tcPr>
            <w:tcW w:w="8848" w:type="dxa"/>
            <w:gridSpan w:val="14"/>
            <w:vAlign w:val="center"/>
          </w:tcPr>
          <w:p w14:paraId="230306E8">
            <w:pPr>
              <w:jc w:val="center"/>
            </w:pPr>
            <w:r>
              <w:rPr>
                <w:rFonts w:ascii="宋体" w:hAnsi="宋体" w:eastAsia="宋体"/>
                <w:sz w:val="24"/>
              </w:rPr>
              <w:t>(2024年度)</w:t>
            </w:r>
          </w:p>
        </w:tc>
      </w:tr>
      <w:tr w14:paraId="245805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722D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8D452F4">
            <w:pPr>
              <w:jc w:val="center"/>
            </w:pPr>
            <w:r>
              <w:rPr>
                <w:rFonts w:ascii="宋体" w:hAnsi="宋体" w:eastAsia="宋体"/>
                <w:sz w:val="16"/>
              </w:rPr>
              <w:t>2024年部分中央财政城镇保障性安居工程项目</w:t>
            </w:r>
          </w:p>
        </w:tc>
      </w:tr>
      <w:tr w14:paraId="31E363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BB80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E3E4A8">
            <w:pPr>
              <w:jc w:val="center"/>
            </w:pPr>
            <w:r>
              <w:rPr>
                <w:rFonts w:ascii="宋体" w:hAnsi="宋体" w:eastAsia="宋体"/>
                <w:sz w:val="16"/>
              </w:rPr>
              <w:t>阿克陶县住房和城乡建设局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347C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C03A5C">
            <w:pPr>
              <w:jc w:val="center"/>
            </w:pPr>
            <w:r>
              <w:rPr>
                <w:rFonts w:ascii="宋体" w:hAnsi="宋体" w:eastAsia="宋体"/>
                <w:sz w:val="16"/>
              </w:rPr>
              <w:t>阿克陶县住房和城乡建设局</w:t>
            </w:r>
          </w:p>
        </w:tc>
      </w:tr>
      <w:tr w14:paraId="6F8FD2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0DBEA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38EB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ABAB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2324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6014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6D4C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4084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1AC3D">
            <w:pPr>
              <w:jc w:val="center"/>
            </w:pPr>
            <w:r>
              <w:rPr>
                <w:rFonts w:ascii="宋体" w:hAnsi="宋体" w:eastAsia="宋体"/>
                <w:sz w:val="16"/>
              </w:rPr>
              <w:t>得分</w:t>
            </w:r>
          </w:p>
        </w:tc>
      </w:tr>
      <w:tr w14:paraId="1CEBDB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3E7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A51C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3BEB2">
            <w:pPr>
              <w:jc w:val="center"/>
            </w:pPr>
            <w:r>
              <w:rPr>
                <w:rFonts w:ascii="宋体" w:hAnsi="宋体" w:eastAsia="宋体"/>
                <w:sz w:val="16"/>
              </w:rPr>
              <w:t>216.00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D413F">
            <w:pPr>
              <w:jc w:val="center"/>
            </w:pPr>
            <w:r>
              <w:rPr>
                <w:rFonts w:ascii="宋体" w:hAnsi="宋体" w:eastAsia="宋体"/>
                <w:sz w:val="16"/>
              </w:rPr>
              <w:t>216.00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B1738">
            <w:pPr>
              <w:jc w:val="center"/>
            </w:pPr>
            <w:r>
              <w:rPr>
                <w:rFonts w:ascii="宋体" w:hAnsi="宋体" w:eastAsia="宋体"/>
                <w:sz w:val="16"/>
              </w:rPr>
              <w:t>216.00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EB6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00BB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8B70C">
            <w:pPr>
              <w:jc w:val="center"/>
            </w:pPr>
            <w:r>
              <w:rPr>
                <w:rFonts w:ascii="宋体" w:hAnsi="宋体" w:eastAsia="宋体"/>
                <w:sz w:val="16"/>
              </w:rPr>
              <w:t>10.00分</w:t>
            </w:r>
          </w:p>
        </w:tc>
      </w:tr>
      <w:tr w14:paraId="0F1AFA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A12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EF14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75BCE">
            <w:pPr>
              <w:jc w:val="center"/>
            </w:pPr>
            <w:r>
              <w:rPr>
                <w:rFonts w:ascii="宋体" w:hAnsi="宋体" w:eastAsia="宋体"/>
                <w:sz w:val="16"/>
              </w:rPr>
              <w:t>216.00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103D5">
            <w:pPr>
              <w:jc w:val="center"/>
            </w:pPr>
            <w:r>
              <w:rPr>
                <w:rFonts w:ascii="宋体" w:hAnsi="宋体" w:eastAsia="宋体"/>
                <w:sz w:val="16"/>
              </w:rPr>
              <w:t>216.00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22EF8">
            <w:pPr>
              <w:jc w:val="center"/>
            </w:pPr>
            <w:r>
              <w:rPr>
                <w:rFonts w:ascii="宋体" w:hAnsi="宋体" w:eastAsia="宋体"/>
                <w:sz w:val="16"/>
              </w:rPr>
              <w:t>216.00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A5BB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1A9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8F4AE">
            <w:pPr>
              <w:jc w:val="center"/>
            </w:pPr>
            <w:r>
              <w:rPr>
                <w:rFonts w:ascii="宋体" w:hAnsi="宋体" w:eastAsia="宋体"/>
                <w:sz w:val="16"/>
              </w:rPr>
              <w:t>—</w:t>
            </w:r>
          </w:p>
        </w:tc>
      </w:tr>
      <w:tr w14:paraId="1AD48B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5BD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E454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0EC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954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557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615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27A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8AB5E">
            <w:pPr>
              <w:jc w:val="center"/>
            </w:pPr>
            <w:r>
              <w:rPr>
                <w:rFonts w:ascii="宋体" w:hAnsi="宋体" w:eastAsia="宋体"/>
                <w:sz w:val="16"/>
              </w:rPr>
              <w:t>—</w:t>
            </w:r>
          </w:p>
        </w:tc>
      </w:tr>
      <w:tr w14:paraId="5BB6F1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4C9E6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2CE10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34D388">
            <w:pPr>
              <w:jc w:val="center"/>
            </w:pPr>
            <w:r>
              <w:rPr>
                <w:rFonts w:ascii="宋体" w:hAnsi="宋体" w:eastAsia="宋体"/>
                <w:sz w:val="16"/>
              </w:rPr>
              <w:t>实际完成情况</w:t>
            </w:r>
          </w:p>
        </w:tc>
      </w:tr>
      <w:tr w14:paraId="10736A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741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9222F5">
            <w:pPr>
              <w:jc w:val="both"/>
            </w:pPr>
            <w:r>
              <w:rPr>
                <w:rFonts w:ascii="宋体" w:hAnsi="宋体" w:eastAsia="宋体"/>
                <w:sz w:val="16"/>
              </w:rPr>
              <w:t>该项目用于阿克陶县2024年保障性租赁住房建设，通过该项目的实施，提高城镇保障性安居工程财政资金使用效益，更好实现城镇保障性安居工程建设目标，改善群众居住条件。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85CC63">
            <w:pPr>
              <w:jc w:val="both"/>
            </w:pPr>
            <w:r>
              <w:rPr>
                <w:rFonts w:ascii="宋体" w:hAnsi="宋体" w:eastAsia="宋体"/>
                <w:sz w:val="16"/>
              </w:rPr>
              <w:t>该项目已实施，用于阿克陶县2024年保障性租赁住房建设，通过该项目的实施，提高城镇保障性安居工程财政资金使用效益，更好实现城镇保障性安居工程建设目标，改善群众居住条件</w:t>
            </w:r>
          </w:p>
        </w:tc>
      </w:tr>
      <w:tr w14:paraId="3FF021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5BE8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D006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9D32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0031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2FBD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3F3C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34F7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4571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220D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21D7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6A6B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A932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DD0DB">
            <w:pPr>
              <w:jc w:val="center"/>
            </w:pPr>
            <w:r>
              <w:rPr>
                <w:rFonts w:ascii="宋体" w:hAnsi="宋体" w:eastAsia="宋体"/>
                <w:sz w:val="16"/>
              </w:rPr>
              <w:t>偏差原因分析及改进措施</w:t>
            </w:r>
          </w:p>
        </w:tc>
      </w:tr>
      <w:tr w14:paraId="174B4F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ECE0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021B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2BF1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82DF0">
            <w:pPr>
              <w:jc w:val="center"/>
            </w:pPr>
            <w:r>
              <w:rPr>
                <w:rFonts w:ascii="宋体" w:hAnsi="宋体" w:eastAsia="宋体"/>
                <w:sz w:val="16"/>
              </w:rPr>
              <w:t>保障性租赁住房（套）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D9AB2">
            <w:pPr>
              <w:jc w:val="center"/>
            </w:pPr>
            <w:r>
              <w:rPr>
                <w:rFonts w:ascii="宋体" w:hAnsi="宋体" w:eastAsia="宋体"/>
                <w:sz w:val="16"/>
              </w:rPr>
              <w:t>=108套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4DA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61B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CEE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559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843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6B18B">
            <w:pPr>
              <w:jc w:val="center"/>
            </w:pPr>
            <w:r>
              <w:rPr>
                <w:rFonts w:ascii="宋体" w:hAnsi="宋体" w:eastAsia="宋体"/>
                <w:sz w:val="16"/>
              </w:rPr>
              <w:t>=108套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CC1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35C4A">
            <w:pPr>
              <w:jc w:val="center"/>
            </w:pPr>
          </w:p>
        </w:tc>
      </w:tr>
      <w:tr w14:paraId="2D2018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784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0BC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1FDE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67E9A">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105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8E5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C8A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C58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236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C09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AF2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375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DBA22">
            <w:pPr>
              <w:jc w:val="center"/>
            </w:pPr>
          </w:p>
        </w:tc>
      </w:tr>
      <w:tr w14:paraId="782A9E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34E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724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7E4D9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E4DBB">
            <w:pPr>
              <w:jc w:val="center"/>
            </w:pPr>
            <w:r>
              <w:rPr>
                <w:rFonts w:ascii="宋体" w:hAnsi="宋体" w:eastAsia="宋体"/>
                <w:sz w:val="16"/>
              </w:rPr>
              <w:t>基本建成目标及时完成率（%）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F6D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AC0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E08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8F6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F34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62B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5A4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2EF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9B8AA">
            <w:pPr>
              <w:jc w:val="center"/>
            </w:pPr>
          </w:p>
        </w:tc>
      </w:tr>
      <w:tr w14:paraId="255BCA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B9A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0DF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D33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D0190">
            <w:pPr>
              <w:jc w:val="center"/>
            </w:pPr>
            <w:r>
              <w:rPr>
                <w:rFonts w:ascii="宋体" w:hAnsi="宋体" w:eastAsia="宋体"/>
                <w:sz w:val="16"/>
              </w:rPr>
              <w:t>项目完成时限（月）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10431">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7466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2C5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CB9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BE0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667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CEFFB">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48A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52E41">
            <w:pPr>
              <w:jc w:val="center"/>
            </w:pPr>
          </w:p>
        </w:tc>
      </w:tr>
      <w:tr w14:paraId="7B8A15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E59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62F9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F2BC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B5715">
            <w:pPr>
              <w:jc w:val="center"/>
            </w:pPr>
            <w:r>
              <w:rPr>
                <w:rFonts w:ascii="宋体" w:hAnsi="宋体" w:eastAsia="宋体"/>
                <w:sz w:val="16"/>
              </w:rPr>
              <w:t>保租房改造成本（万元）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F1B1C">
            <w:pPr>
              <w:jc w:val="center"/>
            </w:pPr>
            <w:r>
              <w:rPr>
                <w:rFonts w:ascii="宋体" w:hAnsi="宋体" w:eastAsia="宋体"/>
                <w:sz w:val="16"/>
              </w:rPr>
              <w:t>&lt;=216万元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0FB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CBC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FEA1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93C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A8C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C9BFE">
            <w:pPr>
              <w:jc w:val="center"/>
            </w:pPr>
            <w:r>
              <w:rPr>
                <w:rFonts w:ascii="宋体" w:hAnsi="宋体" w:eastAsia="宋体"/>
                <w:sz w:val="16"/>
              </w:rPr>
              <w:t>=205万元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1462C">
            <w:pPr>
              <w:jc w:val="center"/>
            </w:pPr>
            <w:r>
              <w:rPr>
                <w:rFonts w:ascii="宋体" w:hAnsi="宋体" w:eastAsia="宋体"/>
                <w:sz w:val="16"/>
              </w:rPr>
              <w:t>17.45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347BA">
            <w:pPr>
              <w:jc w:val="center"/>
            </w:pPr>
            <w:r>
              <w:rPr>
                <w:rFonts w:ascii="宋体" w:hAnsi="宋体" w:eastAsia="宋体"/>
                <w:sz w:val="16"/>
              </w:rPr>
              <w:t>结余资金已</w:t>
            </w:r>
            <w:r>
              <w:rPr>
                <w:rFonts w:hint="eastAsia" w:ascii="宋体" w:hAnsi="宋体"/>
                <w:sz w:val="16"/>
                <w:lang w:eastAsia="zh-CN"/>
              </w:rPr>
              <w:t>上缴国库</w:t>
            </w:r>
          </w:p>
        </w:tc>
      </w:tr>
      <w:tr w14:paraId="110DB2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721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49E7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B546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64E00">
            <w:pPr>
              <w:jc w:val="center"/>
            </w:pPr>
            <w:r>
              <w:rPr>
                <w:rFonts w:ascii="宋体" w:hAnsi="宋体" w:eastAsia="宋体"/>
                <w:sz w:val="16"/>
              </w:rPr>
              <w:t>改善群众居住条件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41C4C">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1599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9C7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565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DC52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C9F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F1DFB">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E8DB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F7FC7">
            <w:pPr>
              <w:jc w:val="center"/>
            </w:pPr>
          </w:p>
        </w:tc>
      </w:tr>
      <w:tr w14:paraId="47DB05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0DC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DCC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2E7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C2CE7">
            <w:pPr>
              <w:jc w:val="center"/>
            </w:pPr>
            <w:r>
              <w:rPr>
                <w:rFonts w:ascii="宋体" w:hAnsi="宋体" w:eastAsia="宋体"/>
                <w:sz w:val="16"/>
              </w:rPr>
              <w:t>城镇低收入住房困难家庭满意度（%）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FC56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680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D29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D12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5526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C715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7B2A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96F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3CCFB">
            <w:pPr>
              <w:jc w:val="center"/>
            </w:pPr>
          </w:p>
        </w:tc>
      </w:tr>
      <w:tr w14:paraId="679027D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851A9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E456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EF509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C7939">
            <w:pPr>
              <w:jc w:val="center"/>
            </w:pPr>
            <w:r>
              <w:rPr>
                <w:rFonts w:ascii="宋体" w:hAnsi="宋体" w:eastAsia="宋体"/>
                <w:sz w:val="16"/>
              </w:rPr>
              <w:t>97.45分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D628041"/>
        </w:tc>
      </w:tr>
    </w:tbl>
    <w:p w14:paraId="1CBC9CF9">
      <w:r>
        <w:br w:type="page"/>
      </w:r>
    </w:p>
    <w:tbl>
      <w:tblPr>
        <w:tblStyle w:val="9"/>
        <w:tblW w:w="0" w:type="auto"/>
        <w:tblInd w:w="0" w:type="dxa"/>
        <w:tblLayout w:type="autofit"/>
        <w:tblCellMar>
          <w:top w:w="0" w:type="dxa"/>
          <w:left w:w="108" w:type="dxa"/>
          <w:bottom w:w="0" w:type="dxa"/>
          <w:right w:w="108" w:type="dxa"/>
        </w:tblCellMar>
      </w:tblPr>
      <w:tblGrid>
        <w:gridCol w:w="622"/>
        <w:gridCol w:w="609"/>
        <w:gridCol w:w="609"/>
        <w:gridCol w:w="696"/>
        <w:gridCol w:w="776"/>
        <w:gridCol w:w="615"/>
        <w:gridCol w:w="612"/>
        <w:gridCol w:w="617"/>
        <w:gridCol w:w="610"/>
        <w:gridCol w:w="609"/>
        <w:gridCol w:w="856"/>
        <w:gridCol w:w="631"/>
        <w:gridCol w:w="575"/>
        <w:gridCol w:w="623"/>
      </w:tblGrid>
      <w:tr w14:paraId="31F032DE">
        <w:tblPrEx>
          <w:tblCellMar>
            <w:top w:w="0" w:type="dxa"/>
            <w:left w:w="108" w:type="dxa"/>
            <w:bottom w:w="0" w:type="dxa"/>
            <w:right w:w="108" w:type="dxa"/>
          </w:tblCellMar>
        </w:tblPrEx>
        <w:tc>
          <w:tcPr>
            <w:tcW w:w="8848" w:type="dxa"/>
            <w:gridSpan w:val="14"/>
            <w:vAlign w:val="center"/>
          </w:tcPr>
          <w:p w14:paraId="74C1B54E">
            <w:pPr>
              <w:jc w:val="center"/>
            </w:pPr>
            <w:r>
              <w:rPr>
                <w:rFonts w:ascii="宋体" w:hAnsi="宋体" w:eastAsia="宋体"/>
                <w:sz w:val="24"/>
              </w:rPr>
              <w:t>项目支出绩效自评表</w:t>
            </w:r>
          </w:p>
        </w:tc>
      </w:tr>
      <w:tr w14:paraId="758CB40A">
        <w:tblPrEx>
          <w:tblCellMar>
            <w:top w:w="0" w:type="dxa"/>
            <w:left w:w="108" w:type="dxa"/>
            <w:bottom w:w="0" w:type="dxa"/>
            <w:right w:w="108" w:type="dxa"/>
          </w:tblCellMar>
        </w:tblPrEx>
        <w:tc>
          <w:tcPr>
            <w:tcW w:w="8848" w:type="dxa"/>
            <w:gridSpan w:val="14"/>
            <w:vAlign w:val="center"/>
          </w:tcPr>
          <w:p w14:paraId="744413FB">
            <w:pPr>
              <w:jc w:val="center"/>
            </w:pPr>
            <w:r>
              <w:rPr>
                <w:rFonts w:ascii="宋体" w:hAnsi="宋体" w:eastAsia="宋体"/>
                <w:sz w:val="24"/>
              </w:rPr>
              <w:t>(2024年度)</w:t>
            </w:r>
          </w:p>
        </w:tc>
      </w:tr>
      <w:tr w14:paraId="21D46C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1277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E45F3A">
            <w:pPr>
              <w:jc w:val="center"/>
            </w:pPr>
            <w:r>
              <w:rPr>
                <w:rFonts w:ascii="宋体" w:hAnsi="宋体" w:eastAsia="宋体"/>
                <w:sz w:val="16"/>
              </w:rPr>
              <w:t>2024年阿克陶县城区集中供热超低排放改造项目</w:t>
            </w:r>
          </w:p>
        </w:tc>
      </w:tr>
      <w:tr w14:paraId="0EB37C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58A8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6B0789">
            <w:pPr>
              <w:jc w:val="center"/>
            </w:pPr>
            <w:r>
              <w:rPr>
                <w:rFonts w:ascii="宋体" w:hAnsi="宋体" w:eastAsia="宋体"/>
                <w:sz w:val="16"/>
              </w:rPr>
              <w:t>阿克陶县住房和城乡建设局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60DA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EC5935">
            <w:pPr>
              <w:jc w:val="center"/>
            </w:pPr>
            <w:r>
              <w:rPr>
                <w:rFonts w:ascii="宋体" w:hAnsi="宋体" w:eastAsia="宋体"/>
                <w:sz w:val="16"/>
              </w:rPr>
              <w:t>阿克陶县住房和城乡建设局</w:t>
            </w:r>
          </w:p>
        </w:tc>
      </w:tr>
      <w:tr w14:paraId="7288B1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822B7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2DF6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AE6F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087B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DA57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FFED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1398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A52D1">
            <w:pPr>
              <w:jc w:val="center"/>
            </w:pPr>
            <w:r>
              <w:rPr>
                <w:rFonts w:ascii="宋体" w:hAnsi="宋体" w:eastAsia="宋体"/>
                <w:sz w:val="16"/>
              </w:rPr>
              <w:t>得分</w:t>
            </w:r>
          </w:p>
        </w:tc>
      </w:tr>
      <w:tr w14:paraId="7BC49A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29D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F8EE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38B6F">
            <w:pPr>
              <w:jc w:val="center"/>
            </w:pPr>
            <w:r>
              <w:rPr>
                <w:rFonts w:ascii="宋体" w:hAnsi="宋体" w:eastAsia="宋体"/>
                <w:sz w:val="16"/>
              </w:rPr>
              <w:t>2,700.00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71D23">
            <w:pPr>
              <w:jc w:val="center"/>
            </w:pPr>
            <w:r>
              <w:rPr>
                <w:rFonts w:ascii="宋体" w:hAnsi="宋体" w:eastAsia="宋体"/>
                <w:sz w:val="16"/>
              </w:rPr>
              <w:t>2,700.00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7BD47">
            <w:pPr>
              <w:jc w:val="center"/>
            </w:pPr>
            <w:r>
              <w:rPr>
                <w:rFonts w:ascii="宋体" w:hAnsi="宋体" w:eastAsia="宋体"/>
                <w:sz w:val="16"/>
              </w:rPr>
              <w:t>1,926.61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30D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8BC2D">
            <w:pPr>
              <w:jc w:val="center"/>
            </w:pPr>
            <w:r>
              <w:rPr>
                <w:rFonts w:ascii="宋体" w:hAnsi="宋体" w:eastAsia="宋体"/>
                <w:sz w:val="16"/>
              </w:rPr>
              <w:t>71.4%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0F480">
            <w:pPr>
              <w:jc w:val="center"/>
            </w:pPr>
            <w:r>
              <w:rPr>
                <w:rFonts w:ascii="宋体" w:hAnsi="宋体" w:eastAsia="宋体"/>
                <w:sz w:val="16"/>
              </w:rPr>
              <w:t>2.85分</w:t>
            </w:r>
          </w:p>
        </w:tc>
      </w:tr>
      <w:tr w14:paraId="18B546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797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A882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D157E">
            <w:pPr>
              <w:jc w:val="center"/>
            </w:pPr>
            <w:r>
              <w:rPr>
                <w:rFonts w:ascii="宋体" w:hAnsi="宋体" w:eastAsia="宋体"/>
                <w:sz w:val="16"/>
              </w:rPr>
              <w:t>2,700.00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EB2BA">
            <w:pPr>
              <w:jc w:val="center"/>
            </w:pPr>
            <w:r>
              <w:rPr>
                <w:rFonts w:ascii="宋体" w:hAnsi="宋体" w:eastAsia="宋体"/>
                <w:sz w:val="16"/>
              </w:rPr>
              <w:t>2,700.00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E4FCF">
            <w:pPr>
              <w:jc w:val="center"/>
            </w:pPr>
            <w:r>
              <w:rPr>
                <w:rFonts w:ascii="宋体" w:hAnsi="宋体" w:eastAsia="宋体"/>
                <w:sz w:val="16"/>
              </w:rPr>
              <w:t>1,926.61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BB8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1FD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D7437">
            <w:pPr>
              <w:jc w:val="center"/>
            </w:pPr>
            <w:r>
              <w:rPr>
                <w:rFonts w:ascii="宋体" w:hAnsi="宋体" w:eastAsia="宋体"/>
                <w:sz w:val="16"/>
              </w:rPr>
              <w:t>—</w:t>
            </w:r>
          </w:p>
        </w:tc>
      </w:tr>
      <w:tr w14:paraId="501727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4AF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ECE1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D43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600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231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4993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016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31CF5">
            <w:pPr>
              <w:jc w:val="center"/>
            </w:pPr>
            <w:r>
              <w:rPr>
                <w:rFonts w:ascii="宋体" w:hAnsi="宋体" w:eastAsia="宋体"/>
                <w:sz w:val="16"/>
              </w:rPr>
              <w:t>—</w:t>
            </w:r>
          </w:p>
        </w:tc>
      </w:tr>
      <w:tr w14:paraId="545144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21C08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3FEFB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0D7342">
            <w:pPr>
              <w:jc w:val="center"/>
            </w:pPr>
            <w:r>
              <w:rPr>
                <w:rFonts w:ascii="宋体" w:hAnsi="宋体" w:eastAsia="宋体"/>
                <w:sz w:val="16"/>
              </w:rPr>
              <w:t>实际完成情况</w:t>
            </w:r>
          </w:p>
        </w:tc>
      </w:tr>
      <w:tr w14:paraId="1FAD30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3B9F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7C2E55">
            <w:pPr>
              <w:jc w:val="both"/>
            </w:pPr>
            <w:r>
              <w:rPr>
                <w:rFonts w:ascii="宋体" w:hAnsi="宋体" w:eastAsia="宋体"/>
                <w:sz w:val="16"/>
              </w:rPr>
              <w:t>项目建成后，大气污染物排放达到火电行业超低排放标准。改善区域大气环境质量，促进减排降碳。改造完成后，全采暖期可减少二氧化硫排放量105.14吨/年，氮氧化物排放量107.53吨/年，颗粒物排放量84.84吨/年。项目实施后，烟气粉尘浓度＜10mg/m3；烟气二氧化硫浓度＜35mg/m3 ，烟气氮氧化物浓度＜50mg/m3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129A18">
            <w:pPr>
              <w:jc w:val="both"/>
            </w:pPr>
            <w:r>
              <w:rPr>
                <w:rFonts w:ascii="宋体" w:hAnsi="宋体" w:eastAsia="宋体"/>
                <w:sz w:val="16"/>
              </w:rPr>
              <w:t>项目建成后，大气污染物排放达到火电行业超低排放标准。改善区域大气环境质量，促进减排降碳。改造完成后，全采暖期可减少二氧化硫排放量105.14吨/年，氮氧化物排放量107.53吨/年，颗粒物排放量84.84吨/年。项目实施后，烟气粉尘浓度＜10mg/m3；烟气二氧化硫浓度＜35mg/m3 ，烟气氮氧化物浓度＜50mg/m3 。</w:t>
            </w:r>
          </w:p>
        </w:tc>
      </w:tr>
      <w:tr w14:paraId="761B21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AC1E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EF4B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0CA6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F241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635E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96C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FABD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2FA9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F93A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9D03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22BA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B299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D0A96">
            <w:pPr>
              <w:jc w:val="center"/>
            </w:pPr>
            <w:r>
              <w:rPr>
                <w:rFonts w:ascii="宋体" w:hAnsi="宋体" w:eastAsia="宋体"/>
                <w:sz w:val="16"/>
              </w:rPr>
              <w:t>偏差原因分析及改进措施</w:t>
            </w:r>
          </w:p>
        </w:tc>
      </w:tr>
      <w:tr w14:paraId="3D9565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5D08F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8BB4F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F9B16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35F25">
            <w:pPr>
              <w:jc w:val="center"/>
            </w:pPr>
            <w:r>
              <w:rPr>
                <w:rFonts w:ascii="宋体" w:hAnsi="宋体" w:eastAsia="宋体"/>
                <w:sz w:val="16"/>
              </w:rPr>
              <w:t>改造燃煤锅炉台数（台）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011AC">
            <w:pPr>
              <w:jc w:val="center"/>
            </w:pPr>
            <w:r>
              <w:rPr>
                <w:rFonts w:ascii="宋体" w:hAnsi="宋体" w:eastAsia="宋体"/>
                <w:sz w:val="16"/>
              </w:rPr>
              <w:t>=3台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C80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B9A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403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BA0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8EE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4E022">
            <w:pPr>
              <w:jc w:val="center"/>
            </w:pPr>
            <w:r>
              <w:rPr>
                <w:rFonts w:ascii="宋体" w:hAnsi="宋体" w:eastAsia="宋体"/>
                <w:sz w:val="16"/>
              </w:rPr>
              <w:t>=3台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C79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C27A7">
            <w:pPr>
              <w:jc w:val="center"/>
            </w:pPr>
          </w:p>
        </w:tc>
      </w:tr>
      <w:tr w14:paraId="167824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5AF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48D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20C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A6993">
            <w:pPr>
              <w:jc w:val="center"/>
            </w:pPr>
            <w:r>
              <w:rPr>
                <w:rFonts w:ascii="宋体" w:hAnsi="宋体" w:eastAsia="宋体"/>
                <w:sz w:val="16"/>
              </w:rPr>
              <w:t>改造脱硫、脱硝系统、改造除尘系统（套）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1E20C">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D35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F3C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078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DF2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B91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E3DF6">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9A4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B7A22">
            <w:pPr>
              <w:jc w:val="center"/>
            </w:pPr>
          </w:p>
        </w:tc>
      </w:tr>
      <w:tr w14:paraId="362988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C26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FE6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E33A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4C683">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1F2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B23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9C1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0A5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19A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B38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12A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DF8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A39E3">
            <w:pPr>
              <w:jc w:val="center"/>
            </w:pPr>
          </w:p>
        </w:tc>
      </w:tr>
      <w:tr w14:paraId="22C91F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45A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551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495E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349DE">
            <w:pPr>
              <w:jc w:val="center"/>
            </w:pPr>
            <w:r>
              <w:rPr>
                <w:rFonts w:ascii="宋体" w:hAnsi="宋体" w:eastAsia="宋体"/>
                <w:sz w:val="16"/>
              </w:rPr>
              <w:t>基本建成目标及时完成率（%）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F24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DBE4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9AF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1F4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D7E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F12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51B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B19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35C8C">
            <w:pPr>
              <w:jc w:val="center"/>
            </w:pPr>
          </w:p>
        </w:tc>
      </w:tr>
      <w:tr w14:paraId="7D18DE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EAF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A840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75CF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1A569">
            <w:pPr>
              <w:jc w:val="center"/>
            </w:pPr>
            <w:r>
              <w:rPr>
                <w:rFonts w:ascii="宋体" w:hAnsi="宋体" w:eastAsia="宋体"/>
                <w:sz w:val="16"/>
              </w:rPr>
              <w:t>改造成本（万元）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4DD17">
            <w:pPr>
              <w:jc w:val="center"/>
            </w:pPr>
            <w:r>
              <w:rPr>
                <w:rFonts w:ascii="宋体" w:hAnsi="宋体" w:eastAsia="宋体"/>
                <w:sz w:val="16"/>
              </w:rPr>
              <w:t>&lt;=2700万元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1F9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4CC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06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082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ABB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9ECAA">
            <w:pPr>
              <w:jc w:val="center"/>
            </w:pPr>
            <w:r>
              <w:rPr>
                <w:rFonts w:ascii="宋体" w:hAnsi="宋体" w:eastAsia="宋体"/>
                <w:sz w:val="16"/>
              </w:rPr>
              <w:t>=1926.61万元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09265">
            <w:pPr>
              <w:jc w:val="center"/>
            </w:pPr>
            <w:r>
              <w:rPr>
                <w:rFonts w:ascii="宋体" w:hAnsi="宋体" w:eastAsia="宋体"/>
                <w:sz w:val="16"/>
              </w:rPr>
              <w:t>5.68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97C55">
            <w:pPr>
              <w:jc w:val="center"/>
            </w:pPr>
            <w:r>
              <w:rPr>
                <w:rFonts w:ascii="宋体" w:hAnsi="宋体" w:eastAsia="宋体"/>
                <w:sz w:val="16"/>
              </w:rPr>
              <w:t>财力紧张，未按时支付</w:t>
            </w:r>
          </w:p>
        </w:tc>
      </w:tr>
      <w:tr w14:paraId="17218B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0F4F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7D702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A895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F435A">
            <w:pPr>
              <w:jc w:val="center"/>
            </w:pPr>
            <w:r>
              <w:rPr>
                <w:rFonts w:ascii="宋体" w:hAnsi="宋体" w:eastAsia="宋体"/>
                <w:sz w:val="16"/>
              </w:rPr>
              <w:t>提升燃煤供热锅炉供热水平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1393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57D8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F30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DB8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CF25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837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36BD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6F8B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D23BF">
            <w:pPr>
              <w:jc w:val="center"/>
            </w:pPr>
          </w:p>
        </w:tc>
      </w:tr>
      <w:tr w14:paraId="266D25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B2D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4D8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11A84D">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C4C4C">
            <w:pPr>
              <w:jc w:val="center"/>
            </w:pPr>
            <w:r>
              <w:rPr>
                <w:rFonts w:ascii="宋体" w:hAnsi="宋体" w:eastAsia="宋体"/>
                <w:sz w:val="16"/>
              </w:rPr>
              <w:t>二氧化硫减排量（吨/年）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36104">
            <w:pPr>
              <w:jc w:val="center"/>
            </w:pPr>
            <w:r>
              <w:rPr>
                <w:rFonts w:ascii="宋体" w:hAnsi="宋体" w:eastAsia="宋体"/>
                <w:sz w:val="16"/>
              </w:rPr>
              <w:t>=105.14吨/年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0442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9C7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AA9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AAF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C66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5FE26">
            <w:pPr>
              <w:jc w:val="center"/>
            </w:pPr>
            <w:r>
              <w:rPr>
                <w:rFonts w:ascii="宋体" w:hAnsi="宋体" w:eastAsia="宋体"/>
                <w:sz w:val="16"/>
              </w:rPr>
              <w:t>=105吨/年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7EB3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D9CB4">
            <w:pPr>
              <w:jc w:val="center"/>
            </w:pPr>
          </w:p>
        </w:tc>
      </w:tr>
      <w:tr w14:paraId="210B2A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4A5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A66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C5E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B3DB8">
            <w:pPr>
              <w:jc w:val="center"/>
            </w:pPr>
            <w:r>
              <w:rPr>
                <w:rFonts w:ascii="宋体" w:hAnsi="宋体" w:eastAsia="宋体"/>
                <w:sz w:val="16"/>
              </w:rPr>
              <w:t>氮氧化物减排量（吨/年）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5E9B3">
            <w:pPr>
              <w:jc w:val="center"/>
            </w:pPr>
            <w:r>
              <w:rPr>
                <w:rFonts w:ascii="宋体" w:hAnsi="宋体" w:eastAsia="宋体"/>
                <w:sz w:val="16"/>
              </w:rPr>
              <w:t>=107.53吨/年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3096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A11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5BCB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70B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3A8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B85E8">
            <w:pPr>
              <w:jc w:val="center"/>
            </w:pPr>
            <w:r>
              <w:rPr>
                <w:rFonts w:ascii="宋体" w:hAnsi="宋体" w:eastAsia="宋体"/>
                <w:sz w:val="16"/>
              </w:rPr>
              <w:t>=107吨/年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8C8F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BE279">
            <w:pPr>
              <w:jc w:val="center"/>
            </w:pPr>
          </w:p>
        </w:tc>
      </w:tr>
      <w:tr w14:paraId="616230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D06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0C3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AFC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4BD7D">
            <w:pPr>
              <w:jc w:val="center"/>
            </w:pPr>
            <w:r>
              <w:rPr>
                <w:rFonts w:ascii="宋体" w:hAnsi="宋体" w:eastAsia="宋体"/>
                <w:sz w:val="16"/>
              </w:rPr>
              <w:t>颗粒物减排量（吨/年）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12301">
            <w:pPr>
              <w:jc w:val="center"/>
            </w:pPr>
            <w:r>
              <w:rPr>
                <w:rFonts w:ascii="宋体" w:hAnsi="宋体" w:eastAsia="宋体"/>
                <w:sz w:val="16"/>
              </w:rPr>
              <w:t>=84.84吨/年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C3C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75C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E2EE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2D2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C1A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CEE8D">
            <w:pPr>
              <w:jc w:val="center"/>
            </w:pPr>
            <w:r>
              <w:rPr>
                <w:rFonts w:ascii="宋体" w:hAnsi="宋体" w:eastAsia="宋体"/>
                <w:sz w:val="16"/>
              </w:rPr>
              <w:t>=84吨/年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CC76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29923">
            <w:pPr>
              <w:jc w:val="center"/>
            </w:pPr>
          </w:p>
        </w:tc>
      </w:tr>
      <w:tr w14:paraId="5FE5D1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207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6819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C0D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D772D">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5147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2AF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F33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2AE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9242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7CB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571C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AE5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FF050">
            <w:pPr>
              <w:jc w:val="center"/>
            </w:pPr>
          </w:p>
        </w:tc>
      </w:tr>
      <w:tr w14:paraId="30B2C5A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00D82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E697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73378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9397D">
            <w:pPr>
              <w:jc w:val="center"/>
            </w:pPr>
            <w:r>
              <w:rPr>
                <w:rFonts w:ascii="宋体" w:hAnsi="宋体" w:eastAsia="宋体"/>
                <w:sz w:val="16"/>
              </w:rPr>
              <w:t>78.53分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986DF60"/>
        </w:tc>
      </w:tr>
    </w:tbl>
    <w:p w14:paraId="33253F0E">
      <w:r>
        <w:br w:type="page"/>
      </w:r>
    </w:p>
    <w:p w14:paraId="5131C86B">
      <w:pPr>
        <w:spacing w:line="640" w:lineRule="exact"/>
        <w:ind w:firstLine="640"/>
        <w:jc w:val="both"/>
        <w:outlineLvl w:val="2"/>
      </w:pPr>
      <w:r>
        <w:rPr>
          <w:rFonts w:ascii="黑体" w:hAnsi="黑体" w:eastAsia="黑体"/>
          <w:sz w:val="32"/>
        </w:rPr>
        <w:t>十二、其他需说明的事项</w:t>
      </w:r>
    </w:p>
    <w:p w14:paraId="6F7B16E1">
      <w:pPr>
        <w:spacing w:line="580" w:lineRule="exact"/>
        <w:ind w:firstLine="640"/>
        <w:jc w:val="both"/>
      </w:pPr>
      <w:r>
        <w:rPr>
          <w:rFonts w:ascii="仿宋_GB2312" w:hAnsi="仿宋_GB2312" w:eastAsia="仿宋_GB2312"/>
          <w:b w:val="0"/>
          <w:sz w:val="32"/>
        </w:rPr>
        <w:t>本单位无其他需说明的事项。</w:t>
      </w:r>
    </w:p>
    <w:p w14:paraId="5ADFFB42">
      <w:r>
        <w:br w:type="page"/>
      </w:r>
    </w:p>
    <w:p w14:paraId="34064A4C">
      <w:pPr>
        <w:spacing w:line="240" w:lineRule="auto"/>
        <w:jc w:val="center"/>
        <w:outlineLvl w:val="1"/>
      </w:pPr>
      <w:r>
        <w:rPr>
          <w:rFonts w:ascii="黑体" w:hAnsi="黑体" w:eastAsia="黑体"/>
          <w:sz w:val="32"/>
        </w:rPr>
        <w:t>第三部分 专业名词解释</w:t>
      </w:r>
    </w:p>
    <w:p w14:paraId="078A0B2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4E56DE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29B0FC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85CF6D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EDD315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792191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58600D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AE9B2A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C88E9F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234E9C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3EB6B0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EB8881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008F09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DFB4A2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C9F1DDA">
      <w:r>
        <w:br w:type="page"/>
      </w:r>
    </w:p>
    <w:p w14:paraId="1C264FDA">
      <w:pPr>
        <w:spacing w:line="240" w:lineRule="auto"/>
        <w:jc w:val="center"/>
        <w:outlineLvl w:val="1"/>
      </w:pPr>
      <w:r>
        <w:rPr>
          <w:rFonts w:ascii="黑体" w:hAnsi="黑体" w:eastAsia="黑体"/>
          <w:sz w:val="32"/>
        </w:rPr>
        <w:t>第四部分 部门决算报表（见附表）</w:t>
      </w:r>
    </w:p>
    <w:p w14:paraId="7D5B9A50">
      <w:pPr>
        <w:spacing w:line="240" w:lineRule="auto"/>
        <w:ind w:firstLine="640"/>
        <w:jc w:val="both"/>
      </w:pPr>
      <w:r>
        <w:rPr>
          <w:rFonts w:ascii="仿宋_GB2312" w:hAnsi="仿宋_GB2312" w:eastAsia="仿宋_GB2312"/>
          <w:b w:val="0"/>
          <w:sz w:val="32"/>
        </w:rPr>
        <w:t>一、《收入支出决算总表》</w:t>
      </w:r>
    </w:p>
    <w:p w14:paraId="20226AF8">
      <w:pPr>
        <w:spacing w:line="240" w:lineRule="auto"/>
        <w:ind w:firstLine="640"/>
        <w:jc w:val="both"/>
      </w:pPr>
      <w:r>
        <w:rPr>
          <w:rFonts w:ascii="仿宋_GB2312" w:hAnsi="仿宋_GB2312" w:eastAsia="仿宋_GB2312"/>
          <w:b w:val="0"/>
          <w:sz w:val="32"/>
        </w:rPr>
        <w:t>二、《收入决算表》</w:t>
      </w:r>
    </w:p>
    <w:p w14:paraId="004D776D">
      <w:pPr>
        <w:spacing w:line="240" w:lineRule="auto"/>
        <w:ind w:firstLine="640"/>
        <w:jc w:val="both"/>
      </w:pPr>
      <w:r>
        <w:rPr>
          <w:rFonts w:ascii="仿宋_GB2312" w:hAnsi="仿宋_GB2312" w:eastAsia="仿宋_GB2312"/>
          <w:b w:val="0"/>
          <w:sz w:val="32"/>
        </w:rPr>
        <w:t>三、《支出决算表》</w:t>
      </w:r>
    </w:p>
    <w:p w14:paraId="7811E031">
      <w:pPr>
        <w:spacing w:line="240" w:lineRule="auto"/>
        <w:ind w:firstLine="640"/>
        <w:jc w:val="both"/>
      </w:pPr>
      <w:r>
        <w:rPr>
          <w:rFonts w:ascii="仿宋_GB2312" w:hAnsi="仿宋_GB2312" w:eastAsia="仿宋_GB2312"/>
          <w:b w:val="0"/>
          <w:sz w:val="32"/>
        </w:rPr>
        <w:t>四、《财政拨款收入支出决算总表》</w:t>
      </w:r>
    </w:p>
    <w:p w14:paraId="284DE644">
      <w:pPr>
        <w:spacing w:line="240" w:lineRule="auto"/>
        <w:ind w:firstLine="640"/>
        <w:jc w:val="both"/>
      </w:pPr>
      <w:r>
        <w:rPr>
          <w:rFonts w:ascii="仿宋_GB2312" w:hAnsi="仿宋_GB2312" w:eastAsia="仿宋_GB2312"/>
          <w:b w:val="0"/>
          <w:sz w:val="32"/>
        </w:rPr>
        <w:t>五、《一般公共预算财政拨款支出决算表》</w:t>
      </w:r>
    </w:p>
    <w:p w14:paraId="0854816C">
      <w:pPr>
        <w:spacing w:line="240" w:lineRule="auto"/>
        <w:ind w:firstLine="640"/>
        <w:jc w:val="both"/>
      </w:pPr>
      <w:r>
        <w:rPr>
          <w:rFonts w:ascii="仿宋_GB2312" w:hAnsi="仿宋_GB2312" w:eastAsia="仿宋_GB2312"/>
          <w:b w:val="0"/>
          <w:sz w:val="32"/>
        </w:rPr>
        <w:t>六、《一般公共预算财政拨款基本支出决算表》</w:t>
      </w:r>
    </w:p>
    <w:p w14:paraId="690369F0">
      <w:pPr>
        <w:spacing w:line="240" w:lineRule="auto"/>
        <w:ind w:firstLine="640"/>
        <w:jc w:val="both"/>
      </w:pPr>
      <w:r>
        <w:rPr>
          <w:rFonts w:ascii="仿宋_GB2312" w:hAnsi="仿宋_GB2312" w:eastAsia="仿宋_GB2312"/>
          <w:b w:val="0"/>
          <w:sz w:val="32"/>
        </w:rPr>
        <w:t>七、《政府性基金预算财政拨款收入支出决算表》</w:t>
      </w:r>
    </w:p>
    <w:p w14:paraId="60C3AF43">
      <w:pPr>
        <w:spacing w:line="240" w:lineRule="auto"/>
        <w:ind w:firstLine="640"/>
        <w:jc w:val="both"/>
      </w:pPr>
      <w:r>
        <w:rPr>
          <w:rFonts w:ascii="仿宋_GB2312" w:hAnsi="仿宋_GB2312" w:eastAsia="仿宋_GB2312"/>
          <w:b w:val="0"/>
          <w:sz w:val="32"/>
        </w:rPr>
        <w:t>八、《国有资本经营预算财政拨款收入支出决算表》</w:t>
      </w:r>
    </w:p>
    <w:p w14:paraId="5073DC50">
      <w:pPr>
        <w:spacing w:line="240" w:lineRule="auto"/>
        <w:ind w:firstLine="640"/>
        <w:jc w:val="both"/>
      </w:pPr>
      <w:r>
        <w:rPr>
          <w:rFonts w:ascii="仿宋_GB2312" w:hAnsi="仿宋_GB2312" w:eastAsia="仿宋_GB2312"/>
          <w:b w:val="0"/>
          <w:sz w:val="32"/>
        </w:rPr>
        <w:t>九、《财政拨款“三公”经费支出决算表》</w:t>
      </w:r>
    </w:p>
    <w:p w14:paraId="41339350">
      <w:pPr>
        <w:spacing w:line="240" w:lineRule="auto"/>
        <w:ind w:firstLine="640"/>
        <w:jc w:val="both"/>
      </w:pPr>
    </w:p>
    <w:p w14:paraId="4457BEDF">
      <w:pPr>
        <w:spacing w:line="240" w:lineRule="auto"/>
        <w:ind w:firstLine="640"/>
        <w:jc w:val="both"/>
      </w:pPr>
    </w:p>
    <w:p w14:paraId="411F6C44">
      <w:pPr>
        <w:spacing w:line="240" w:lineRule="auto"/>
        <w:ind w:firstLine="640"/>
        <w:jc w:val="both"/>
      </w:pPr>
    </w:p>
    <w:p w14:paraId="286BF341">
      <w:pPr>
        <w:spacing w:line="240" w:lineRule="auto"/>
        <w:ind w:firstLine="640"/>
        <w:jc w:val="both"/>
      </w:pPr>
    </w:p>
    <w:p w14:paraId="6820234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20B63B7-273C-44A1-A0DE-428D44C496B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858C2D1-D4CA-4D3B-9A8E-23137AAC71AB}"/>
  </w:font>
  <w:font w:name="仿宋_GB2312">
    <w:panose1 w:val="02010609030101010101"/>
    <w:charset w:val="86"/>
    <w:family w:val="modern"/>
    <w:pitch w:val="default"/>
    <w:sig w:usb0="00000001" w:usb1="080E0000" w:usb2="00000000" w:usb3="00000000" w:csb0="00040000" w:csb1="00000000"/>
    <w:embedRegular r:id="rId3" w:fontKey="{6EBF828D-08C4-4F06-9297-5D1B5E127232}"/>
  </w:font>
  <w:font w:name="楷体_GB2312">
    <w:panose1 w:val="02010609030101010101"/>
    <w:charset w:val="86"/>
    <w:family w:val="auto"/>
    <w:pitch w:val="default"/>
    <w:sig w:usb0="00000001" w:usb1="080E0000" w:usb2="00000000" w:usb3="00000000" w:csb0="00040000" w:csb1="00000000"/>
    <w:embedRegular r:id="rId4" w:fontKey="{D7B2E59B-65A2-4D47-85F3-4F2D5708B61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A927A12"/>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7003D02"/>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9616</Words>
  <Characters>11215</Characters>
  <Lines>0</Lines>
  <Paragraphs>0</Paragraphs>
  <TotalTime>12</TotalTime>
  <ScaleCrop>false</ScaleCrop>
  <LinksUpToDate>false</LinksUpToDate>
  <CharactersWithSpaces>11223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2025-09-15T08:23:01Z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