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阿克陶县图书馆2024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C7F8CC5">
      <w:r>
        <w:br w:type="page"/>
      </w:r>
    </w:p>
    <w:p w14:paraId="73D9CD3A">
      <w:pPr>
        <w:spacing w:line="640" w:lineRule="exact"/>
        <w:jc w:val="center"/>
        <w:outlineLvl w:val="1"/>
      </w:pPr>
      <w:r>
        <w:rPr>
          <w:rFonts w:ascii="黑体" w:hAnsi="黑体" w:eastAsia="黑体"/>
          <w:sz w:val="32"/>
        </w:rPr>
        <w:t>第一部分 单位概况</w:t>
      </w:r>
    </w:p>
    <w:p w14:paraId="4D521066">
      <w:pPr>
        <w:spacing w:line="640" w:lineRule="exact"/>
        <w:ind w:firstLine="640"/>
        <w:jc w:val="both"/>
        <w:outlineLvl w:val="2"/>
      </w:pPr>
      <w:r>
        <w:rPr>
          <w:rFonts w:ascii="黑体" w:hAnsi="黑体" w:eastAsia="黑体"/>
          <w:sz w:val="32"/>
        </w:rPr>
        <w:t>一、主要职能</w:t>
      </w:r>
    </w:p>
    <w:p w14:paraId="762F5569">
      <w:pPr>
        <w:spacing w:line="580" w:lineRule="exact"/>
        <w:ind w:firstLine="640"/>
        <w:jc w:val="both"/>
      </w:pPr>
      <w:r>
        <w:rPr>
          <w:rFonts w:ascii="仿宋_GB2312" w:hAnsi="仿宋_GB2312" w:eastAsia="仿宋_GB2312"/>
          <w:sz w:val="32"/>
        </w:rPr>
        <w:t>（1）保存人类文化遗产。图书馆的产生是保存人类文化遗产的需要。因为有了图书馆，人类的社会实践所取得的经验、文化、知识才得以系统地保存并流传下来，成为今天人类宝贵的文化遗产和精神财富。</w:t>
      </w:r>
    </w:p>
    <w:p w14:paraId="11FB553F">
      <w:pPr>
        <w:spacing w:line="580" w:lineRule="exact"/>
        <w:ind w:firstLine="640"/>
        <w:jc w:val="both"/>
      </w:pPr>
      <w:r>
        <w:rPr>
          <w:rFonts w:ascii="仿宋_GB2312" w:hAnsi="仿宋_GB2312" w:eastAsia="仿宋_GB2312"/>
          <w:sz w:val="32"/>
        </w:rPr>
        <w:t>（2）开展社会教育。近代大工业的产生要求社会人有较多的劳动知识和劳动技能，图书馆从而真正走入平民百姓当中，担负起了对人的科学知识文化教育的任务。现代社会，图书馆成为继续教育的基地，担负了更多的教育职能。</w:t>
      </w:r>
    </w:p>
    <w:p w14:paraId="5399F0F8">
      <w:pPr>
        <w:spacing w:line="580" w:lineRule="exact"/>
        <w:ind w:firstLine="640"/>
        <w:jc w:val="both"/>
      </w:pPr>
      <w:r>
        <w:rPr>
          <w:rFonts w:ascii="仿宋_GB2312" w:hAnsi="仿宋_GB2312" w:eastAsia="仿宋_GB2312"/>
          <w:sz w:val="32"/>
        </w:rPr>
        <w:t>（3）传递科学知识。传递科学知识是现代图书馆的一个重要职能。图书馆丰富、系统、全面的图书信息资料，成为图书馆从事科学知识传递工作的物质条件。在信息社会，图书馆的科学知识功能将得到加强。</w:t>
      </w:r>
    </w:p>
    <w:p w14:paraId="0CF3A38E">
      <w:pPr>
        <w:spacing w:line="580" w:lineRule="exact"/>
        <w:ind w:firstLine="640"/>
        <w:jc w:val="both"/>
      </w:pPr>
      <w:r>
        <w:rPr>
          <w:rFonts w:ascii="仿宋_GB2312" w:hAnsi="仿宋_GB2312" w:eastAsia="仿宋_GB2312"/>
          <w:sz w:val="32"/>
        </w:rPr>
        <w:t>（4）开发智力资源。图书馆收藏的图书资料是人类长期积累的一种智力资源，图书馆对这些资源的加工、处理，是对这种智力资源的开发。同时图书馆将这些图书资料提供利用，是开发图书馆用户的脑力资源</w:t>
      </w:r>
      <w:r>
        <w:rPr>
          <w:rFonts w:hint="eastAsia" w:ascii="仿宋_GB2312" w:hAnsi="仿宋_GB2312" w:eastAsia="仿宋_GB2312"/>
          <w:sz w:val="32"/>
          <w:lang w:eastAsia="zh-CN"/>
        </w:rPr>
        <w:t>的举措。</w:t>
      </w:r>
      <w:r>
        <w:rPr>
          <w:rFonts w:ascii="仿宋_GB2312" w:hAnsi="仿宋_GB2312" w:eastAsia="仿宋_GB2312"/>
          <w:sz w:val="32"/>
        </w:rPr>
        <w:t>换言之，图书馆承担有人才培养的职能。</w:t>
      </w:r>
    </w:p>
    <w:p w14:paraId="62745BC5">
      <w:pPr>
        <w:spacing w:line="580" w:lineRule="exact"/>
        <w:ind w:firstLine="640"/>
        <w:jc w:val="both"/>
      </w:pPr>
      <w:r>
        <w:rPr>
          <w:rFonts w:ascii="仿宋_GB2312" w:hAnsi="仿宋_GB2312" w:eastAsia="仿宋_GB2312"/>
          <w:sz w:val="32"/>
        </w:rPr>
        <w:t>（5）提供文化娱乐。图书馆提供的服务满足了社会对文化娱乐的需要，丰富和活跃了人民群众的文化生活，在精神文明建设当中起到了不可或缺的作用。</w:t>
      </w:r>
    </w:p>
    <w:p w14:paraId="43122775">
      <w:pPr>
        <w:spacing w:line="640" w:lineRule="exact"/>
        <w:ind w:firstLine="640"/>
        <w:jc w:val="both"/>
        <w:outlineLvl w:val="2"/>
      </w:pPr>
      <w:r>
        <w:rPr>
          <w:rFonts w:ascii="黑体" w:hAnsi="黑体" w:eastAsia="黑体"/>
          <w:sz w:val="32"/>
        </w:rPr>
        <w:t>二、机构设置及人员情况</w:t>
      </w:r>
    </w:p>
    <w:p w14:paraId="16AB4D09">
      <w:pPr>
        <w:spacing w:line="580" w:lineRule="exact"/>
        <w:ind w:firstLine="640"/>
        <w:jc w:val="both"/>
      </w:pPr>
      <w:r>
        <w:rPr>
          <w:rFonts w:ascii="仿宋_GB2312" w:hAnsi="仿宋_GB2312" w:eastAsia="仿宋_GB2312"/>
          <w:sz w:val="32"/>
        </w:rPr>
        <w:t>阿克陶县图书馆2024年度，实有人数12人，其中：在职人员5人，减少1人；离休人员0人，增加0人；退休人员7人,增加1人。</w:t>
      </w:r>
    </w:p>
    <w:p w14:paraId="65178F18">
      <w:pPr>
        <w:spacing w:line="580" w:lineRule="exact"/>
        <w:ind w:firstLine="640"/>
        <w:jc w:val="both"/>
      </w:pPr>
      <w:r>
        <w:rPr>
          <w:rFonts w:ascii="仿宋_GB2312" w:hAnsi="仿宋_GB2312" w:eastAsia="仿宋_GB2312"/>
          <w:sz w:val="32"/>
        </w:rPr>
        <w:t>阿克陶县图书馆无下属预算单位，下设1个科室，分别是：办公室。</w:t>
      </w:r>
    </w:p>
    <w:p w14:paraId="348BFDE2">
      <w:r>
        <w:br w:type="page"/>
      </w:r>
    </w:p>
    <w:p w14:paraId="3513CFB5">
      <w:pPr>
        <w:spacing w:line="240" w:lineRule="auto"/>
        <w:jc w:val="center"/>
        <w:outlineLvl w:val="1"/>
      </w:pPr>
      <w:r>
        <w:rPr>
          <w:rFonts w:ascii="黑体" w:hAnsi="黑体" w:eastAsia="黑体"/>
          <w:sz w:val="32"/>
        </w:rPr>
        <w:t>第二部分 部门决算情况说明</w:t>
      </w:r>
    </w:p>
    <w:p w14:paraId="1BF59F39">
      <w:pPr>
        <w:spacing w:line="640" w:lineRule="exact"/>
        <w:ind w:firstLine="640"/>
        <w:jc w:val="both"/>
        <w:outlineLvl w:val="2"/>
      </w:pPr>
      <w:r>
        <w:rPr>
          <w:rFonts w:ascii="黑体" w:hAnsi="黑体" w:eastAsia="黑体"/>
          <w:sz w:val="32"/>
        </w:rPr>
        <w:t>一、收入支出决算总体情况说明</w:t>
      </w:r>
    </w:p>
    <w:p w14:paraId="4F7395FA">
      <w:pPr>
        <w:spacing w:line="580" w:lineRule="exact"/>
        <w:ind w:firstLine="640"/>
        <w:jc w:val="both"/>
      </w:pPr>
      <w:r>
        <w:rPr>
          <w:rFonts w:ascii="仿宋_GB2312" w:hAnsi="仿宋_GB2312" w:eastAsia="仿宋_GB2312"/>
          <w:b/>
          <w:sz w:val="32"/>
        </w:rPr>
        <w:t>2024年度收入总计153.52万元，</w:t>
      </w:r>
      <w:r>
        <w:rPr>
          <w:rFonts w:ascii="仿宋_GB2312" w:hAnsi="仿宋_GB2312" w:eastAsia="仿宋_GB2312"/>
          <w:b w:val="0"/>
          <w:sz w:val="32"/>
        </w:rPr>
        <w:t>其中：本年收入合计153.52万元，使用非财政拨款结余（含专用结余）0.00万元，年初结转和结余0.00万元。</w:t>
      </w:r>
    </w:p>
    <w:p w14:paraId="73DB8F97">
      <w:pPr>
        <w:spacing w:line="580" w:lineRule="exact"/>
        <w:ind w:firstLine="640"/>
        <w:jc w:val="both"/>
      </w:pPr>
      <w:r>
        <w:rPr>
          <w:rFonts w:ascii="仿宋_GB2312" w:hAnsi="仿宋_GB2312" w:eastAsia="仿宋_GB2312"/>
          <w:b/>
          <w:sz w:val="32"/>
        </w:rPr>
        <w:t>2024年度支出总计153.52万元，</w:t>
      </w:r>
      <w:r>
        <w:rPr>
          <w:rFonts w:ascii="仿宋_GB2312" w:hAnsi="仿宋_GB2312" w:eastAsia="仿宋_GB2312"/>
          <w:b w:val="0"/>
          <w:sz w:val="32"/>
        </w:rPr>
        <w:t>其中：本年支出合计153.52万元，结余分配0.00万元，年末结转和结余0.00万元。</w:t>
      </w:r>
    </w:p>
    <w:p w14:paraId="36119CCC">
      <w:pPr>
        <w:spacing w:line="580" w:lineRule="exact"/>
        <w:ind w:firstLine="640"/>
        <w:jc w:val="both"/>
      </w:pPr>
      <w:r>
        <w:rPr>
          <w:rFonts w:ascii="仿宋_GB2312" w:hAnsi="仿宋_GB2312" w:eastAsia="仿宋_GB2312"/>
          <w:b w:val="0"/>
          <w:sz w:val="32"/>
        </w:rPr>
        <w:t>收入支出总体与上年相比，增加1.12万元，增长0.73%，主要原因是：本年在职人员工资调增，社保、公积金基数调增，人员经费增加；增加“三馆一站”免费开放活动项目经费。</w:t>
      </w:r>
    </w:p>
    <w:p w14:paraId="5AEB7215">
      <w:pPr>
        <w:spacing w:line="640" w:lineRule="exact"/>
        <w:ind w:firstLine="640"/>
        <w:jc w:val="both"/>
        <w:outlineLvl w:val="2"/>
      </w:pPr>
      <w:r>
        <w:rPr>
          <w:rFonts w:ascii="黑体" w:hAnsi="黑体" w:eastAsia="黑体"/>
          <w:sz w:val="32"/>
        </w:rPr>
        <w:t>二、收入决算情况说明</w:t>
      </w:r>
    </w:p>
    <w:p w14:paraId="214A33B7">
      <w:pPr>
        <w:spacing w:line="580" w:lineRule="exact"/>
        <w:ind w:firstLine="640"/>
        <w:jc w:val="both"/>
      </w:pPr>
      <w:r>
        <w:rPr>
          <w:rFonts w:ascii="仿宋_GB2312" w:hAnsi="仿宋_GB2312" w:eastAsia="仿宋_GB2312"/>
          <w:b/>
          <w:sz w:val="32"/>
        </w:rPr>
        <w:t>本年收入153.52万元，</w:t>
      </w:r>
      <w:r>
        <w:rPr>
          <w:rFonts w:ascii="仿宋_GB2312" w:hAnsi="仿宋_GB2312" w:eastAsia="仿宋_GB2312"/>
          <w:b w:val="0"/>
          <w:sz w:val="32"/>
        </w:rPr>
        <w:t>其中：财政拨款收入153.52万元，占100.00%；上级补助收入0.00万元，占0.00%；事业收入0.00万元，占0.00%；经营收入0.00万元，占0.00%；附属单位上缴收入0.00万元，占0.00%；其他收入0.00万元，占0.00%。</w:t>
      </w:r>
    </w:p>
    <w:p w14:paraId="0F8B604C">
      <w:pPr>
        <w:spacing w:line="640" w:lineRule="exact"/>
        <w:ind w:firstLine="640"/>
        <w:jc w:val="both"/>
        <w:outlineLvl w:val="2"/>
      </w:pPr>
      <w:r>
        <w:rPr>
          <w:rFonts w:ascii="黑体" w:hAnsi="黑体" w:eastAsia="黑体"/>
          <w:sz w:val="32"/>
        </w:rPr>
        <w:t>三、支出决算情况说明</w:t>
      </w:r>
    </w:p>
    <w:p w14:paraId="6DC1CE20">
      <w:pPr>
        <w:spacing w:line="580" w:lineRule="exact"/>
        <w:ind w:firstLine="640"/>
        <w:jc w:val="both"/>
      </w:pPr>
      <w:r>
        <w:rPr>
          <w:rFonts w:ascii="仿宋_GB2312" w:hAnsi="仿宋_GB2312" w:eastAsia="仿宋_GB2312"/>
          <w:b/>
          <w:sz w:val="32"/>
        </w:rPr>
        <w:t>本年支出153.52万元，</w:t>
      </w:r>
      <w:r>
        <w:rPr>
          <w:rFonts w:ascii="仿宋_GB2312" w:hAnsi="仿宋_GB2312" w:eastAsia="仿宋_GB2312"/>
          <w:b w:val="0"/>
          <w:sz w:val="32"/>
        </w:rPr>
        <w:t>其中：基本支出130.19万元，占84.80%；项目支出23.33万元，占15.20%；上缴上级支出0.00万元，占0.00%；经营支出0.00万元，占0.00%；对附属单位补助支出0.00万元，占0.00%。</w:t>
      </w:r>
    </w:p>
    <w:p w14:paraId="178730D7">
      <w:pPr>
        <w:spacing w:line="640" w:lineRule="exact"/>
        <w:ind w:firstLine="640"/>
        <w:jc w:val="both"/>
        <w:outlineLvl w:val="2"/>
      </w:pPr>
      <w:r>
        <w:rPr>
          <w:rFonts w:ascii="黑体" w:hAnsi="黑体" w:eastAsia="黑体"/>
          <w:sz w:val="32"/>
        </w:rPr>
        <w:t>四、财政拨款收入支出决算总体情况说明</w:t>
      </w:r>
    </w:p>
    <w:p w14:paraId="31AE70F5">
      <w:pPr>
        <w:spacing w:line="580" w:lineRule="exact"/>
        <w:ind w:firstLine="640"/>
        <w:jc w:val="both"/>
      </w:pPr>
      <w:r>
        <w:rPr>
          <w:rFonts w:ascii="仿宋_GB2312" w:hAnsi="仿宋_GB2312" w:eastAsia="仿宋_GB2312"/>
          <w:b/>
          <w:sz w:val="32"/>
        </w:rPr>
        <w:t>2024年度财政拨款收入总计153.52万元，</w:t>
      </w:r>
      <w:r>
        <w:rPr>
          <w:rFonts w:ascii="仿宋_GB2312" w:hAnsi="仿宋_GB2312" w:eastAsia="仿宋_GB2312"/>
          <w:b w:val="0"/>
          <w:sz w:val="32"/>
        </w:rPr>
        <w:t>其中：年初财政拨款结转和结余0.00万元，本年财政拨款收入153.52万元。</w:t>
      </w:r>
      <w:r>
        <w:rPr>
          <w:rFonts w:ascii="仿宋_GB2312" w:hAnsi="仿宋_GB2312" w:eastAsia="仿宋_GB2312"/>
          <w:b/>
          <w:sz w:val="32"/>
        </w:rPr>
        <w:t>财政拨款支出总计153.52万元，</w:t>
      </w:r>
      <w:r>
        <w:rPr>
          <w:rFonts w:ascii="仿宋_GB2312" w:hAnsi="仿宋_GB2312" w:eastAsia="仿宋_GB2312"/>
          <w:b w:val="0"/>
          <w:sz w:val="32"/>
        </w:rPr>
        <w:t>其中：年末财政拨款结转和结余0.00万元，本年财政拨款支出153.52万元。</w:t>
      </w:r>
    </w:p>
    <w:p w14:paraId="13F6010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增加1.12万元，增长0.73%，主要原因是：本年在职人员工资调增，社保、公积金基数调增，人员经费增加；增加“三馆一站”免费开放活动项目经费。</w:t>
      </w:r>
      <w:r>
        <w:rPr>
          <w:rFonts w:ascii="仿宋_GB2312" w:hAnsi="仿宋_GB2312" w:eastAsia="仿宋_GB2312"/>
          <w:b/>
          <w:sz w:val="32"/>
        </w:rPr>
        <w:t>与年初预算相比，</w:t>
      </w:r>
      <w:r>
        <w:rPr>
          <w:rFonts w:ascii="仿宋_GB2312" w:hAnsi="仿宋_GB2312" w:eastAsia="仿宋_GB2312"/>
          <w:b w:val="0"/>
          <w:sz w:val="32"/>
        </w:rPr>
        <w:t>年初预算数139.53万元，决算数153.52万元，预决算差异率10.03%，主要原因是：年中追加人员工资、社保、公积金调增部分及“三馆一站”免费开放活动项目经费。</w:t>
      </w:r>
    </w:p>
    <w:p w14:paraId="40F4D5DD">
      <w:pPr>
        <w:spacing w:line="640" w:lineRule="exact"/>
        <w:ind w:firstLine="640"/>
        <w:jc w:val="both"/>
        <w:outlineLvl w:val="2"/>
      </w:pPr>
      <w:r>
        <w:rPr>
          <w:rFonts w:ascii="黑体" w:hAnsi="黑体" w:eastAsia="黑体"/>
          <w:sz w:val="32"/>
        </w:rPr>
        <w:t>五、一般公共预算财政拨款支出决算情况说明</w:t>
      </w:r>
    </w:p>
    <w:p w14:paraId="66E68A6E">
      <w:pPr>
        <w:spacing w:line="640" w:lineRule="exact"/>
        <w:ind w:firstLine="640"/>
        <w:jc w:val="both"/>
        <w:outlineLvl w:val="3"/>
      </w:pPr>
      <w:r>
        <w:rPr>
          <w:rFonts w:ascii="楷体_GB2312" w:hAnsi="楷体_GB2312" w:eastAsia="楷体_GB2312"/>
          <w:b/>
          <w:sz w:val="32"/>
        </w:rPr>
        <w:t>（一）一般公共预算财政拨款支出决算总体情况</w:t>
      </w:r>
    </w:p>
    <w:p w14:paraId="182F66DD">
      <w:pPr>
        <w:spacing w:line="580" w:lineRule="exact"/>
        <w:ind w:firstLine="640"/>
        <w:jc w:val="both"/>
      </w:pPr>
      <w:r>
        <w:rPr>
          <w:rFonts w:ascii="仿宋_GB2312" w:hAnsi="仿宋_GB2312" w:eastAsia="仿宋_GB2312"/>
          <w:b/>
          <w:sz w:val="32"/>
        </w:rPr>
        <w:t>2024年度一般公共预算财政拨款支出153.52万元，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增加1.12万元，增长0.73%，主要原因是：一是人员工资增长，社保、公积金基数调增，相关支出增加；二是图书馆增加“三馆一站”免费开放活动项目经费，相关支出增加。</w:t>
      </w:r>
      <w:r>
        <w:rPr>
          <w:rFonts w:ascii="仿宋_GB2312" w:hAnsi="仿宋_GB2312" w:eastAsia="仿宋_GB2312"/>
          <w:b/>
          <w:sz w:val="32"/>
        </w:rPr>
        <w:t>与年初预算相比,</w:t>
      </w:r>
      <w:r>
        <w:rPr>
          <w:rFonts w:ascii="仿宋_GB2312" w:hAnsi="仿宋_GB2312" w:eastAsia="仿宋_GB2312"/>
          <w:b w:val="0"/>
          <w:sz w:val="32"/>
        </w:rPr>
        <w:t>年初预算数139.53万元，决算数153.52万元，预决算差异率10.03%，主要原因是：年中追加人员工资、社保、公积金调增部分及“三馆一站”免费开放活动项目经费。</w:t>
      </w:r>
    </w:p>
    <w:p w14:paraId="5EAC423A">
      <w:pPr>
        <w:spacing w:line="640" w:lineRule="exact"/>
        <w:ind w:firstLine="640"/>
        <w:jc w:val="both"/>
        <w:outlineLvl w:val="3"/>
      </w:pPr>
      <w:r>
        <w:rPr>
          <w:rFonts w:ascii="楷体_GB2312" w:hAnsi="楷体_GB2312" w:eastAsia="楷体_GB2312"/>
          <w:b/>
          <w:sz w:val="32"/>
        </w:rPr>
        <w:t>（二）一般公共预算财政拨款支出决算结构情况</w:t>
      </w:r>
    </w:p>
    <w:p w14:paraId="2DD6B99D">
      <w:pPr>
        <w:spacing w:line="580" w:lineRule="exact"/>
        <w:ind w:firstLine="640"/>
        <w:jc w:val="both"/>
      </w:pPr>
      <w:r>
        <w:rPr>
          <w:rFonts w:ascii="仿宋_GB2312" w:hAnsi="仿宋_GB2312" w:eastAsia="仿宋_GB2312"/>
          <w:b w:val="0"/>
          <w:sz w:val="32"/>
        </w:rPr>
        <w:t>1.文化旅游体育与传媒支出(类)112.36万元,占73.19%。</w:t>
      </w:r>
    </w:p>
    <w:p w14:paraId="60321DDA">
      <w:pPr>
        <w:spacing w:line="580" w:lineRule="exact"/>
        <w:ind w:firstLine="640"/>
        <w:jc w:val="both"/>
      </w:pPr>
      <w:r>
        <w:rPr>
          <w:rFonts w:ascii="仿宋_GB2312" w:hAnsi="仿宋_GB2312" w:eastAsia="仿宋_GB2312"/>
          <w:b w:val="0"/>
          <w:sz w:val="32"/>
        </w:rPr>
        <w:t>2.社会保障和就业支出(类)27.52万元,占17.93%。</w:t>
      </w:r>
    </w:p>
    <w:p w14:paraId="0DB33C1A">
      <w:pPr>
        <w:spacing w:line="580" w:lineRule="exact"/>
        <w:ind w:firstLine="640"/>
        <w:jc w:val="both"/>
      </w:pPr>
      <w:r>
        <w:rPr>
          <w:rFonts w:ascii="仿宋_GB2312" w:hAnsi="仿宋_GB2312" w:eastAsia="仿宋_GB2312"/>
          <w:b w:val="0"/>
          <w:sz w:val="32"/>
        </w:rPr>
        <w:t>3.卫生健康支出(类)4.27万元,占2.78%。</w:t>
      </w:r>
    </w:p>
    <w:p w14:paraId="1DA01AEA">
      <w:pPr>
        <w:spacing w:line="580" w:lineRule="exact"/>
        <w:ind w:firstLine="640"/>
        <w:jc w:val="both"/>
      </w:pPr>
      <w:r>
        <w:rPr>
          <w:rFonts w:ascii="仿宋_GB2312" w:hAnsi="仿宋_GB2312" w:eastAsia="仿宋_GB2312"/>
          <w:b w:val="0"/>
          <w:sz w:val="32"/>
        </w:rPr>
        <w:t>4.住房保障支出(类)9.37万元,占6.10%。</w:t>
      </w:r>
    </w:p>
    <w:p w14:paraId="2DB2B88C">
      <w:pPr>
        <w:spacing w:line="640" w:lineRule="exact"/>
        <w:ind w:firstLine="640"/>
        <w:jc w:val="both"/>
        <w:outlineLvl w:val="3"/>
      </w:pPr>
      <w:r>
        <w:rPr>
          <w:rFonts w:ascii="楷体_GB2312" w:hAnsi="楷体_GB2312" w:eastAsia="楷体_GB2312"/>
          <w:b/>
          <w:sz w:val="32"/>
        </w:rPr>
        <w:t>（三）一般公共预算财政拨款支出决算具体情况</w:t>
      </w:r>
    </w:p>
    <w:p w14:paraId="092D1D19">
      <w:pPr>
        <w:spacing w:line="580" w:lineRule="exact"/>
        <w:ind w:firstLine="640"/>
        <w:jc w:val="both"/>
      </w:pPr>
      <w:r>
        <w:rPr>
          <w:rFonts w:ascii="仿宋_GB2312" w:hAnsi="仿宋_GB2312" w:eastAsia="仿宋_GB2312"/>
          <w:b w:val="0"/>
          <w:sz w:val="32"/>
        </w:rPr>
        <w:t>1.文化旅游体育与传媒支出(类)文化和旅游(款)图书馆(项):支出决算数为89.03万元，比上年决算减少11.45万元，下降11.40%,主要原因是：本年增加在职转退休人员，相关基本支出减少。</w:t>
      </w:r>
    </w:p>
    <w:p w14:paraId="6FC76DBE">
      <w:pPr>
        <w:spacing w:line="580" w:lineRule="exact"/>
        <w:ind w:firstLine="640"/>
        <w:jc w:val="both"/>
      </w:pPr>
      <w:r>
        <w:rPr>
          <w:rFonts w:ascii="仿宋_GB2312" w:hAnsi="仿宋_GB2312" w:eastAsia="仿宋_GB2312"/>
          <w:b w:val="0"/>
          <w:sz w:val="32"/>
        </w:rPr>
        <w:t>2.文化旅游体育与传媒支出(类)文化和旅游(款)其他文化和旅游支出(项):支出决算数为23.33万元，比上年决算增加2.12万元，增长10.00%,主要原因是：本年度图书馆增加“三馆一站”免费开放活动项目经费，相关支出增加。</w:t>
      </w:r>
    </w:p>
    <w:p w14:paraId="12197D20">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3.社会保障和就业支出(类)行政事业单位养老支出(款)事业单位离退休(项):支出决算数为7.73万元，比上年决算增加1.56万元，增长25.28%,主要原因是：本年退休人员增加，退休费支出增加。</w:t>
      </w:r>
    </w:p>
    <w:p w14:paraId="5EE05598">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12.04万元，比上年决算增加0.79万元，增长7.02%,主要原因是：人员工资基数调增，养老缴费基数上涨，相应支出增加。</w:t>
      </w:r>
    </w:p>
    <w:p w14:paraId="350CF47C">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5.社会保障和就业支出(类)行政事业单位养老支出(款)机关事业单位职业年金缴费支出(项):支出决算数为7.74万元，比上年决算增加7.74万元，增长100.00%,主要原因是：本年新增退休人员，职业年金缴费支出增加。</w:t>
      </w:r>
    </w:p>
    <w:p w14:paraId="3036DDE0">
      <w:pPr>
        <w:spacing w:line="580" w:lineRule="exact"/>
        <w:ind w:firstLine="640"/>
        <w:jc w:val="both"/>
      </w:pPr>
      <w:r>
        <w:rPr>
          <w:rFonts w:ascii="仿宋_GB2312" w:hAnsi="仿宋_GB2312" w:eastAsia="仿宋_GB2312"/>
          <w:b w:val="0"/>
          <w:sz w:val="32"/>
        </w:rPr>
        <w:t>6.卫生健康支出(类)行政事业单位医疗(款)事业单位医疗(项):支出决算数为4.27万元，比上年决算减少0.26万元，下降5.74%,主要原因是：本年在职人员减少，事业单位医疗支出较上年减少。</w:t>
      </w:r>
    </w:p>
    <w:p w14:paraId="070B8669">
      <w:pPr>
        <w:spacing w:line="580" w:lineRule="exact"/>
        <w:ind w:firstLine="640"/>
        <w:jc w:val="both"/>
      </w:pPr>
      <w:r>
        <w:rPr>
          <w:rFonts w:ascii="仿宋_GB2312" w:hAnsi="仿宋_GB2312" w:eastAsia="仿宋_GB2312"/>
          <w:b w:val="0"/>
          <w:sz w:val="32"/>
        </w:rPr>
        <w:t>7.住房保障支出(类)住房改革支出(款)住房公积金(项):支出决算数为9.37万元，比上年决算增加0.61万元，增长6.96%,主要原因是：人员工资基数调增，公积金缴费基数上涨，相应支出增加。</w:t>
      </w:r>
    </w:p>
    <w:p w14:paraId="62E896CE">
      <w:pPr>
        <w:spacing w:line="640" w:lineRule="exact"/>
        <w:ind w:firstLine="640"/>
        <w:jc w:val="both"/>
        <w:outlineLvl w:val="2"/>
      </w:pPr>
      <w:r>
        <w:rPr>
          <w:rFonts w:ascii="黑体" w:hAnsi="黑体" w:eastAsia="黑体"/>
          <w:sz w:val="32"/>
        </w:rPr>
        <w:t>六、一般公共预算财政拨款基本支出决算情况说明</w:t>
      </w:r>
    </w:p>
    <w:p w14:paraId="3F1E73A5">
      <w:pPr>
        <w:spacing w:line="580" w:lineRule="exact"/>
        <w:ind w:firstLine="640"/>
        <w:jc w:val="both"/>
      </w:pPr>
      <w:r>
        <w:rPr>
          <w:rFonts w:ascii="仿宋_GB2312" w:hAnsi="仿宋_GB2312" w:eastAsia="仿宋_GB2312"/>
          <w:b w:val="0"/>
          <w:sz w:val="32"/>
        </w:rPr>
        <w:t>2024年度一般公共预算财政拨款基本支出130.19万元，其中：</w:t>
      </w:r>
      <w:r>
        <w:rPr>
          <w:rFonts w:ascii="仿宋_GB2312" w:hAnsi="仿宋_GB2312" w:eastAsia="仿宋_GB2312"/>
          <w:b/>
          <w:sz w:val="32"/>
        </w:rPr>
        <w:t>人员经费128.79万元，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1B5CBB5C">
      <w:pPr>
        <w:spacing w:line="580" w:lineRule="exact"/>
        <w:ind w:firstLine="640"/>
        <w:jc w:val="both"/>
      </w:pPr>
      <w:r>
        <w:rPr>
          <w:rFonts w:ascii="仿宋_GB2312" w:hAnsi="仿宋_GB2312" w:eastAsia="仿宋_GB2312"/>
          <w:b/>
          <w:sz w:val="32"/>
        </w:rPr>
        <w:t>公用经费1.40万元，</w:t>
      </w:r>
      <w:r>
        <w:rPr>
          <w:rFonts w:ascii="仿宋_GB2312" w:hAnsi="仿宋_GB2312" w:eastAsia="仿宋_GB2312"/>
          <w:b w:val="0"/>
          <w:sz w:val="32"/>
        </w:rPr>
        <w:t>包括：办公费。</w:t>
      </w:r>
    </w:p>
    <w:p w14:paraId="2961259E">
      <w:pPr>
        <w:spacing w:line="640" w:lineRule="exact"/>
        <w:ind w:firstLine="640"/>
        <w:jc w:val="both"/>
        <w:outlineLvl w:val="2"/>
      </w:pPr>
      <w:r>
        <w:rPr>
          <w:rFonts w:ascii="黑体" w:hAnsi="黑体" w:eastAsia="黑体"/>
          <w:sz w:val="32"/>
        </w:rPr>
        <w:t>七、政府性基金预算财政拨款收入支出决算情况说明</w:t>
      </w:r>
    </w:p>
    <w:p w14:paraId="194E6CE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C9CF7F3">
      <w:pPr>
        <w:spacing w:line="640" w:lineRule="exact"/>
        <w:ind w:firstLine="640"/>
        <w:jc w:val="both"/>
        <w:outlineLvl w:val="2"/>
      </w:pPr>
      <w:r>
        <w:rPr>
          <w:rFonts w:ascii="黑体" w:hAnsi="黑体" w:eastAsia="黑体"/>
          <w:sz w:val="32"/>
        </w:rPr>
        <w:t>八、国有资本经营预算财政拨款收入支出决算情况说明</w:t>
      </w:r>
    </w:p>
    <w:p w14:paraId="4CB5F4D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0FB7A98">
      <w:pPr>
        <w:spacing w:line="640" w:lineRule="exact"/>
        <w:ind w:firstLine="640"/>
        <w:jc w:val="both"/>
        <w:outlineLvl w:val="2"/>
      </w:pPr>
      <w:r>
        <w:rPr>
          <w:rFonts w:ascii="黑体" w:hAnsi="黑体" w:eastAsia="黑体"/>
          <w:sz w:val="32"/>
        </w:rPr>
        <w:t>九、财政拨款“三公”经费支出决算情况说明</w:t>
      </w:r>
    </w:p>
    <w:p w14:paraId="1BD3568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2.00万元，下降100.00%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0.00万元，占0.00%，比上年减少2.00万元，下降100.00%，主要原因是：严格落实中央八项规定精神，厉行节约，减少公务用车运行维护费。公务接待费支出0.00万元，占0.00%，比上年增加0.00万元，增长0.00%，主要原因是：2023年与2024年均未安排公务接待费支出。</w:t>
      </w:r>
    </w:p>
    <w:p w14:paraId="37F72D2D">
      <w:pPr>
        <w:spacing w:line="580" w:lineRule="exact"/>
        <w:ind w:firstLine="640"/>
        <w:jc w:val="both"/>
      </w:pPr>
      <w:r>
        <w:rPr>
          <w:rFonts w:ascii="仿宋_GB2312" w:hAnsi="仿宋_GB2312" w:eastAsia="仿宋_GB2312"/>
          <w:b/>
          <w:sz w:val="32"/>
        </w:rPr>
        <w:t>具体情况如下：</w:t>
      </w:r>
    </w:p>
    <w:p w14:paraId="16EC3AC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45E796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w:t>
      </w:r>
    </w:p>
    <w:p w14:paraId="67D7768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1CFAD1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E76BC76">
      <w:pPr>
        <w:spacing w:line="640" w:lineRule="exact"/>
        <w:ind w:firstLine="640"/>
        <w:jc w:val="both"/>
        <w:outlineLvl w:val="2"/>
      </w:pPr>
      <w:r>
        <w:rPr>
          <w:rFonts w:ascii="黑体" w:hAnsi="黑体" w:eastAsia="黑体"/>
          <w:sz w:val="32"/>
        </w:rPr>
        <w:t>十、其他重要事项的情况说明</w:t>
      </w:r>
    </w:p>
    <w:p w14:paraId="2A2C8E0B">
      <w:pPr>
        <w:spacing w:line="640" w:lineRule="exact"/>
        <w:ind w:firstLine="640"/>
        <w:jc w:val="both"/>
        <w:outlineLvl w:val="3"/>
      </w:pPr>
      <w:r>
        <w:rPr>
          <w:rFonts w:ascii="楷体_GB2312" w:hAnsi="楷体_GB2312" w:eastAsia="楷体_GB2312"/>
          <w:b/>
          <w:sz w:val="32"/>
        </w:rPr>
        <w:t>（一）机关运行经费及公用经费支出情况</w:t>
      </w:r>
    </w:p>
    <w:p w14:paraId="3F75479B">
      <w:pPr>
        <w:spacing w:line="580" w:lineRule="exact"/>
        <w:ind w:firstLine="640"/>
        <w:jc w:val="both"/>
      </w:pPr>
      <w:r>
        <w:rPr>
          <w:rFonts w:ascii="仿宋_GB2312" w:hAnsi="仿宋_GB2312" w:eastAsia="仿宋_GB2312"/>
          <w:b w:val="0"/>
          <w:sz w:val="32"/>
        </w:rPr>
        <w:t>2024年度阿克陶县图书馆（事业单位）公用经费支出1.40万元，比上年减少1.50万元，下降51.72%，主要原因是：严格控制公用经费，合理节约办公用品，减少不必要开支。</w:t>
      </w:r>
    </w:p>
    <w:p w14:paraId="62F44E05">
      <w:pPr>
        <w:spacing w:line="640" w:lineRule="exact"/>
        <w:ind w:firstLine="640"/>
        <w:jc w:val="both"/>
        <w:outlineLvl w:val="3"/>
      </w:pPr>
      <w:r>
        <w:rPr>
          <w:rFonts w:ascii="楷体_GB2312" w:hAnsi="楷体_GB2312" w:eastAsia="楷体_GB2312"/>
          <w:b/>
          <w:sz w:val="32"/>
        </w:rPr>
        <w:t>（二）政府采购情况</w:t>
      </w:r>
    </w:p>
    <w:p w14:paraId="2AB24FD5">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30827A8">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1D6EC97">
      <w:pPr>
        <w:spacing w:line="640" w:lineRule="exact"/>
        <w:ind w:firstLine="640"/>
        <w:jc w:val="both"/>
        <w:outlineLvl w:val="3"/>
      </w:pPr>
      <w:r>
        <w:rPr>
          <w:rFonts w:ascii="楷体_GB2312" w:hAnsi="楷体_GB2312" w:eastAsia="楷体_GB2312"/>
          <w:b/>
          <w:sz w:val="32"/>
        </w:rPr>
        <w:t>（三）国有资产占用情况说明</w:t>
      </w:r>
    </w:p>
    <w:p w14:paraId="43B8F13A">
      <w:pPr>
        <w:spacing w:line="580" w:lineRule="exact"/>
        <w:ind w:firstLine="640"/>
        <w:jc w:val="both"/>
      </w:pPr>
      <w:r>
        <w:rPr>
          <w:rFonts w:ascii="仿宋_GB2312" w:hAnsi="仿宋_GB2312" w:eastAsia="仿宋_GB2312"/>
          <w:b w:val="0"/>
          <w:sz w:val="32"/>
        </w:rPr>
        <w:t>截至2024年12月31日，房屋0.00平方米，价值0.00万元。车辆1辆，价值19.45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EED47F5">
      <w:pPr>
        <w:spacing w:line="640" w:lineRule="exact"/>
        <w:ind w:firstLine="640"/>
        <w:jc w:val="both"/>
        <w:outlineLvl w:val="2"/>
      </w:pPr>
      <w:r>
        <w:rPr>
          <w:rFonts w:ascii="黑体" w:hAnsi="黑体" w:eastAsia="黑体"/>
          <w:sz w:val="32"/>
        </w:rPr>
        <w:t>十一、预算绩效的情况说明</w:t>
      </w:r>
    </w:p>
    <w:p w14:paraId="10815F4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153.52万元，实际执行总额153.52万元；预算绩效评价项目1个，全年预算数2.00万元，全年执行数0.12万元。预算绩效管理取得的成效：为加强预算管理，规范财务行为，已制定各项管理制度，有效保障了高效履行工作职能，加强了制度建设，打牢绩效管理工作基础。发现的问题及原因：一是对绩效目标偏差问题缺乏有效分析，从而导致填报的内容相对简单。二是在部门整体支出的资金安排和使用上仍有不可预见性，在经费支出科学化精细化管理上还有待加强。下一步改进措施：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公开预算绩效评价结果及后续的追踪问责机制，避免出现各预算单位“自说自话”问题，实现信息透明、共享。具体附整体支出绩效自评表，项目支出绩效自评表和评价报告。</w:t>
      </w:r>
    </w:p>
    <w:p w14:paraId="76D18AC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F068058">
        <w:tblPrEx>
          <w:tblCellMar>
            <w:top w:w="0" w:type="dxa"/>
            <w:left w:w="108" w:type="dxa"/>
            <w:bottom w:w="0" w:type="dxa"/>
            <w:right w:w="108" w:type="dxa"/>
          </w:tblCellMar>
        </w:tblPrEx>
        <w:tc>
          <w:tcPr>
            <w:tcW w:w="8840" w:type="dxa"/>
            <w:gridSpan w:val="8"/>
            <w:vAlign w:val="center"/>
          </w:tcPr>
          <w:p w14:paraId="0FC74632">
            <w:pPr>
              <w:jc w:val="center"/>
            </w:pPr>
            <w:r>
              <w:rPr>
                <w:rFonts w:ascii="宋体" w:hAnsi="宋体" w:eastAsia="宋体"/>
                <w:sz w:val="24"/>
              </w:rPr>
              <w:t>单位整体支出绩效自评表</w:t>
            </w:r>
          </w:p>
        </w:tc>
      </w:tr>
      <w:tr w14:paraId="08269D19">
        <w:tblPrEx>
          <w:tblCellMar>
            <w:top w:w="0" w:type="dxa"/>
            <w:left w:w="108" w:type="dxa"/>
            <w:bottom w:w="0" w:type="dxa"/>
            <w:right w:w="108" w:type="dxa"/>
          </w:tblCellMar>
        </w:tblPrEx>
        <w:tc>
          <w:tcPr>
            <w:tcW w:w="8840" w:type="dxa"/>
            <w:gridSpan w:val="8"/>
            <w:vAlign w:val="center"/>
          </w:tcPr>
          <w:p w14:paraId="3B0DC6FA">
            <w:pPr>
              <w:jc w:val="center"/>
            </w:pPr>
            <w:r>
              <w:rPr>
                <w:rFonts w:ascii="宋体" w:hAnsi="宋体" w:eastAsia="宋体"/>
                <w:sz w:val="24"/>
              </w:rPr>
              <w:t>（2024年度）</w:t>
            </w:r>
          </w:p>
        </w:tc>
      </w:tr>
      <w:tr w14:paraId="1C30D54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86D2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2C5324">
            <w:pPr>
              <w:jc w:val="center"/>
            </w:pPr>
            <w:r>
              <w:rPr>
                <w:rFonts w:ascii="宋体" w:hAnsi="宋体" w:eastAsia="宋体"/>
                <w:sz w:val="16"/>
              </w:rPr>
              <w:t>阿克陶县图书馆</w:t>
            </w:r>
          </w:p>
        </w:tc>
      </w:tr>
      <w:tr w14:paraId="08BC42D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7A81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8826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1CA1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C80F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0001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7460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1EC5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935D5">
            <w:pPr>
              <w:jc w:val="center"/>
            </w:pPr>
            <w:r>
              <w:rPr>
                <w:rFonts w:ascii="宋体" w:hAnsi="宋体" w:eastAsia="宋体"/>
                <w:sz w:val="16"/>
              </w:rPr>
              <w:t>得分</w:t>
            </w:r>
          </w:p>
        </w:tc>
      </w:tr>
      <w:tr w14:paraId="022784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0C9D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9AED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75408">
            <w:pPr>
              <w:jc w:val="center"/>
            </w:pPr>
            <w:r>
              <w:rPr>
                <w:rFonts w:ascii="宋体" w:hAnsi="宋体" w:eastAsia="宋体"/>
                <w:sz w:val="16"/>
              </w:rPr>
              <w:t>134.44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10074">
            <w:pPr>
              <w:jc w:val="center"/>
            </w:pPr>
            <w:r>
              <w:rPr>
                <w:rFonts w:ascii="宋体" w:hAnsi="宋体" w:eastAsia="宋体"/>
                <w:sz w:val="16"/>
              </w:rPr>
              <w:t>153.52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BB625">
            <w:pPr>
              <w:jc w:val="center"/>
            </w:pPr>
            <w:r>
              <w:rPr>
                <w:rFonts w:ascii="宋体" w:hAnsi="宋体" w:eastAsia="宋体"/>
                <w:sz w:val="16"/>
              </w:rPr>
              <w:t>153.52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7CEA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A7EA6">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B33F0">
            <w:pPr>
              <w:jc w:val="center"/>
            </w:pPr>
            <w:r>
              <w:rPr>
                <w:rFonts w:ascii="宋体" w:hAnsi="宋体" w:eastAsia="宋体"/>
                <w:sz w:val="16"/>
              </w:rPr>
              <w:t>10</w:t>
            </w:r>
          </w:p>
        </w:tc>
      </w:tr>
      <w:tr w14:paraId="0A2830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D72DD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EBAE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1F58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19370">
            <w:pPr>
              <w:jc w:val="center"/>
            </w:pPr>
            <w:r>
              <w:rPr>
                <w:rFonts w:ascii="宋体" w:hAnsi="宋体" w:eastAsia="宋体"/>
                <w:sz w:val="16"/>
              </w:rPr>
              <w:t>20.00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5306B">
            <w:pPr>
              <w:jc w:val="center"/>
            </w:pPr>
            <w:r>
              <w:rPr>
                <w:rFonts w:ascii="宋体" w:hAnsi="宋体" w:eastAsia="宋体"/>
                <w:sz w:val="16"/>
              </w:rPr>
              <w:t>20.00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5C7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11CE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8AAA8">
            <w:pPr>
              <w:jc w:val="center"/>
            </w:pPr>
            <w:r>
              <w:rPr>
                <w:rFonts w:ascii="宋体" w:hAnsi="宋体" w:eastAsia="宋体"/>
                <w:sz w:val="16"/>
              </w:rPr>
              <w:t>—</w:t>
            </w:r>
          </w:p>
        </w:tc>
      </w:tr>
      <w:tr w14:paraId="653B7C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6E81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5716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70714">
            <w:pPr>
              <w:jc w:val="center"/>
            </w:pPr>
            <w:r>
              <w:rPr>
                <w:rFonts w:ascii="宋体" w:hAnsi="宋体" w:eastAsia="宋体"/>
                <w:sz w:val="16"/>
              </w:rPr>
              <w:t>134.44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8C4EC">
            <w:pPr>
              <w:jc w:val="center"/>
            </w:pPr>
            <w:r>
              <w:rPr>
                <w:rFonts w:ascii="宋体" w:hAnsi="宋体" w:eastAsia="宋体"/>
                <w:sz w:val="16"/>
              </w:rPr>
              <w:t>133.52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E80D7">
            <w:pPr>
              <w:jc w:val="center"/>
            </w:pPr>
            <w:r>
              <w:rPr>
                <w:rFonts w:ascii="宋体" w:hAnsi="宋体" w:eastAsia="宋体"/>
                <w:sz w:val="16"/>
              </w:rPr>
              <w:t>133.52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DF2B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D6B8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D18A2">
            <w:pPr>
              <w:jc w:val="center"/>
            </w:pPr>
            <w:r>
              <w:rPr>
                <w:rFonts w:ascii="宋体" w:hAnsi="宋体" w:eastAsia="宋体"/>
                <w:sz w:val="16"/>
              </w:rPr>
              <w:t>—</w:t>
            </w:r>
          </w:p>
        </w:tc>
      </w:tr>
      <w:tr w14:paraId="374062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988D7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E913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7B1E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B744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BB6B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9C0A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6D21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D3FDE">
            <w:pPr>
              <w:jc w:val="center"/>
            </w:pPr>
            <w:r>
              <w:rPr>
                <w:rFonts w:ascii="宋体" w:hAnsi="宋体" w:eastAsia="宋体"/>
                <w:sz w:val="16"/>
              </w:rPr>
              <w:t>—</w:t>
            </w:r>
          </w:p>
        </w:tc>
      </w:tr>
      <w:tr w14:paraId="764FF74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9245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71056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795BDB">
            <w:pPr>
              <w:jc w:val="center"/>
            </w:pPr>
            <w:r>
              <w:rPr>
                <w:rFonts w:ascii="宋体" w:hAnsi="宋体" w:eastAsia="宋体"/>
                <w:sz w:val="16"/>
              </w:rPr>
              <w:t>实际完成情况</w:t>
            </w:r>
          </w:p>
        </w:tc>
      </w:tr>
      <w:tr w14:paraId="5767F3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55807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3434AA">
            <w:pPr>
              <w:jc w:val="both"/>
            </w:pPr>
            <w:r>
              <w:rPr>
                <w:rFonts w:ascii="宋体" w:hAnsi="宋体" w:eastAsia="宋体"/>
                <w:sz w:val="16"/>
              </w:rPr>
              <w:t>确保在职人员的工资、津贴、补贴、社保、医保、公积金以及离退休人员的工资、医疗费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D4E5F8">
            <w:pPr>
              <w:jc w:val="both"/>
            </w:pPr>
            <w:r>
              <w:rPr>
                <w:rFonts w:ascii="宋体" w:hAnsi="宋体" w:eastAsia="宋体"/>
                <w:sz w:val="16"/>
              </w:rPr>
              <w:t>在职人员的工资、津贴、补贴、社保、医保、公积金以及离退休人员的工资、医疗费等人员保障性经费能够依规、按时、足额均已按时发放或缴纳，提升部门人员工作积极性和服务质量；保障部门日常运转，为部门正常履职和开展综合性事务管理提供有效支撑，冬季取暖费、车辆维护费等公用保障性经费按照财政安排和相关工作要求及时支出。</w:t>
            </w:r>
          </w:p>
        </w:tc>
      </w:tr>
      <w:tr w14:paraId="4743FDC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0A62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F0E6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85B9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4D98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0976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90F0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60E9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F980E">
            <w:pPr>
              <w:jc w:val="center"/>
            </w:pPr>
            <w:r>
              <w:rPr>
                <w:rFonts w:ascii="宋体" w:hAnsi="宋体" w:eastAsia="宋体"/>
                <w:sz w:val="16"/>
              </w:rPr>
              <w:t>得分</w:t>
            </w:r>
          </w:p>
        </w:tc>
      </w:tr>
      <w:tr w14:paraId="272431F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0F976">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143D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A9CA1">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685D3">
            <w:pPr>
              <w:jc w:val="center"/>
            </w:pPr>
            <w:r>
              <w:rPr>
                <w:rFonts w:ascii="宋体" w:hAnsi="宋体" w:eastAsia="宋体"/>
                <w:sz w:val="16"/>
              </w:rPr>
              <w:t>&gt;=6人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F7534">
            <w:pPr>
              <w:jc w:val="center"/>
            </w:pPr>
            <w:r>
              <w:rPr>
                <w:rFonts w:ascii="宋体" w:hAnsi="宋体" w:eastAsia="宋体"/>
                <w:sz w:val="16"/>
              </w:rPr>
              <w:t>上年度末工资册汇总表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1AE7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D7517">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C427A">
            <w:pPr>
              <w:jc w:val="center"/>
            </w:pPr>
            <w:r>
              <w:rPr>
                <w:rFonts w:ascii="宋体" w:hAnsi="宋体" w:eastAsia="宋体"/>
                <w:sz w:val="16"/>
              </w:rPr>
              <w:t>6.67</w:t>
            </w:r>
          </w:p>
        </w:tc>
      </w:tr>
      <w:tr w14:paraId="380316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8E895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669D2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D6F92">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B7012">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500F4">
            <w:pPr>
              <w:jc w:val="center"/>
            </w:pPr>
            <w:r>
              <w:rPr>
                <w:rFonts w:ascii="宋体" w:hAnsi="宋体" w:eastAsia="宋体"/>
                <w:sz w:val="16"/>
              </w:rPr>
              <w:t>上年度11月工资单汇总表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595B4">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2C4E9">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E61FF">
            <w:pPr>
              <w:jc w:val="center"/>
            </w:pPr>
            <w:r>
              <w:rPr>
                <w:rFonts w:ascii="宋体" w:hAnsi="宋体" w:eastAsia="宋体"/>
                <w:sz w:val="16"/>
              </w:rPr>
              <w:t>6</w:t>
            </w:r>
          </w:p>
        </w:tc>
      </w:tr>
      <w:tr w14:paraId="619954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2B67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8CB7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4EE4F">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D9194">
            <w:pPr>
              <w:jc w:val="center"/>
            </w:pPr>
            <w:r>
              <w:rPr>
                <w:rFonts w:ascii="宋体" w:hAnsi="宋体" w:eastAsia="宋体"/>
                <w:sz w:val="16"/>
              </w:rPr>
              <w:t>&lt;=134.44万元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6D4A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07BA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FA1BB">
            <w:pPr>
              <w:jc w:val="center"/>
            </w:pPr>
            <w:r>
              <w:rPr>
                <w:rFonts w:ascii="宋体" w:hAnsi="宋体" w:eastAsia="宋体"/>
                <w:sz w:val="16"/>
              </w:rPr>
              <w:t>128.79万元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1B93E">
            <w:pPr>
              <w:jc w:val="center"/>
            </w:pPr>
            <w:r>
              <w:rPr>
                <w:rFonts w:ascii="宋体" w:hAnsi="宋体" w:eastAsia="宋体"/>
                <w:sz w:val="16"/>
              </w:rPr>
              <w:t>9.58</w:t>
            </w:r>
          </w:p>
        </w:tc>
      </w:tr>
      <w:tr w14:paraId="45DFCD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216C0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CE484">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B3B82">
            <w:pPr>
              <w:jc w:val="center"/>
            </w:pPr>
            <w:r>
              <w:rPr>
                <w:rFonts w:ascii="宋体" w:hAnsi="宋体" w:eastAsia="宋体"/>
                <w:sz w:val="16"/>
              </w:rPr>
              <w:t>公用经费控制数（万元）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1D33E">
            <w:pPr>
              <w:jc w:val="center"/>
            </w:pPr>
            <w:r>
              <w:rPr>
                <w:rFonts w:ascii="宋体" w:hAnsi="宋体" w:eastAsia="宋体"/>
                <w:sz w:val="16"/>
              </w:rPr>
              <w:t>&lt;=3.18万元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CE3E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FCB5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47ED0">
            <w:pPr>
              <w:jc w:val="center"/>
            </w:pPr>
            <w:r>
              <w:rPr>
                <w:rFonts w:ascii="宋体" w:hAnsi="宋体" w:eastAsia="宋体"/>
                <w:sz w:val="16"/>
              </w:rPr>
              <w:t>1.40万元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CE0C2">
            <w:pPr>
              <w:jc w:val="center"/>
            </w:pPr>
            <w:r>
              <w:rPr>
                <w:rFonts w:ascii="宋体" w:hAnsi="宋体" w:eastAsia="宋体"/>
                <w:sz w:val="16"/>
              </w:rPr>
              <w:t>4.4</w:t>
            </w:r>
          </w:p>
        </w:tc>
      </w:tr>
      <w:tr w14:paraId="282527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2D82D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13B2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A675E">
            <w:pPr>
              <w:jc w:val="center"/>
            </w:pPr>
            <w:r>
              <w:rPr>
                <w:rFonts w:ascii="宋体" w:hAnsi="宋体" w:eastAsia="宋体"/>
                <w:sz w:val="16"/>
              </w:rPr>
              <w:t>年初项目预算经费控制数（万元）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A0638">
            <w:pPr>
              <w:jc w:val="center"/>
            </w:pPr>
            <w:r>
              <w:rPr>
                <w:rFonts w:ascii="宋体" w:hAnsi="宋体" w:eastAsia="宋体"/>
                <w:sz w:val="16"/>
              </w:rPr>
              <w:t>&lt;=2万元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2A774">
            <w:pPr>
              <w:jc w:val="center"/>
            </w:pPr>
            <w:r>
              <w:rPr>
                <w:rFonts w:ascii="宋体" w:hAnsi="宋体" w:eastAsia="宋体"/>
                <w:sz w:val="16"/>
              </w:rPr>
              <w:t>地方财政部门要求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920F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72D50">
            <w:pPr>
              <w:jc w:val="center"/>
            </w:pPr>
            <w:r>
              <w:rPr>
                <w:rFonts w:ascii="宋体" w:hAnsi="宋体" w:eastAsia="宋体"/>
                <w:sz w:val="16"/>
              </w:rPr>
              <w:t>0.12万元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EEE6D">
            <w:pPr>
              <w:jc w:val="center"/>
            </w:pPr>
            <w:r>
              <w:rPr>
                <w:rFonts w:ascii="宋体" w:hAnsi="宋体" w:eastAsia="宋体"/>
                <w:sz w:val="16"/>
              </w:rPr>
              <w:t>0</w:t>
            </w:r>
          </w:p>
        </w:tc>
      </w:tr>
      <w:tr w14:paraId="793D2E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1EC87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FBB8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7C027">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A95C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12AF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8184E">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767E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993E3">
            <w:pPr>
              <w:jc w:val="center"/>
            </w:pPr>
            <w:r>
              <w:rPr>
                <w:rFonts w:ascii="宋体" w:hAnsi="宋体" w:eastAsia="宋体"/>
                <w:sz w:val="16"/>
              </w:rPr>
              <w:t>7</w:t>
            </w:r>
          </w:p>
        </w:tc>
      </w:tr>
      <w:tr w14:paraId="4627765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A29E1">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6B57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95D70">
            <w:pPr>
              <w:jc w:val="center"/>
            </w:pPr>
            <w:r>
              <w:rPr>
                <w:rFonts w:ascii="宋体" w:hAnsi="宋体" w:eastAsia="宋体"/>
                <w:sz w:val="16"/>
              </w:rPr>
              <w:t>开展朗诵、读书日等系列活动（场次）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4009B">
            <w:pPr>
              <w:jc w:val="center"/>
            </w:pPr>
            <w:r>
              <w:rPr>
                <w:rFonts w:ascii="宋体" w:hAnsi="宋体" w:eastAsia="宋体"/>
                <w:sz w:val="16"/>
              </w:rPr>
              <w:t>&gt;=20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3616D">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79FB3">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295FC">
            <w:pPr>
              <w:jc w:val="center"/>
            </w:pPr>
            <w:r>
              <w:rPr>
                <w:rFonts w:ascii="宋体" w:hAnsi="宋体" w:eastAsia="宋体"/>
                <w:sz w:val="16"/>
              </w:rPr>
              <w:t>20场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FE4C2">
            <w:pPr>
              <w:jc w:val="center"/>
            </w:pPr>
            <w:r>
              <w:rPr>
                <w:rFonts w:ascii="宋体" w:hAnsi="宋体" w:eastAsia="宋体"/>
                <w:sz w:val="16"/>
              </w:rPr>
              <w:t>7</w:t>
            </w:r>
          </w:p>
        </w:tc>
      </w:tr>
      <w:tr w14:paraId="6924119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8CBC5">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9382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28C02">
            <w:pPr>
              <w:jc w:val="center"/>
            </w:pPr>
            <w:r>
              <w:rPr>
                <w:rFonts w:ascii="宋体" w:hAnsi="宋体" w:eastAsia="宋体"/>
                <w:sz w:val="16"/>
              </w:rPr>
              <w:t>征订报刊杂志数量（批/年）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0A3F6">
            <w:pPr>
              <w:jc w:val="center"/>
            </w:pPr>
            <w:r>
              <w:rPr>
                <w:rFonts w:ascii="宋体" w:hAnsi="宋体" w:eastAsia="宋体"/>
                <w:sz w:val="16"/>
              </w:rPr>
              <w:t>&gt;=1批/年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D4A0B">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00E15">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C5EE4">
            <w:pPr>
              <w:jc w:val="center"/>
            </w:pPr>
            <w:r>
              <w:rPr>
                <w:rFonts w:ascii="宋体" w:hAnsi="宋体" w:eastAsia="宋体"/>
                <w:sz w:val="16"/>
              </w:rPr>
              <w:t>1批/年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9A1ED">
            <w:pPr>
              <w:jc w:val="center"/>
            </w:pPr>
            <w:r>
              <w:rPr>
                <w:rFonts w:ascii="宋体" w:hAnsi="宋体" w:eastAsia="宋体"/>
                <w:sz w:val="16"/>
              </w:rPr>
              <w:t>7</w:t>
            </w:r>
          </w:p>
        </w:tc>
      </w:tr>
      <w:tr w14:paraId="67DDA0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58ED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E721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88B68">
            <w:pPr>
              <w:jc w:val="center"/>
            </w:pPr>
            <w:r>
              <w:rPr>
                <w:rFonts w:ascii="宋体" w:hAnsi="宋体" w:eastAsia="宋体"/>
                <w:sz w:val="16"/>
              </w:rPr>
              <w:t>征订报刊杂志合格率（%）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9D2F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D459B">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45E54">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E882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64740">
            <w:pPr>
              <w:jc w:val="center"/>
            </w:pPr>
            <w:r>
              <w:rPr>
                <w:rFonts w:ascii="宋体" w:hAnsi="宋体" w:eastAsia="宋体"/>
                <w:sz w:val="16"/>
              </w:rPr>
              <w:t>7</w:t>
            </w:r>
          </w:p>
        </w:tc>
      </w:tr>
      <w:tr w14:paraId="7F3B152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9B3AD">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6707E">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7F6E5">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EDAF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5FC95">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AB024">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488B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43C52">
            <w:pPr>
              <w:jc w:val="center"/>
            </w:pPr>
            <w:r>
              <w:rPr>
                <w:rFonts w:ascii="宋体" w:hAnsi="宋体" w:eastAsia="宋体"/>
                <w:sz w:val="16"/>
              </w:rPr>
              <w:t>7</w:t>
            </w:r>
          </w:p>
        </w:tc>
      </w:tr>
      <w:tr w14:paraId="50BABDA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4D608">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5AEA8">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2389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BD4D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28A7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AA91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0FEDD">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6B6A9">
            <w:pPr>
              <w:jc w:val="center"/>
            </w:pPr>
            <w:r>
              <w:rPr>
                <w:rFonts w:ascii="宋体" w:hAnsi="宋体" w:eastAsia="宋体"/>
                <w:sz w:val="16"/>
              </w:rPr>
              <w:t>5</w:t>
            </w:r>
          </w:p>
        </w:tc>
      </w:tr>
      <w:tr w14:paraId="414EF6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51C1E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3E62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6197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BEF9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1DA8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87B6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49D25">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9BBB9">
            <w:pPr>
              <w:jc w:val="center"/>
            </w:pPr>
            <w:r>
              <w:rPr>
                <w:rFonts w:ascii="宋体" w:hAnsi="宋体" w:eastAsia="宋体"/>
                <w:sz w:val="16"/>
              </w:rPr>
              <w:t>5</w:t>
            </w:r>
          </w:p>
        </w:tc>
      </w:tr>
    </w:tbl>
    <w:p w14:paraId="3BE13C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18856D9">
        <w:tblPrEx>
          <w:tblCellMar>
            <w:top w:w="0" w:type="dxa"/>
            <w:left w:w="108" w:type="dxa"/>
            <w:bottom w:w="0" w:type="dxa"/>
            <w:right w:w="108" w:type="dxa"/>
          </w:tblCellMar>
        </w:tblPrEx>
        <w:tc>
          <w:tcPr>
            <w:tcW w:w="8848" w:type="dxa"/>
            <w:gridSpan w:val="14"/>
            <w:vAlign w:val="center"/>
          </w:tcPr>
          <w:p w14:paraId="3AD73722">
            <w:pPr>
              <w:jc w:val="center"/>
            </w:pPr>
            <w:r>
              <w:rPr>
                <w:rFonts w:ascii="宋体" w:hAnsi="宋体" w:eastAsia="宋体"/>
                <w:sz w:val="24"/>
              </w:rPr>
              <w:t>项目支出绩效自评表</w:t>
            </w:r>
          </w:p>
        </w:tc>
      </w:tr>
      <w:tr w14:paraId="6143D743">
        <w:tblPrEx>
          <w:tblCellMar>
            <w:top w:w="0" w:type="dxa"/>
            <w:left w:w="108" w:type="dxa"/>
            <w:bottom w:w="0" w:type="dxa"/>
            <w:right w:w="108" w:type="dxa"/>
          </w:tblCellMar>
        </w:tblPrEx>
        <w:tc>
          <w:tcPr>
            <w:tcW w:w="8848" w:type="dxa"/>
            <w:gridSpan w:val="14"/>
            <w:vAlign w:val="center"/>
          </w:tcPr>
          <w:p w14:paraId="7B611409">
            <w:pPr>
              <w:jc w:val="center"/>
            </w:pPr>
            <w:r>
              <w:rPr>
                <w:rFonts w:ascii="宋体" w:hAnsi="宋体" w:eastAsia="宋体"/>
                <w:sz w:val="24"/>
              </w:rPr>
              <w:t>(2024年度)</w:t>
            </w:r>
          </w:p>
        </w:tc>
      </w:tr>
      <w:tr w14:paraId="34FEA1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4F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E22840">
            <w:pPr>
              <w:jc w:val="center"/>
            </w:pPr>
            <w:r>
              <w:rPr>
                <w:rFonts w:ascii="宋体" w:hAnsi="宋体" w:eastAsia="宋体"/>
                <w:sz w:val="16"/>
              </w:rPr>
              <w:t>2024年征订报刊杂志</w:t>
            </w:r>
          </w:p>
        </w:tc>
      </w:tr>
      <w:tr w14:paraId="35C42157">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8C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93896">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8E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57EE85">
            <w:pPr>
              <w:jc w:val="center"/>
            </w:pPr>
            <w:r>
              <w:rPr>
                <w:rFonts w:ascii="宋体" w:hAnsi="宋体" w:eastAsia="宋体"/>
                <w:sz w:val="16"/>
              </w:rPr>
              <w:t>阿克陶县图书馆</w:t>
            </w:r>
          </w:p>
        </w:tc>
      </w:tr>
      <w:tr w14:paraId="2AF9FC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5F30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F77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0E0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F13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735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62D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9D3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1474">
            <w:pPr>
              <w:jc w:val="center"/>
            </w:pPr>
            <w:r>
              <w:rPr>
                <w:rFonts w:ascii="宋体" w:hAnsi="宋体" w:eastAsia="宋体"/>
                <w:sz w:val="16"/>
              </w:rPr>
              <w:t>得分</w:t>
            </w:r>
          </w:p>
        </w:tc>
      </w:tr>
      <w:tr w14:paraId="559A4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FD2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8D8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B428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E44D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EA08F">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2AC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EA290">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2D67">
            <w:pPr>
              <w:jc w:val="center"/>
            </w:pPr>
            <w:r>
              <w:rPr>
                <w:rFonts w:ascii="宋体" w:hAnsi="宋体" w:eastAsia="宋体"/>
                <w:sz w:val="16"/>
              </w:rPr>
              <w:t>0.00分</w:t>
            </w:r>
          </w:p>
        </w:tc>
      </w:tr>
      <w:tr w14:paraId="031904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217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D70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F994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2EF6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FE562">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216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84D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368D">
            <w:pPr>
              <w:jc w:val="center"/>
            </w:pPr>
            <w:r>
              <w:rPr>
                <w:rFonts w:ascii="宋体" w:hAnsi="宋体" w:eastAsia="宋体"/>
                <w:sz w:val="16"/>
              </w:rPr>
              <w:t>—</w:t>
            </w:r>
          </w:p>
        </w:tc>
      </w:tr>
      <w:tr w14:paraId="39B268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24E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8D7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639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93E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03B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5D8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3C5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1762">
            <w:pPr>
              <w:jc w:val="center"/>
            </w:pPr>
            <w:r>
              <w:rPr>
                <w:rFonts w:ascii="宋体" w:hAnsi="宋体" w:eastAsia="宋体"/>
                <w:sz w:val="16"/>
              </w:rPr>
              <w:t>—</w:t>
            </w:r>
          </w:p>
        </w:tc>
      </w:tr>
      <w:tr w14:paraId="453E2C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64D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3E95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C834EC">
            <w:pPr>
              <w:jc w:val="center"/>
            </w:pPr>
            <w:r>
              <w:rPr>
                <w:rFonts w:ascii="宋体" w:hAnsi="宋体" w:eastAsia="宋体"/>
                <w:sz w:val="16"/>
              </w:rPr>
              <w:t>实际完成情况</w:t>
            </w:r>
          </w:p>
        </w:tc>
      </w:tr>
      <w:tr w14:paraId="44A33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81E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7B925">
            <w:pPr>
              <w:jc w:val="both"/>
            </w:pPr>
            <w:r>
              <w:rPr>
                <w:rFonts w:ascii="宋体" w:hAnsi="宋体" w:eastAsia="宋体"/>
                <w:sz w:val="16"/>
              </w:rPr>
              <w:t>此项目资金用于本年度至少征订1批党建、求是、中国青年、文摘周报、中国剪报、新疆法制报、</w:t>
            </w:r>
            <w:r>
              <w:rPr>
                <w:rFonts w:hint="eastAsia" w:ascii="宋体" w:hAnsi="宋体"/>
                <w:sz w:val="16"/>
                <w:lang w:eastAsia="zh-CN"/>
              </w:rPr>
              <w:t>《中国新闻周刊》</w:t>
            </w:r>
            <w:r>
              <w:rPr>
                <w:rFonts w:ascii="宋体" w:hAnsi="宋体" w:eastAsia="宋体"/>
                <w:sz w:val="16"/>
              </w:rPr>
              <w:t>等145种报刊杂志，通过该项目最大限度地满足和丰富各族群众读报、看报、查阅资料的需求。 保障单位工作正常顺利进行，改善办公条件。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F29134">
            <w:pPr>
              <w:jc w:val="both"/>
            </w:pPr>
            <w:r>
              <w:rPr>
                <w:rFonts w:ascii="宋体" w:hAnsi="宋体" w:eastAsia="宋体"/>
                <w:sz w:val="16"/>
              </w:rPr>
              <w:br w:type="textWrapping"/>
            </w:r>
            <w:r>
              <w:rPr>
                <w:rFonts w:ascii="宋体" w:hAnsi="宋体" w:eastAsia="宋体"/>
                <w:sz w:val="16"/>
              </w:rPr>
              <w:t>此项目资金用于本年度至少征订1批党建、求是、中国青年、文摘周报、中国剪报、新疆法制报、</w:t>
            </w:r>
            <w:r>
              <w:rPr>
                <w:rFonts w:hint="eastAsia" w:ascii="宋体" w:hAnsi="宋体"/>
                <w:sz w:val="16"/>
                <w:lang w:eastAsia="zh-CN"/>
              </w:rPr>
              <w:t>《中国新闻周刊》</w:t>
            </w:r>
            <w:r>
              <w:rPr>
                <w:rFonts w:ascii="宋体" w:hAnsi="宋体" w:eastAsia="宋体"/>
                <w:sz w:val="16"/>
              </w:rPr>
              <w:t>等145种报刊杂志，通过该项目最大限度地满足和丰富各族群众读报、看报、查阅资料的需求。 保障了单位工作正常顺利进行，改善了办公条件</w:t>
            </w:r>
          </w:p>
        </w:tc>
      </w:tr>
      <w:tr w14:paraId="53FFE3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B4D5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66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71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59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FC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AF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B8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B8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C27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C2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F5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0DA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C061B">
            <w:pPr>
              <w:jc w:val="center"/>
            </w:pPr>
            <w:r>
              <w:rPr>
                <w:rFonts w:ascii="宋体" w:hAnsi="宋体" w:eastAsia="宋体"/>
                <w:sz w:val="16"/>
              </w:rPr>
              <w:t>偏差原因分析及改进措施</w:t>
            </w:r>
          </w:p>
        </w:tc>
      </w:tr>
      <w:tr w14:paraId="070F10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F1C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ECD6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89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51A2">
            <w:pPr>
              <w:jc w:val="center"/>
            </w:pPr>
            <w:r>
              <w:rPr>
                <w:rFonts w:ascii="宋体" w:hAnsi="宋体" w:eastAsia="宋体"/>
                <w:sz w:val="16"/>
              </w:rPr>
              <w:t>征订报刊杂志数量（批/年）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A937">
            <w:pPr>
              <w:jc w:val="center"/>
            </w:pPr>
            <w:r>
              <w:rPr>
                <w:rFonts w:ascii="宋体" w:hAnsi="宋体" w:eastAsia="宋体"/>
                <w:sz w:val="16"/>
              </w:rPr>
              <w:t>&gt;=1批/年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65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9A3F">
            <w:pPr>
              <w:jc w:val="center"/>
            </w:pPr>
            <w:r>
              <w:rPr>
                <w:rFonts w:ascii="宋体" w:hAnsi="宋体" w:eastAsia="宋体"/>
                <w:sz w:val="16"/>
              </w:rPr>
              <w:t>=1批/年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79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46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96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8B01">
            <w:pPr>
              <w:jc w:val="center"/>
            </w:pPr>
            <w:r>
              <w:rPr>
                <w:rFonts w:ascii="宋体" w:hAnsi="宋体" w:eastAsia="宋体"/>
                <w:sz w:val="16"/>
              </w:rPr>
              <w:t>=1批/年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64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A218F">
            <w:pPr>
              <w:jc w:val="center"/>
            </w:pPr>
          </w:p>
        </w:tc>
      </w:tr>
      <w:tr w14:paraId="4EA487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C8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290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F61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9D15">
            <w:pPr>
              <w:jc w:val="center"/>
            </w:pPr>
            <w:r>
              <w:rPr>
                <w:rFonts w:ascii="宋体" w:hAnsi="宋体" w:eastAsia="宋体"/>
                <w:sz w:val="16"/>
              </w:rPr>
              <w:t>征订报刊杂志购置率（%）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66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1A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7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59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FF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29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B0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64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9F65F">
            <w:pPr>
              <w:jc w:val="center"/>
            </w:pPr>
          </w:p>
        </w:tc>
      </w:tr>
      <w:tr w14:paraId="7B5DA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A02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08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545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A940">
            <w:pPr>
              <w:jc w:val="center"/>
            </w:pPr>
            <w:r>
              <w:rPr>
                <w:rFonts w:ascii="宋体" w:hAnsi="宋体" w:eastAsia="宋体"/>
                <w:sz w:val="16"/>
              </w:rPr>
              <w:t>征订报刊杂志合格率（%）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80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BF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2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82D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C6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78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7D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86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83C29">
            <w:pPr>
              <w:jc w:val="center"/>
            </w:pPr>
          </w:p>
        </w:tc>
      </w:tr>
      <w:tr w14:paraId="2F430B7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67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638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E9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6FD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CC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8C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8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08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F3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CC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E3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2F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F86ED">
            <w:pPr>
              <w:jc w:val="center"/>
            </w:pPr>
          </w:p>
        </w:tc>
      </w:tr>
      <w:tr w14:paraId="4CA5C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C7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D47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17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0D85">
            <w:pPr>
              <w:jc w:val="center"/>
            </w:pPr>
            <w:r>
              <w:rPr>
                <w:rFonts w:ascii="宋体" w:hAnsi="宋体" w:eastAsia="宋体"/>
                <w:sz w:val="16"/>
              </w:rPr>
              <w:t>征订报刊杂志支出（万元）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EA7B">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0D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4BE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9A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73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00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6618">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75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71ECF">
            <w:pPr>
              <w:jc w:val="center"/>
            </w:pPr>
            <w:r>
              <w:rPr>
                <w:rFonts w:ascii="宋体" w:hAnsi="宋体" w:eastAsia="宋体"/>
                <w:sz w:val="16"/>
              </w:rPr>
              <w:t>2024年本项目年初规划时，财政预算已将2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4FA2A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919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6E86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F58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BB51">
            <w:pPr>
              <w:jc w:val="center"/>
            </w:pPr>
            <w:r>
              <w:rPr>
                <w:rFonts w:ascii="宋体" w:hAnsi="宋体" w:eastAsia="宋体"/>
                <w:sz w:val="16"/>
              </w:rPr>
              <w:t>提升职工工作积极性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175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D8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F43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93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F5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2F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7E3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28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C5C80">
            <w:pPr>
              <w:jc w:val="center"/>
            </w:pPr>
          </w:p>
        </w:tc>
      </w:tr>
      <w:tr w14:paraId="6419CA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AEF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87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014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48E6">
            <w:pPr>
              <w:jc w:val="center"/>
            </w:pPr>
            <w:r>
              <w:rPr>
                <w:rFonts w:ascii="宋体" w:hAnsi="宋体" w:eastAsia="宋体"/>
                <w:sz w:val="16"/>
              </w:rPr>
              <w:t>业务保障能力提升情况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16B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7C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15C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FA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A9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85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9BC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70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B7F95">
            <w:pPr>
              <w:jc w:val="center"/>
            </w:pPr>
          </w:p>
        </w:tc>
      </w:tr>
      <w:tr w14:paraId="36280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EB4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53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AB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2655">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5B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1D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D89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E0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19E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5B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8E6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6D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FB8FB">
            <w:pPr>
              <w:jc w:val="center"/>
            </w:pPr>
          </w:p>
        </w:tc>
      </w:tr>
      <w:tr w14:paraId="4A21E6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6A86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AA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2F1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997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DC5C82"/>
        </w:tc>
      </w:tr>
    </w:tbl>
    <w:p w14:paraId="06D2C685">
      <w:r>
        <w:br w:type="page"/>
      </w:r>
    </w:p>
    <w:p w14:paraId="1F518855">
      <w:pPr>
        <w:spacing w:line="640" w:lineRule="exact"/>
        <w:ind w:firstLine="640"/>
        <w:jc w:val="both"/>
        <w:outlineLvl w:val="2"/>
      </w:pPr>
      <w:r>
        <w:rPr>
          <w:rFonts w:ascii="黑体" w:hAnsi="黑体" w:eastAsia="黑体"/>
          <w:sz w:val="32"/>
        </w:rPr>
        <w:t>十二、其他需说明的事项</w:t>
      </w:r>
    </w:p>
    <w:p w14:paraId="6301BC95">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DCA010A">
      <w:r>
        <w:br w:type="page"/>
      </w:r>
    </w:p>
    <w:p w14:paraId="1CD34190">
      <w:pPr>
        <w:spacing w:line="240" w:lineRule="auto"/>
        <w:jc w:val="center"/>
        <w:outlineLvl w:val="1"/>
      </w:pPr>
      <w:r>
        <w:rPr>
          <w:rFonts w:ascii="黑体" w:hAnsi="黑体" w:eastAsia="黑体"/>
          <w:sz w:val="32"/>
        </w:rPr>
        <w:t>第三部分 专业名词解释</w:t>
      </w:r>
    </w:p>
    <w:p w14:paraId="5986B68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B0C7DD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173A51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E1F1D2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03EA70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EF2B55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B3D46D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CD72E5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B13E9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C8CF93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090A7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2277BF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2FF9F1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0BD66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4839105">
      <w:r>
        <w:br w:type="page"/>
      </w:r>
    </w:p>
    <w:p w14:paraId="46080E82">
      <w:pPr>
        <w:spacing w:line="240" w:lineRule="auto"/>
        <w:jc w:val="center"/>
        <w:outlineLvl w:val="1"/>
      </w:pPr>
      <w:r>
        <w:rPr>
          <w:rFonts w:ascii="黑体" w:hAnsi="黑体" w:eastAsia="黑体"/>
          <w:sz w:val="32"/>
        </w:rPr>
        <w:t>第四部分 部门决算报表（见附表）</w:t>
      </w:r>
    </w:p>
    <w:p w14:paraId="6727A27C">
      <w:pPr>
        <w:spacing w:line="240" w:lineRule="auto"/>
        <w:ind w:firstLine="640"/>
        <w:jc w:val="both"/>
      </w:pPr>
      <w:r>
        <w:rPr>
          <w:rFonts w:ascii="仿宋_GB2312" w:hAnsi="仿宋_GB2312" w:eastAsia="仿宋_GB2312"/>
          <w:b w:val="0"/>
          <w:sz w:val="32"/>
        </w:rPr>
        <w:t>一、《收入支出决算总表》</w:t>
      </w:r>
    </w:p>
    <w:p w14:paraId="0B71A833">
      <w:pPr>
        <w:spacing w:line="240" w:lineRule="auto"/>
        <w:ind w:firstLine="640"/>
        <w:jc w:val="both"/>
      </w:pPr>
      <w:r>
        <w:rPr>
          <w:rFonts w:ascii="仿宋_GB2312" w:hAnsi="仿宋_GB2312" w:eastAsia="仿宋_GB2312"/>
          <w:b w:val="0"/>
          <w:sz w:val="32"/>
        </w:rPr>
        <w:t>二、《收入决算表》</w:t>
      </w:r>
    </w:p>
    <w:p w14:paraId="51A34F30">
      <w:pPr>
        <w:spacing w:line="240" w:lineRule="auto"/>
        <w:ind w:firstLine="640"/>
        <w:jc w:val="both"/>
      </w:pPr>
      <w:r>
        <w:rPr>
          <w:rFonts w:ascii="仿宋_GB2312" w:hAnsi="仿宋_GB2312" w:eastAsia="仿宋_GB2312"/>
          <w:b w:val="0"/>
          <w:sz w:val="32"/>
        </w:rPr>
        <w:t>三、《支出决算表》</w:t>
      </w:r>
    </w:p>
    <w:p w14:paraId="48FB5920">
      <w:pPr>
        <w:spacing w:line="240" w:lineRule="auto"/>
        <w:ind w:firstLine="640"/>
        <w:jc w:val="both"/>
      </w:pPr>
      <w:r>
        <w:rPr>
          <w:rFonts w:ascii="仿宋_GB2312" w:hAnsi="仿宋_GB2312" w:eastAsia="仿宋_GB2312"/>
          <w:b w:val="0"/>
          <w:sz w:val="32"/>
        </w:rPr>
        <w:t>四、《财政拨款收入支出决算总表》</w:t>
      </w:r>
    </w:p>
    <w:p w14:paraId="7AB134B3">
      <w:pPr>
        <w:spacing w:line="240" w:lineRule="auto"/>
        <w:ind w:firstLine="640"/>
        <w:jc w:val="both"/>
      </w:pPr>
      <w:r>
        <w:rPr>
          <w:rFonts w:ascii="仿宋_GB2312" w:hAnsi="仿宋_GB2312" w:eastAsia="仿宋_GB2312"/>
          <w:b w:val="0"/>
          <w:sz w:val="32"/>
        </w:rPr>
        <w:t>五、《一般公共预算财政拨款支出决算表》</w:t>
      </w:r>
    </w:p>
    <w:p w14:paraId="175D2069">
      <w:pPr>
        <w:spacing w:line="240" w:lineRule="auto"/>
        <w:ind w:firstLine="640"/>
        <w:jc w:val="both"/>
      </w:pPr>
      <w:r>
        <w:rPr>
          <w:rFonts w:ascii="仿宋_GB2312" w:hAnsi="仿宋_GB2312" w:eastAsia="仿宋_GB2312"/>
          <w:b w:val="0"/>
          <w:sz w:val="32"/>
        </w:rPr>
        <w:t>六、《一般公共预算财政拨款基本支出决算表》</w:t>
      </w:r>
    </w:p>
    <w:p w14:paraId="62E268D5">
      <w:pPr>
        <w:spacing w:line="240" w:lineRule="auto"/>
        <w:ind w:firstLine="640"/>
        <w:jc w:val="both"/>
      </w:pPr>
      <w:r>
        <w:rPr>
          <w:rFonts w:ascii="仿宋_GB2312" w:hAnsi="仿宋_GB2312" w:eastAsia="仿宋_GB2312"/>
          <w:b w:val="0"/>
          <w:sz w:val="32"/>
        </w:rPr>
        <w:t>七、《政府性基金预算财政拨款收入支出决算表》</w:t>
      </w:r>
    </w:p>
    <w:p w14:paraId="47ADEC00">
      <w:pPr>
        <w:spacing w:line="240" w:lineRule="auto"/>
        <w:ind w:firstLine="640"/>
        <w:jc w:val="both"/>
      </w:pPr>
      <w:r>
        <w:rPr>
          <w:rFonts w:ascii="仿宋_GB2312" w:hAnsi="仿宋_GB2312" w:eastAsia="仿宋_GB2312"/>
          <w:b w:val="0"/>
          <w:sz w:val="32"/>
        </w:rPr>
        <w:t>八、《国有资本经营预算财政拨款收入支出决算表》</w:t>
      </w:r>
    </w:p>
    <w:p w14:paraId="21282E4F">
      <w:pPr>
        <w:spacing w:line="240" w:lineRule="auto"/>
        <w:ind w:firstLine="640"/>
        <w:jc w:val="both"/>
      </w:pPr>
      <w:r>
        <w:rPr>
          <w:rFonts w:ascii="仿宋_GB2312" w:hAnsi="仿宋_GB2312" w:eastAsia="仿宋_GB2312"/>
          <w:b w:val="0"/>
          <w:sz w:val="32"/>
        </w:rPr>
        <w:t>九、《财政拨款“三公”经费支出决算表》</w:t>
      </w:r>
    </w:p>
    <w:p w14:paraId="599B02CD">
      <w:pPr>
        <w:spacing w:line="240" w:lineRule="auto"/>
        <w:ind w:firstLine="640"/>
        <w:jc w:val="both"/>
      </w:pPr>
    </w:p>
    <w:p w14:paraId="27E6F296">
      <w:pPr>
        <w:spacing w:line="240" w:lineRule="auto"/>
        <w:ind w:firstLine="640"/>
        <w:jc w:val="both"/>
      </w:pPr>
    </w:p>
    <w:p w14:paraId="7241024E">
      <w:pPr>
        <w:spacing w:line="240" w:lineRule="auto"/>
        <w:ind w:firstLine="640"/>
        <w:jc w:val="both"/>
      </w:pPr>
    </w:p>
    <w:p w14:paraId="656B91D9">
      <w:pPr>
        <w:spacing w:line="240" w:lineRule="auto"/>
        <w:ind w:firstLine="640"/>
        <w:jc w:val="both"/>
      </w:pPr>
    </w:p>
    <w:p w14:paraId="2B25C787">
      <w:pPr>
        <w:spacing w:line="240" w:lineRule="auto"/>
        <w:ind w:firstLine="640"/>
        <w:jc w:val="both"/>
      </w:pPr>
      <w:bookmarkStart w:id="0" w:name="_GoBack"/>
      <w:bookmarkEnd w:id="0"/>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02283"/>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A56DAF"/>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790114"/>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5449</Words>
  <Characters>6193</Characters>
  <Lines>0</Lines>
  <Paragraphs>0</Paragraphs>
  <TotalTime>5</TotalTime>
  <ScaleCrop>false</ScaleCrop>
  <LinksUpToDate>false</LinksUpToDate>
  <CharactersWithSpaces>6201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