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新疆阿克陶县文化馆2024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769A5B2">
      <w:r>
        <w:br w:type="page"/>
      </w:r>
    </w:p>
    <w:p w14:paraId="0034C12C">
      <w:pPr>
        <w:spacing w:line="640" w:lineRule="exact"/>
        <w:jc w:val="center"/>
        <w:outlineLvl w:val="1"/>
      </w:pPr>
      <w:r>
        <w:rPr>
          <w:rFonts w:ascii="黑体" w:hAnsi="黑体" w:eastAsia="黑体"/>
          <w:sz w:val="32"/>
        </w:rPr>
        <w:t>第一部分 单位概况</w:t>
      </w:r>
    </w:p>
    <w:p w14:paraId="34849A44">
      <w:pPr>
        <w:spacing w:line="640" w:lineRule="exact"/>
        <w:ind w:firstLine="640"/>
        <w:jc w:val="both"/>
        <w:outlineLvl w:val="2"/>
      </w:pPr>
      <w:r>
        <w:rPr>
          <w:rFonts w:ascii="黑体" w:hAnsi="黑体" w:eastAsia="黑体"/>
          <w:sz w:val="32"/>
        </w:rPr>
        <w:t>一、主要职能</w:t>
      </w:r>
    </w:p>
    <w:p w14:paraId="5C937A72">
      <w:pPr>
        <w:spacing w:line="580" w:lineRule="exact"/>
        <w:ind w:firstLine="640"/>
        <w:jc w:val="both"/>
      </w:pPr>
      <w:r>
        <w:rPr>
          <w:rFonts w:ascii="仿宋_GB2312" w:hAnsi="仿宋_GB2312" w:eastAsia="仿宋_GB2312"/>
          <w:sz w:val="32"/>
        </w:rPr>
        <w:t>（1）在县委、县政府、县政府及上级有关阿克陶县文化馆的指导下，认真贯彻党和政府的各项方针、政策、法律、法规，严格按照“读者第一，服务至上”的宗旨，认真开展各项工作。</w:t>
      </w:r>
    </w:p>
    <w:p w14:paraId="4ABCDDA2">
      <w:pPr>
        <w:spacing w:line="580" w:lineRule="exact"/>
        <w:ind w:firstLine="640"/>
        <w:jc w:val="both"/>
      </w:pPr>
      <w:r>
        <w:rPr>
          <w:rFonts w:ascii="仿宋_GB2312" w:hAnsi="仿宋_GB2312" w:eastAsia="仿宋_GB2312"/>
          <w:sz w:val="32"/>
        </w:rPr>
        <w:t>（2）运用各类文艺形式，进行政治理论等方面的宣传教育；组织开展各类群众文化，科技讲座，生活知识讲座，艺术讲</w:t>
      </w:r>
      <w:r>
        <w:rPr>
          <w:rFonts w:hint="eastAsia" w:ascii="仿宋_GB2312" w:hAnsi="仿宋_GB2312" w:eastAsia="仿宋_GB2312"/>
          <w:sz w:val="32"/>
          <w:lang w:eastAsia="zh-CN"/>
        </w:rPr>
        <w:t>座和</w:t>
      </w:r>
      <w:r>
        <w:rPr>
          <w:rFonts w:ascii="仿宋_GB2312" w:hAnsi="仿宋_GB2312" w:eastAsia="仿宋_GB2312"/>
          <w:sz w:val="32"/>
        </w:rPr>
        <w:t>各种展览等群众艺术、娱乐活动，满足群众求知、求乐、求美的需求。</w:t>
      </w:r>
    </w:p>
    <w:p w14:paraId="78EA6451">
      <w:pPr>
        <w:spacing w:line="580" w:lineRule="exact"/>
        <w:ind w:firstLine="640"/>
        <w:jc w:val="both"/>
      </w:pPr>
      <w:r>
        <w:rPr>
          <w:rFonts w:ascii="仿宋_GB2312" w:hAnsi="仿宋_GB2312" w:eastAsia="仿宋_GB2312"/>
          <w:sz w:val="32"/>
        </w:rPr>
        <w:t>（3）指导乡、镇、企业、机关、学校等业余群众文化活动；指导乡镇文化站业务工作，辅导群众文化系统在职干部及业余文艺骨干，为国家培养人才，逐步引导群众文化走向高层次。</w:t>
      </w:r>
    </w:p>
    <w:p w14:paraId="30498E47">
      <w:pPr>
        <w:spacing w:line="580" w:lineRule="exact"/>
        <w:ind w:firstLine="640"/>
        <w:jc w:val="both"/>
      </w:pPr>
      <w:r>
        <w:rPr>
          <w:rFonts w:ascii="仿宋_GB2312" w:hAnsi="仿宋_GB2312" w:eastAsia="仿宋_GB2312"/>
          <w:sz w:val="32"/>
        </w:rPr>
        <w:t>（4）组织、辅导和研究群众文艺创作，开展群众文艺创作活动。搜集整理保护非物质文化遗产，建立健全文化艺术档案。经济发展文化产业，完成上级领导交办的各项任务。</w:t>
      </w:r>
    </w:p>
    <w:p w14:paraId="214C1448">
      <w:pPr>
        <w:spacing w:line="640" w:lineRule="exact"/>
        <w:ind w:firstLine="640"/>
        <w:jc w:val="both"/>
        <w:outlineLvl w:val="2"/>
      </w:pPr>
      <w:r>
        <w:rPr>
          <w:rFonts w:ascii="黑体" w:hAnsi="黑体" w:eastAsia="黑体"/>
          <w:sz w:val="32"/>
        </w:rPr>
        <w:t>二、机构设置及人员情况</w:t>
      </w:r>
    </w:p>
    <w:p w14:paraId="251ED287">
      <w:pPr>
        <w:spacing w:line="580" w:lineRule="exact"/>
        <w:ind w:firstLine="640"/>
        <w:jc w:val="both"/>
      </w:pPr>
      <w:r>
        <w:rPr>
          <w:rFonts w:ascii="仿宋_GB2312" w:hAnsi="仿宋_GB2312" w:eastAsia="仿宋_GB2312"/>
          <w:sz w:val="32"/>
        </w:rPr>
        <w:t>新疆阿克陶县文化馆2024年度，实有人数29人，其中：在职人员8人，减少1人；离休人员0人，增加0人；退休人员21人,增加0人。</w:t>
      </w:r>
    </w:p>
    <w:p w14:paraId="3801048F">
      <w:pPr>
        <w:spacing w:line="580" w:lineRule="exact"/>
        <w:ind w:firstLine="640"/>
        <w:jc w:val="both"/>
      </w:pPr>
      <w:r>
        <w:rPr>
          <w:rFonts w:ascii="仿宋_GB2312" w:hAnsi="仿宋_GB2312" w:eastAsia="仿宋_GB2312"/>
          <w:sz w:val="32"/>
        </w:rPr>
        <w:t>新疆阿克陶县文化馆无下属预算单位，下设1个科室，分别是：办公室。</w:t>
      </w:r>
    </w:p>
    <w:p w14:paraId="389A72CC">
      <w:r>
        <w:br w:type="page"/>
      </w:r>
    </w:p>
    <w:p w14:paraId="6E813F62">
      <w:pPr>
        <w:spacing w:line="240" w:lineRule="auto"/>
        <w:jc w:val="center"/>
        <w:outlineLvl w:val="1"/>
      </w:pPr>
      <w:r>
        <w:rPr>
          <w:rFonts w:ascii="黑体" w:hAnsi="黑体" w:eastAsia="黑体"/>
          <w:sz w:val="32"/>
        </w:rPr>
        <w:t>第二部分 部门决算情况说明</w:t>
      </w:r>
    </w:p>
    <w:p w14:paraId="381F4C81">
      <w:pPr>
        <w:spacing w:line="640" w:lineRule="exact"/>
        <w:ind w:firstLine="640"/>
        <w:jc w:val="both"/>
        <w:outlineLvl w:val="2"/>
      </w:pPr>
      <w:r>
        <w:rPr>
          <w:rFonts w:ascii="黑体" w:hAnsi="黑体" w:eastAsia="黑体"/>
          <w:sz w:val="32"/>
        </w:rPr>
        <w:t>一、收入支出决算总体情况说明</w:t>
      </w:r>
    </w:p>
    <w:p w14:paraId="471949E4">
      <w:pPr>
        <w:spacing w:line="580" w:lineRule="exact"/>
        <w:ind w:firstLine="640"/>
        <w:jc w:val="both"/>
      </w:pPr>
      <w:r>
        <w:rPr>
          <w:rFonts w:ascii="仿宋_GB2312" w:hAnsi="仿宋_GB2312" w:eastAsia="仿宋_GB2312"/>
          <w:b/>
          <w:sz w:val="32"/>
        </w:rPr>
        <w:t>2024年度收入总计291.94万元，</w:t>
      </w:r>
      <w:r>
        <w:rPr>
          <w:rFonts w:ascii="仿宋_GB2312" w:hAnsi="仿宋_GB2312" w:eastAsia="仿宋_GB2312"/>
          <w:b w:val="0"/>
          <w:sz w:val="32"/>
        </w:rPr>
        <w:t>其中：本年收入合计291.94万元，使用非财政拨款结余（含专用结余）0.00万元，年初结转和结余0.00万元。</w:t>
      </w:r>
    </w:p>
    <w:p w14:paraId="698BD2DA">
      <w:pPr>
        <w:spacing w:line="580" w:lineRule="exact"/>
        <w:ind w:firstLine="640"/>
        <w:jc w:val="both"/>
      </w:pPr>
      <w:r>
        <w:rPr>
          <w:rFonts w:ascii="仿宋_GB2312" w:hAnsi="仿宋_GB2312" w:eastAsia="仿宋_GB2312"/>
          <w:b/>
          <w:sz w:val="32"/>
        </w:rPr>
        <w:t>2024年度支出总计291.94万元，</w:t>
      </w:r>
      <w:r>
        <w:rPr>
          <w:rFonts w:ascii="仿宋_GB2312" w:hAnsi="仿宋_GB2312" w:eastAsia="仿宋_GB2312"/>
          <w:b w:val="0"/>
          <w:sz w:val="32"/>
        </w:rPr>
        <w:t>其中：本年支出合计291.94万元，结余分配0.00万元，年末结转和结余0.00万元。</w:t>
      </w:r>
    </w:p>
    <w:p w14:paraId="4A6BAF97">
      <w:pPr>
        <w:spacing w:line="580" w:lineRule="exact"/>
        <w:ind w:firstLine="640"/>
        <w:jc w:val="both"/>
      </w:pPr>
      <w:r>
        <w:rPr>
          <w:rFonts w:ascii="仿宋_GB2312" w:hAnsi="仿宋_GB2312" w:eastAsia="仿宋_GB2312"/>
          <w:b w:val="0"/>
          <w:sz w:val="32"/>
        </w:rPr>
        <w:t>收入支出总体与上年相比，增加30.09万元，增长11.49%，主要原因是：本年文化馆增加“三馆一站”免费开放活动项目经费、国家非物质文化遗产保护专项预算第二批资金项目、自治区野外文物保护单位看护人员专项补助经费项目，相关</w:t>
      </w:r>
      <w:r>
        <w:rPr>
          <w:rFonts w:hint="eastAsia" w:ascii="仿宋_GB2312" w:hAnsi="仿宋_GB2312" w:eastAsia="仿宋_GB2312"/>
          <w:b w:val="0"/>
          <w:sz w:val="32"/>
          <w:lang w:val="en-US" w:eastAsia="zh-CN"/>
        </w:rPr>
        <w:t>收入</w:t>
      </w:r>
      <w:r>
        <w:rPr>
          <w:rFonts w:ascii="仿宋_GB2312" w:hAnsi="仿宋_GB2312" w:eastAsia="仿宋_GB2312"/>
          <w:b w:val="0"/>
          <w:sz w:val="32"/>
        </w:rPr>
        <w:t>支出增加。</w:t>
      </w:r>
    </w:p>
    <w:p w14:paraId="70686E0F">
      <w:pPr>
        <w:spacing w:line="640" w:lineRule="exact"/>
        <w:ind w:firstLine="640"/>
        <w:jc w:val="both"/>
        <w:outlineLvl w:val="2"/>
      </w:pPr>
      <w:r>
        <w:rPr>
          <w:rFonts w:ascii="黑体" w:hAnsi="黑体" w:eastAsia="黑体"/>
          <w:sz w:val="32"/>
        </w:rPr>
        <w:t>二、收入决算情况说明</w:t>
      </w:r>
    </w:p>
    <w:p w14:paraId="78505184">
      <w:pPr>
        <w:spacing w:line="580" w:lineRule="exact"/>
        <w:ind w:firstLine="640"/>
        <w:jc w:val="both"/>
      </w:pPr>
      <w:r>
        <w:rPr>
          <w:rFonts w:ascii="仿宋_GB2312" w:hAnsi="仿宋_GB2312" w:eastAsia="仿宋_GB2312"/>
          <w:b/>
          <w:sz w:val="32"/>
        </w:rPr>
        <w:t>本年收入291.94万元，</w:t>
      </w:r>
      <w:r>
        <w:rPr>
          <w:rFonts w:ascii="仿宋_GB2312" w:hAnsi="仿宋_GB2312" w:eastAsia="仿宋_GB2312"/>
          <w:b w:val="0"/>
          <w:sz w:val="32"/>
        </w:rPr>
        <w:t>其中：财政拨款收入289.44万元，占99.14%；上级补助收入0.00万元，占0.00%；事业收入0.00万元，占0.00%；经营收入0.00万元，占0.00%；附属单位上缴收入0.00万元，占0.00%；其他收入2.50万元，占0.86%。</w:t>
      </w:r>
    </w:p>
    <w:p w14:paraId="5D73DB22">
      <w:pPr>
        <w:spacing w:line="640" w:lineRule="exact"/>
        <w:ind w:firstLine="640"/>
        <w:jc w:val="both"/>
        <w:outlineLvl w:val="2"/>
      </w:pPr>
      <w:r>
        <w:rPr>
          <w:rFonts w:ascii="黑体" w:hAnsi="黑体" w:eastAsia="黑体"/>
          <w:sz w:val="32"/>
        </w:rPr>
        <w:t>三、支出决算情况说明</w:t>
      </w:r>
    </w:p>
    <w:p w14:paraId="7A4A0EFE">
      <w:pPr>
        <w:spacing w:line="580" w:lineRule="exact"/>
        <w:ind w:firstLine="640"/>
        <w:jc w:val="both"/>
      </w:pPr>
      <w:r>
        <w:rPr>
          <w:rFonts w:ascii="仿宋_GB2312" w:hAnsi="仿宋_GB2312" w:eastAsia="仿宋_GB2312"/>
          <w:b/>
          <w:sz w:val="32"/>
        </w:rPr>
        <w:t>本年支出291.94万元，</w:t>
      </w:r>
      <w:r>
        <w:rPr>
          <w:rFonts w:ascii="仿宋_GB2312" w:hAnsi="仿宋_GB2312" w:eastAsia="仿宋_GB2312"/>
          <w:b w:val="0"/>
          <w:sz w:val="32"/>
        </w:rPr>
        <w:t>其中：基本支出215.10万元，占73.68%；项目支出76.83万元，占26.32%；上缴上级支出0.00万元，占0.00%；经营支出0.00万元，占0.00%；对附属单位补助支出0.00万元，占0.00%。</w:t>
      </w:r>
    </w:p>
    <w:p w14:paraId="67C7EE03">
      <w:pPr>
        <w:spacing w:line="640" w:lineRule="exact"/>
        <w:ind w:firstLine="640"/>
        <w:jc w:val="both"/>
        <w:outlineLvl w:val="2"/>
      </w:pPr>
      <w:r>
        <w:rPr>
          <w:rFonts w:ascii="黑体" w:hAnsi="黑体" w:eastAsia="黑体"/>
          <w:sz w:val="32"/>
        </w:rPr>
        <w:t>四、财政拨款收入支出决算总体情况说明</w:t>
      </w:r>
    </w:p>
    <w:p w14:paraId="7F6AF738">
      <w:pPr>
        <w:spacing w:line="580" w:lineRule="exact"/>
        <w:ind w:firstLine="640"/>
        <w:jc w:val="both"/>
      </w:pPr>
      <w:r>
        <w:rPr>
          <w:rFonts w:ascii="仿宋_GB2312" w:hAnsi="仿宋_GB2312" w:eastAsia="仿宋_GB2312"/>
          <w:b/>
          <w:sz w:val="32"/>
        </w:rPr>
        <w:t>2024年度财政拨款收入总计289.44万元，</w:t>
      </w:r>
      <w:r>
        <w:rPr>
          <w:rFonts w:ascii="仿宋_GB2312" w:hAnsi="仿宋_GB2312" w:eastAsia="仿宋_GB2312"/>
          <w:b w:val="0"/>
          <w:sz w:val="32"/>
        </w:rPr>
        <w:t>其中：年初财政拨款结转和结余0.00万元，本年财政拨款收入289.44万元。</w:t>
      </w:r>
      <w:r>
        <w:rPr>
          <w:rFonts w:ascii="仿宋_GB2312" w:hAnsi="仿宋_GB2312" w:eastAsia="仿宋_GB2312"/>
          <w:b/>
          <w:sz w:val="32"/>
        </w:rPr>
        <w:t>财政拨款支出总计289.44万元，</w:t>
      </w:r>
      <w:r>
        <w:rPr>
          <w:rFonts w:ascii="仿宋_GB2312" w:hAnsi="仿宋_GB2312" w:eastAsia="仿宋_GB2312"/>
          <w:b w:val="0"/>
          <w:sz w:val="32"/>
        </w:rPr>
        <w:t>其中：年末财政拨款结转和结余0.00万元，本年财政拨款支出289.44万元。</w:t>
      </w:r>
    </w:p>
    <w:p w14:paraId="33DA6CAC">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增加27.59万元，增长10.54%，主要原因是：本年文化馆增加“三馆一站”免费开放活动项目经费、国家非物质文化遗产保护专项预算第二批资金项目、自治区野外文物保护单位看护人员专项补助经费项目，相关</w:t>
      </w:r>
      <w:r>
        <w:rPr>
          <w:rFonts w:hint="eastAsia" w:ascii="仿宋_GB2312" w:hAnsi="仿宋_GB2312" w:eastAsia="仿宋_GB2312"/>
          <w:b w:val="0"/>
          <w:sz w:val="32"/>
          <w:lang w:val="en-US" w:eastAsia="zh-CN"/>
        </w:rPr>
        <w:t>收入</w:t>
      </w:r>
      <w:r>
        <w:rPr>
          <w:rFonts w:ascii="仿宋_GB2312" w:hAnsi="仿宋_GB2312" w:eastAsia="仿宋_GB2312"/>
          <w:b w:val="0"/>
          <w:sz w:val="32"/>
        </w:rPr>
        <w:t>支出增加。</w:t>
      </w:r>
      <w:r>
        <w:rPr>
          <w:rFonts w:ascii="仿宋_GB2312" w:hAnsi="仿宋_GB2312" w:eastAsia="仿宋_GB2312"/>
          <w:b/>
          <w:sz w:val="32"/>
        </w:rPr>
        <w:t>与年初预算相比，</w:t>
      </w:r>
      <w:r>
        <w:rPr>
          <w:rFonts w:ascii="仿宋_GB2312" w:hAnsi="仿宋_GB2312" w:eastAsia="仿宋_GB2312"/>
          <w:b w:val="0"/>
          <w:sz w:val="32"/>
        </w:rPr>
        <w:t>年初预算数269.14万元，决算数289.44万元，预决算差异率7.54%，主要原因是：年中追加人员工资调增部分；年中追加“三馆一站”免费开放活动项目经费。</w:t>
      </w:r>
    </w:p>
    <w:p w14:paraId="76FD5C64">
      <w:pPr>
        <w:spacing w:line="640" w:lineRule="exact"/>
        <w:ind w:firstLine="640"/>
        <w:jc w:val="both"/>
        <w:outlineLvl w:val="2"/>
      </w:pPr>
      <w:r>
        <w:rPr>
          <w:rFonts w:ascii="黑体" w:hAnsi="黑体" w:eastAsia="黑体"/>
          <w:sz w:val="32"/>
        </w:rPr>
        <w:t>五、一般公共预算财政拨款支出决算情况说明</w:t>
      </w:r>
    </w:p>
    <w:p w14:paraId="3CB9C724">
      <w:pPr>
        <w:spacing w:line="640" w:lineRule="exact"/>
        <w:ind w:firstLine="640"/>
        <w:jc w:val="both"/>
        <w:outlineLvl w:val="3"/>
      </w:pPr>
      <w:r>
        <w:rPr>
          <w:rFonts w:ascii="楷体_GB2312" w:hAnsi="楷体_GB2312" w:eastAsia="楷体_GB2312"/>
          <w:b/>
          <w:sz w:val="32"/>
        </w:rPr>
        <w:t>（一）一般公共预算财政拨款支出决算总体情况</w:t>
      </w:r>
    </w:p>
    <w:p w14:paraId="48D12D99">
      <w:pPr>
        <w:spacing w:line="580" w:lineRule="exact"/>
        <w:ind w:firstLine="640"/>
        <w:jc w:val="both"/>
      </w:pPr>
      <w:r>
        <w:rPr>
          <w:rFonts w:ascii="仿宋_GB2312" w:hAnsi="仿宋_GB2312" w:eastAsia="仿宋_GB2312"/>
          <w:b/>
          <w:sz w:val="32"/>
        </w:rPr>
        <w:t>2024年度一般公共预算财政拨款支出289.44万元，</w:t>
      </w:r>
      <w:r>
        <w:rPr>
          <w:rFonts w:ascii="仿宋_GB2312" w:hAnsi="仿宋_GB2312" w:eastAsia="仿宋_GB2312"/>
          <w:b w:val="0"/>
          <w:sz w:val="32"/>
        </w:rPr>
        <w:t>占本年支出合计的99.14%。</w:t>
      </w:r>
      <w:r>
        <w:rPr>
          <w:rFonts w:ascii="仿宋_GB2312" w:hAnsi="仿宋_GB2312" w:eastAsia="仿宋_GB2312"/>
          <w:b/>
          <w:sz w:val="32"/>
        </w:rPr>
        <w:t>与上年相比，</w:t>
      </w:r>
      <w:r>
        <w:rPr>
          <w:rFonts w:ascii="仿宋_GB2312" w:hAnsi="仿宋_GB2312" w:eastAsia="仿宋_GB2312"/>
          <w:b w:val="0"/>
          <w:sz w:val="32"/>
        </w:rPr>
        <w:t>增加27.59万元，增长10.54%，主要原因是：本年文化馆增加“三馆一站”免费开放活动项目经费、国家非物质文化遗产保护专项预算第二批资金项目、自治区野外文物保护单位看护人员专项补助经费项目，相关支出增加。</w:t>
      </w:r>
      <w:r>
        <w:rPr>
          <w:rFonts w:ascii="仿宋_GB2312" w:hAnsi="仿宋_GB2312" w:eastAsia="仿宋_GB2312"/>
          <w:b/>
          <w:sz w:val="32"/>
        </w:rPr>
        <w:t>与年初预算相比,</w:t>
      </w:r>
      <w:r>
        <w:rPr>
          <w:rFonts w:ascii="仿宋_GB2312" w:hAnsi="仿宋_GB2312" w:eastAsia="仿宋_GB2312"/>
          <w:b w:val="0"/>
          <w:sz w:val="32"/>
        </w:rPr>
        <w:t>年初预算数269.14万元，决算数289.44万元，预决算差异率7.54%，主要原因是：年中追加人员工资调增部分；年中追加“三馆一站”免费开放活动项目经费。</w:t>
      </w:r>
    </w:p>
    <w:p w14:paraId="4ECA417D">
      <w:pPr>
        <w:spacing w:line="640" w:lineRule="exact"/>
        <w:ind w:firstLine="640"/>
        <w:jc w:val="both"/>
        <w:outlineLvl w:val="3"/>
      </w:pPr>
      <w:r>
        <w:rPr>
          <w:rFonts w:ascii="楷体_GB2312" w:hAnsi="楷体_GB2312" w:eastAsia="楷体_GB2312"/>
          <w:b/>
          <w:sz w:val="32"/>
        </w:rPr>
        <w:t>（二）一般公共预算财政拨款支出决算结构情况</w:t>
      </w:r>
    </w:p>
    <w:p w14:paraId="4088A4C4">
      <w:pPr>
        <w:spacing w:line="580" w:lineRule="exact"/>
        <w:ind w:firstLine="640"/>
        <w:jc w:val="both"/>
      </w:pPr>
      <w:r>
        <w:rPr>
          <w:rFonts w:ascii="仿宋_GB2312" w:hAnsi="仿宋_GB2312" w:eastAsia="仿宋_GB2312"/>
          <w:b w:val="0"/>
          <w:sz w:val="32"/>
        </w:rPr>
        <w:t>1.文化旅游体育与传媒支出(类)204.97万元,占70.82%。</w:t>
      </w:r>
    </w:p>
    <w:p w14:paraId="695C364A">
      <w:pPr>
        <w:spacing w:line="580" w:lineRule="exact"/>
        <w:ind w:firstLine="640"/>
        <w:jc w:val="both"/>
      </w:pPr>
      <w:r>
        <w:rPr>
          <w:rFonts w:ascii="仿宋_GB2312" w:hAnsi="仿宋_GB2312" w:eastAsia="仿宋_GB2312"/>
          <w:b w:val="0"/>
          <w:sz w:val="32"/>
        </w:rPr>
        <w:t>2.社会保障和就业支出(类)64.27万元,占22.20%。</w:t>
      </w:r>
    </w:p>
    <w:p w14:paraId="548F9DC3">
      <w:pPr>
        <w:spacing w:line="580" w:lineRule="exact"/>
        <w:ind w:firstLine="640"/>
        <w:jc w:val="both"/>
      </w:pPr>
      <w:r>
        <w:rPr>
          <w:rFonts w:ascii="仿宋_GB2312" w:hAnsi="仿宋_GB2312" w:eastAsia="仿宋_GB2312"/>
          <w:b w:val="0"/>
          <w:sz w:val="32"/>
        </w:rPr>
        <w:t>3.卫生健康支出(类)6.27万元,占2.17%。</w:t>
      </w:r>
    </w:p>
    <w:p w14:paraId="569C922E">
      <w:pPr>
        <w:spacing w:line="580" w:lineRule="exact"/>
        <w:ind w:firstLine="640"/>
        <w:jc w:val="both"/>
      </w:pPr>
      <w:r>
        <w:rPr>
          <w:rFonts w:ascii="仿宋_GB2312" w:hAnsi="仿宋_GB2312" w:eastAsia="仿宋_GB2312"/>
          <w:b w:val="0"/>
          <w:sz w:val="32"/>
        </w:rPr>
        <w:t>4.住房保障支出(类)13.93万元,占4.81%。</w:t>
      </w:r>
    </w:p>
    <w:p w14:paraId="40A8B2AA">
      <w:pPr>
        <w:spacing w:line="640" w:lineRule="exact"/>
        <w:ind w:firstLine="640"/>
        <w:jc w:val="both"/>
        <w:outlineLvl w:val="3"/>
      </w:pPr>
      <w:r>
        <w:rPr>
          <w:rFonts w:ascii="楷体_GB2312" w:hAnsi="楷体_GB2312" w:eastAsia="楷体_GB2312"/>
          <w:b/>
          <w:sz w:val="32"/>
        </w:rPr>
        <w:t>（三）一般公共预算财政拨款支出决算具体情况</w:t>
      </w:r>
    </w:p>
    <w:p w14:paraId="4FDF6F16">
      <w:pPr>
        <w:spacing w:line="580" w:lineRule="exact"/>
        <w:ind w:firstLine="640"/>
        <w:jc w:val="both"/>
      </w:pPr>
      <w:r>
        <w:rPr>
          <w:rFonts w:ascii="仿宋_GB2312" w:hAnsi="仿宋_GB2312" w:eastAsia="仿宋_GB2312"/>
          <w:b w:val="0"/>
          <w:sz w:val="32"/>
        </w:rPr>
        <w:t>1.文化旅游体育与传媒支出(类)文化和旅游(款)行政运行(项):支出决算数为0.00万元，比上年决算减少8.00万元，下降100.00%,主要原因是：本年功能科目调整，人员经费上年度在行政运行科目列支，本年调整至群众文化科目列支，导致经费较上年减少。</w:t>
      </w:r>
    </w:p>
    <w:p w14:paraId="570F3C9C">
      <w:pPr>
        <w:spacing w:line="580" w:lineRule="exact"/>
        <w:ind w:firstLine="640"/>
        <w:jc w:val="both"/>
      </w:pPr>
      <w:r>
        <w:rPr>
          <w:rFonts w:ascii="仿宋_GB2312" w:hAnsi="仿宋_GB2312" w:eastAsia="仿宋_GB2312"/>
          <w:b w:val="0"/>
          <w:sz w:val="32"/>
        </w:rPr>
        <w:t>2.文化旅游体育与传媒支出(类)文化和旅游(款)群众文化(项):支出决算数为132.23万元，比上年决算减少39.85万元，下降23.16%,主要原因是：本年在职人员减少，导致相关人员经费减少。</w:t>
      </w:r>
    </w:p>
    <w:p w14:paraId="79ED4136">
      <w:pPr>
        <w:spacing w:line="580" w:lineRule="exact"/>
        <w:ind w:firstLine="640"/>
        <w:jc w:val="both"/>
      </w:pPr>
      <w:r>
        <w:rPr>
          <w:rFonts w:ascii="仿宋_GB2312" w:hAnsi="仿宋_GB2312" w:eastAsia="仿宋_GB2312"/>
          <w:b w:val="0"/>
          <w:sz w:val="32"/>
        </w:rPr>
        <w:t>3.文化旅游体育与传媒支出(类)文化和旅游(款)文化创作与保护(项):支出决算数为18.46万元，比上年决算增加14.36万元，增长350.24%,主要原因是：本年增加国家非物质文化遗产保护专项预算第二批资金项目。</w:t>
      </w:r>
    </w:p>
    <w:p w14:paraId="4EE6D74F">
      <w:pPr>
        <w:spacing w:line="580" w:lineRule="exact"/>
        <w:ind w:firstLine="640"/>
        <w:jc w:val="both"/>
      </w:pPr>
      <w:r>
        <w:rPr>
          <w:rFonts w:ascii="仿宋_GB2312" w:hAnsi="仿宋_GB2312" w:eastAsia="仿宋_GB2312"/>
          <w:b w:val="0"/>
          <w:sz w:val="32"/>
        </w:rPr>
        <w:t>4.文化旅游体育与传媒支出(类)文化和旅游(款)其他文化和旅游支出(项):支出决算数为44.68万元，比上年决算增加26.67万元，增长148.08%,主要原因是：本年度文化馆增加“三馆一站”免费开放活动项目经费，相关支出增加。</w:t>
      </w:r>
    </w:p>
    <w:p w14:paraId="5D11CF18">
      <w:pPr>
        <w:spacing w:line="580" w:lineRule="exact"/>
        <w:ind w:firstLine="640"/>
        <w:jc w:val="both"/>
      </w:pPr>
      <w:r>
        <w:rPr>
          <w:rFonts w:ascii="仿宋_GB2312" w:hAnsi="仿宋_GB2312" w:eastAsia="仿宋_GB2312"/>
          <w:b w:val="0"/>
          <w:sz w:val="32"/>
        </w:rPr>
        <w:t>5.文化旅游体育与传媒支出(类)文物(款)文物保护(项):支出决算数为9.60万元，比上年决算增加9.60万元，增长100.00%,主要原因是：本年度增加自治区野外文物保护单位看护人员专项补助经费项目。</w:t>
      </w:r>
    </w:p>
    <w:p w14:paraId="0FCC15DF">
      <w:pPr>
        <w:spacing w:line="580" w:lineRule="exact"/>
        <w:ind w:firstLine="640"/>
        <w:jc w:val="both"/>
      </w:pPr>
      <w:r>
        <w:rPr>
          <w:rFonts w:ascii="仿宋_GB2312" w:hAnsi="仿宋_GB2312" w:eastAsia="仿宋_GB2312"/>
          <w:b w:val="0"/>
          <w:sz w:val="32"/>
        </w:rPr>
        <w:t>6.社会保障和就业支出(类)行政事业单位养老支出(款)事业单位离退休(项):支出决算数为26.62万元，比上年决算增加4.44万元，增长20.02%,主要原因是：本年增加退休人员基础绩效奖，退休费支出增加。</w:t>
      </w:r>
    </w:p>
    <w:p w14:paraId="2B38E6E5">
      <w:pPr>
        <w:spacing w:line="580" w:lineRule="exact"/>
        <w:ind w:firstLine="640"/>
        <w:jc w:val="both"/>
      </w:pPr>
      <w:r>
        <w:rPr>
          <w:rFonts w:ascii="仿宋_GB2312" w:hAnsi="仿宋_GB2312" w:eastAsia="仿宋_GB2312"/>
          <w:b w:val="0"/>
          <w:sz w:val="32"/>
        </w:rPr>
        <w:t>7.社会保障和就业支出(类)行政事业单位养老支出(款)机关事业单位基本养老保险缴费支出(项):支出决算数为17.72万元，比上年决算增加0.51万元，增长2.96%,主要原因是：人员工资基数调增，养老缴费基数上涨，相应支出增加。</w:t>
      </w:r>
    </w:p>
    <w:p w14:paraId="10089260">
      <w:pPr>
        <w:spacing w:line="580" w:lineRule="exact"/>
        <w:ind w:firstLine="640"/>
        <w:jc w:val="both"/>
      </w:pPr>
      <w:r>
        <w:rPr>
          <w:rFonts w:ascii="仿宋_GB2312" w:hAnsi="仿宋_GB2312" w:eastAsia="仿宋_GB2312"/>
          <w:b w:val="0"/>
          <w:sz w:val="32"/>
        </w:rPr>
        <w:t>8.社会保障和就业支出(类)行政事业单位养老支出(款)机关事业单位职业年金缴费支出(项):支出决算数为8.36万元，比上年决算增加8.36万元，增长100.00%,主要原因是：本年新增退休人员，职业年金缴费支出增加。</w:t>
      </w:r>
    </w:p>
    <w:p w14:paraId="0111D1B7">
      <w:pPr>
        <w:spacing w:line="580" w:lineRule="exact"/>
        <w:ind w:firstLine="640"/>
        <w:jc w:val="both"/>
      </w:pPr>
      <w:r>
        <w:rPr>
          <w:rFonts w:ascii="仿宋_GB2312" w:hAnsi="仿宋_GB2312" w:eastAsia="仿宋_GB2312"/>
          <w:b w:val="0"/>
          <w:sz w:val="32"/>
        </w:rPr>
        <w:t>9.社会保障和就业支出(类)抚恤(款)死亡抚恤(项):支出决算数为11.57万元，比上年决算增加11.57万元，增长100.00%,主要原因是：本年新增</w:t>
      </w:r>
      <w:r>
        <w:rPr>
          <w:rFonts w:hint="eastAsia" w:ascii="仿宋_GB2312" w:hAnsi="仿宋_GB2312" w:eastAsia="仿宋_GB2312"/>
          <w:b w:val="0"/>
          <w:sz w:val="32"/>
          <w:lang w:val="en-US" w:eastAsia="zh-CN"/>
        </w:rPr>
        <w:t>退休人员去世</w:t>
      </w:r>
      <w:r>
        <w:rPr>
          <w:rFonts w:ascii="仿宋_GB2312" w:hAnsi="仿宋_GB2312" w:eastAsia="仿宋_GB2312"/>
          <w:b w:val="0"/>
          <w:sz w:val="32"/>
        </w:rPr>
        <w:t>，死亡抚恤支出增加。</w:t>
      </w:r>
    </w:p>
    <w:p w14:paraId="4C356650">
      <w:pPr>
        <w:spacing w:line="580" w:lineRule="exact"/>
        <w:ind w:firstLine="640"/>
        <w:jc w:val="both"/>
      </w:pPr>
      <w:r>
        <w:rPr>
          <w:rFonts w:ascii="仿宋_GB2312" w:hAnsi="仿宋_GB2312" w:eastAsia="仿宋_GB2312"/>
          <w:b w:val="0"/>
          <w:sz w:val="32"/>
        </w:rPr>
        <w:t>10.卫生健康支出(类)行政事业单位医疗(款)事业单位医疗(项):支出决算数为6.27万元，比上年决算减少0.05万元，下降0.79%,主要原因是：本年在职人员减少，事业单位医疗支出较上年减少。</w:t>
      </w:r>
    </w:p>
    <w:p w14:paraId="51B590E5">
      <w:pPr>
        <w:spacing w:line="580" w:lineRule="exact"/>
        <w:ind w:firstLine="640"/>
        <w:jc w:val="both"/>
      </w:pPr>
      <w:r>
        <w:rPr>
          <w:rFonts w:ascii="仿宋_GB2312" w:hAnsi="仿宋_GB2312" w:eastAsia="仿宋_GB2312"/>
          <w:b w:val="0"/>
          <w:sz w:val="32"/>
        </w:rPr>
        <w:t>11.住房保障支出(类)住房改革支出(款)住房公积金(项):支出决算数为13.93万元，比上年决算减少0.02万元，下降0.14%,主要原因是：本年在职人员减少，住房公积金缴费较上年减少。</w:t>
      </w:r>
    </w:p>
    <w:p w14:paraId="2529E7BE">
      <w:pPr>
        <w:spacing w:line="640" w:lineRule="exact"/>
        <w:ind w:firstLine="640"/>
        <w:jc w:val="both"/>
        <w:outlineLvl w:val="2"/>
      </w:pPr>
      <w:r>
        <w:rPr>
          <w:rFonts w:ascii="黑体" w:hAnsi="黑体" w:eastAsia="黑体"/>
          <w:sz w:val="32"/>
        </w:rPr>
        <w:t>六、一般公共预算财政拨款基本支出决算情况说明</w:t>
      </w:r>
    </w:p>
    <w:p w14:paraId="70E7DC9D">
      <w:pPr>
        <w:spacing w:line="580" w:lineRule="exact"/>
        <w:ind w:firstLine="640"/>
        <w:jc w:val="both"/>
      </w:pPr>
      <w:r>
        <w:rPr>
          <w:rFonts w:ascii="仿宋_GB2312" w:hAnsi="仿宋_GB2312" w:eastAsia="仿宋_GB2312"/>
          <w:b w:val="0"/>
          <w:sz w:val="32"/>
        </w:rPr>
        <w:t>2024年度一般公共预算财政拨款基本支出215.10万元，其中：</w:t>
      </w:r>
      <w:r>
        <w:rPr>
          <w:rFonts w:ascii="仿宋_GB2312" w:hAnsi="仿宋_GB2312" w:eastAsia="仿宋_GB2312"/>
          <w:b/>
          <w:sz w:val="32"/>
        </w:rPr>
        <w:t>人员经费213.85万元，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包括：基本工资、津贴补贴、奖金、机关事业单位基本养老保险缴费、职业年金缴费、职工基本医疗保险缴费、其他社会保障缴费、住房公积金、退休费、抚恤金、生活补助。</w:t>
      </w:r>
    </w:p>
    <w:p w14:paraId="168DF756">
      <w:pPr>
        <w:spacing w:line="580" w:lineRule="exact"/>
        <w:ind w:firstLine="640"/>
        <w:jc w:val="both"/>
      </w:pPr>
      <w:r>
        <w:rPr>
          <w:rFonts w:ascii="仿宋_GB2312" w:hAnsi="仿宋_GB2312" w:eastAsia="仿宋_GB2312"/>
          <w:b/>
          <w:sz w:val="32"/>
        </w:rPr>
        <w:t>公用经费1.26万元，</w:t>
      </w:r>
      <w:r>
        <w:rPr>
          <w:rFonts w:ascii="仿宋_GB2312" w:hAnsi="仿宋_GB2312" w:eastAsia="仿宋_GB2312"/>
          <w:b w:val="0"/>
          <w:sz w:val="32"/>
        </w:rPr>
        <w:t>包括：办公费。</w:t>
      </w:r>
    </w:p>
    <w:p w14:paraId="1FE2E932">
      <w:pPr>
        <w:spacing w:line="640" w:lineRule="exact"/>
        <w:ind w:firstLine="640"/>
        <w:jc w:val="both"/>
        <w:outlineLvl w:val="2"/>
      </w:pPr>
      <w:r>
        <w:rPr>
          <w:rFonts w:ascii="黑体" w:hAnsi="黑体" w:eastAsia="黑体"/>
          <w:sz w:val="32"/>
        </w:rPr>
        <w:t>七、政府性基金预算财政拨款收入支出决算情况说明</w:t>
      </w:r>
    </w:p>
    <w:p w14:paraId="38773E67">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075870FE">
      <w:pPr>
        <w:spacing w:line="640" w:lineRule="exact"/>
        <w:ind w:firstLine="640"/>
        <w:jc w:val="both"/>
        <w:outlineLvl w:val="2"/>
      </w:pPr>
      <w:r>
        <w:rPr>
          <w:rFonts w:ascii="黑体" w:hAnsi="黑体" w:eastAsia="黑体"/>
          <w:sz w:val="32"/>
        </w:rPr>
        <w:t>八、国有资本经营预算财政拨款收入支出决算情况说明</w:t>
      </w:r>
    </w:p>
    <w:p w14:paraId="3DD5E2EB">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F59EF42">
      <w:pPr>
        <w:spacing w:line="640" w:lineRule="exact"/>
        <w:ind w:firstLine="640"/>
        <w:jc w:val="both"/>
        <w:outlineLvl w:val="2"/>
      </w:pPr>
      <w:r>
        <w:rPr>
          <w:rFonts w:ascii="黑体" w:hAnsi="黑体" w:eastAsia="黑体"/>
          <w:sz w:val="32"/>
        </w:rPr>
        <w:t>九、财政拨款“三公”经费支出决算情况说明</w:t>
      </w:r>
    </w:p>
    <w:p w14:paraId="122FF0FD">
      <w:pPr>
        <w:spacing w:line="580" w:lineRule="exact"/>
        <w:ind w:firstLine="640"/>
        <w:jc w:val="both"/>
      </w:pPr>
      <w:r>
        <w:rPr>
          <w:rFonts w:ascii="仿宋_GB2312" w:hAnsi="仿宋_GB2312" w:eastAsia="仿宋_GB2312"/>
          <w:b/>
          <w:sz w:val="32"/>
        </w:rPr>
        <w:t>2024年度财政拨款“三公”经费支出0.56万元，</w:t>
      </w:r>
      <w:r>
        <w:rPr>
          <w:rFonts w:ascii="仿宋_GB2312" w:hAnsi="仿宋_GB2312" w:eastAsia="仿宋_GB2312"/>
          <w:b w:val="0"/>
          <w:sz w:val="32"/>
        </w:rPr>
        <w:t>比上年减少1.47万元，下降72.41%，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0.56万元，占100.00%，比上年减少1.47万元，下降72.41%，主要原因是：严格落实中央八项规定精神，厉行节约，减少公务用车运行维护费。公务接待费支出0.00万元，占0.00%，比上年增加0.00万元，增长0.00%，主要原因是：2023年与2024年均未安排公务接待费支出。</w:t>
      </w:r>
    </w:p>
    <w:p w14:paraId="72BFEC17">
      <w:pPr>
        <w:spacing w:line="580" w:lineRule="exact"/>
        <w:ind w:firstLine="640"/>
        <w:jc w:val="both"/>
      </w:pPr>
      <w:r>
        <w:rPr>
          <w:rFonts w:ascii="仿宋_GB2312" w:hAnsi="仿宋_GB2312" w:eastAsia="仿宋_GB2312"/>
          <w:b/>
          <w:sz w:val="32"/>
        </w:rPr>
        <w:t>具体情况如下：</w:t>
      </w:r>
    </w:p>
    <w:p w14:paraId="31675592">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8C33978">
      <w:pPr>
        <w:spacing w:line="580" w:lineRule="exact"/>
        <w:ind w:firstLine="640"/>
        <w:jc w:val="both"/>
      </w:pPr>
      <w:r>
        <w:rPr>
          <w:rFonts w:ascii="仿宋_GB2312" w:hAnsi="仿宋_GB2312" w:eastAsia="仿宋_GB2312"/>
          <w:b w:val="0"/>
          <w:sz w:val="32"/>
        </w:rPr>
        <w:t>公务用车购置及运行维护费0.56万元，其中：公务用车购置费0.00万元，公务用车运行维护费0.56万元。公务用车运行维护费开支内容包括车辆加油费、保险费、过路费、维修费。公务用车购置数0辆，公务用车保有量2辆。国有资产占用情况中固定资产车辆2辆，与公务用车保有量差异原因是：本单位固定资产车辆与公务用车保有量一致无差异。</w:t>
      </w:r>
    </w:p>
    <w:p w14:paraId="17C5709F">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5CEC76F">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0.56万元，决算数0.56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0.56万元，决算数0.56万元，预决算差异率0.00%，主要原因是：严格按照预算执行，预决算无差异。公务接待费全年预算数0.00万元，决算数0.00万元，预决算差异率0.00%，主要原因是：本单位无公务接待费。</w:t>
      </w:r>
    </w:p>
    <w:p w14:paraId="6D5E308D">
      <w:pPr>
        <w:spacing w:line="640" w:lineRule="exact"/>
        <w:ind w:firstLine="640"/>
        <w:jc w:val="both"/>
        <w:outlineLvl w:val="2"/>
      </w:pPr>
      <w:r>
        <w:rPr>
          <w:rFonts w:ascii="黑体" w:hAnsi="黑体" w:eastAsia="黑体"/>
          <w:sz w:val="32"/>
        </w:rPr>
        <w:t>十、其他重要事项的情况说明</w:t>
      </w:r>
    </w:p>
    <w:p w14:paraId="311CAC2B">
      <w:pPr>
        <w:spacing w:line="640" w:lineRule="exact"/>
        <w:ind w:firstLine="640"/>
        <w:jc w:val="both"/>
        <w:outlineLvl w:val="3"/>
      </w:pPr>
      <w:r>
        <w:rPr>
          <w:rFonts w:ascii="楷体_GB2312" w:hAnsi="楷体_GB2312" w:eastAsia="楷体_GB2312"/>
          <w:b/>
          <w:sz w:val="32"/>
        </w:rPr>
        <w:t>（一）机关运行经费及公用经费支出情况</w:t>
      </w:r>
    </w:p>
    <w:p w14:paraId="04760692">
      <w:pPr>
        <w:spacing w:line="580" w:lineRule="exact"/>
        <w:ind w:firstLine="640"/>
        <w:jc w:val="both"/>
      </w:pPr>
      <w:r>
        <w:rPr>
          <w:rFonts w:ascii="仿宋_GB2312" w:hAnsi="仿宋_GB2312" w:eastAsia="仿宋_GB2312"/>
          <w:b w:val="0"/>
          <w:sz w:val="32"/>
        </w:rPr>
        <w:t>2024年度新疆阿克陶县文化馆（事业单位）公用经费支出1.26万元，比上年减少13.25万元，下降91.32%，主要原因是：严格控制公用经费，合理节约办公用品，减少不必要开支。</w:t>
      </w:r>
    </w:p>
    <w:p w14:paraId="0225D841">
      <w:pPr>
        <w:spacing w:line="640" w:lineRule="exact"/>
        <w:ind w:firstLine="640"/>
        <w:jc w:val="both"/>
        <w:outlineLvl w:val="3"/>
      </w:pPr>
      <w:r>
        <w:rPr>
          <w:rFonts w:ascii="楷体_GB2312" w:hAnsi="楷体_GB2312" w:eastAsia="楷体_GB2312"/>
          <w:b/>
          <w:sz w:val="32"/>
        </w:rPr>
        <w:t>（二）政府采购情况</w:t>
      </w:r>
    </w:p>
    <w:p w14:paraId="4A853041">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5EC6805C">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383C88DC">
      <w:pPr>
        <w:spacing w:line="640" w:lineRule="exact"/>
        <w:ind w:firstLine="640"/>
        <w:jc w:val="both"/>
        <w:outlineLvl w:val="3"/>
      </w:pPr>
      <w:r>
        <w:rPr>
          <w:rFonts w:ascii="楷体_GB2312" w:hAnsi="楷体_GB2312" w:eastAsia="楷体_GB2312"/>
          <w:b/>
          <w:sz w:val="32"/>
        </w:rPr>
        <w:t>（三）国有资产占用情况说明</w:t>
      </w:r>
    </w:p>
    <w:p w14:paraId="30C381FA">
      <w:pPr>
        <w:spacing w:line="580" w:lineRule="exact"/>
        <w:ind w:firstLine="640"/>
        <w:jc w:val="both"/>
      </w:pPr>
      <w:r>
        <w:rPr>
          <w:rFonts w:ascii="仿宋_GB2312" w:hAnsi="仿宋_GB2312" w:eastAsia="仿宋_GB2312"/>
          <w:b w:val="0"/>
          <w:sz w:val="32"/>
        </w:rPr>
        <w:t>截至2024年12月31日，房屋0.00平方米，价值0.00万元。车辆2辆，价值25.95万元，其中：副部（省）级及以上领导用车0辆、主要负责人用车0辆、机要通信用车0辆、应急保障用车0辆、执法执勤用车0辆、特种专业技术用车0辆、离退休干部服务用车0辆、其他用车2辆，其他用车主要是：一般公务用车。单价100万元（含）以上设备（不含车辆）0台（套）。</w:t>
      </w:r>
    </w:p>
    <w:p w14:paraId="246CD5F9">
      <w:pPr>
        <w:spacing w:line="640" w:lineRule="exact"/>
        <w:ind w:firstLine="640"/>
        <w:jc w:val="both"/>
        <w:outlineLvl w:val="2"/>
      </w:pPr>
      <w:r>
        <w:rPr>
          <w:rFonts w:ascii="黑体" w:hAnsi="黑体" w:eastAsia="黑体"/>
          <w:sz w:val="32"/>
        </w:rPr>
        <w:t>十一、预算绩效的情况说明</w:t>
      </w:r>
    </w:p>
    <w:p w14:paraId="3957F41D">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291.93万元，实际执行总额291.93万元；预算绩效评价项目2个，全年预算数12.48万元，全年执行数12.48万元。预算绩效管理取得的成效：为加强预算管理，规范财务行为，已制定各项管理制度，有效保障了高效履行工作职能，加强了制度建设，打牢绩效管理工作基础。发现的问题及原因：一是存在的问题财政绩效管理有待提高。相关绩效管理方面专业知识的系统性学习有待加强。二是原因分析按照财政支出绩效管理的要求，建立科学的财政资金效益考评制度体系，不断完善绩效评价的评价体系及工作流程，提高财政资金使用管理的水平和效率。对预算绩效管理、绩效理念尚未真正贯穿于实践工作，相关工作人员经验不足，绩效管理</w:t>
      </w:r>
      <w:r>
        <w:rPr>
          <w:rFonts w:hint="eastAsia" w:ascii="仿宋_GB2312" w:hAnsi="仿宋_GB2312" w:eastAsia="仿宋_GB2312"/>
          <w:b w:val="0"/>
          <w:sz w:val="32"/>
          <w:lang w:eastAsia="zh-CN"/>
        </w:rPr>
        <w:t>意识不强</w:t>
      </w:r>
      <w:r>
        <w:rPr>
          <w:rFonts w:ascii="仿宋_GB2312" w:hAnsi="仿宋_GB2312" w:eastAsia="仿宋_GB2312"/>
          <w:b w:val="0"/>
          <w:sz w:val="32"/>
        </w:rPr>
        <w:t>，对于指标的编制还不够完善。评价工作还存在自我审定的局限性，影响评价质量。下一步改进措施：一是加强绩效评价管理制度和流程的建设，进一步深化、完善绩效管理体系，建立全过程的预算绩效管理机制，促进绩效管理工作向广度和深度延伸。二是规范绩效评价管理资料的收集整理，确保相关信息完整、可靠，客观公正地反映项目资金实际使用和产生的绩效状况，为今后该项目实施方向及管理方式的改进提供指导。具体附整体支出绩效自评表，项目支出绩效自评表和评价报告。</w:t>
      </w:r>
    </w:p>
    <w:p w14:paraId="42CFDD95">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3E7838CC">
        <w:tblPrEx>
          <w:tblCellMar>
            <w:top w:w="0" w:type="dxa"/>
            <w:left w:w="108" w:type="dxa"/>
            <w:bottom w:w="0" w:type="dxa"/>
            <w:right w:w="108" w:type="dxa"/>
          </w:tblCellMar>
        </w:tblPrEx>
        <w:tc>
          <w:tcPr>
            <w:tcW w:w="8840" w:type="dxa"/>
            <w:gridSpan w:val="8"/>
            <w:vAlign w:val="center"/>
          </w:tcPr>
          <w:p w14:paraId="5CD16F0B">
            <w:pPr>
              <w:jc w:val="center"/>
            </w:pPr>
            <w:r>
              <w:rPr>
                <w:rFonts w:ascii="宋体" w:hAnsi="宋体" w:eastAsia="宋体"/>
                <w:sz w:val="24"/>
              </w:rPr>
              <w:t>单位整体支出绩效自评表</w:t>
            </w:r>
          </w:p>
        </w:tc>
      </w:tr>
      <w:tr w14:paraId="6B253140">
        <w:tblPrEx>
          <w:tblCellMar>
            <w:top w:w="0" w:type="dxa"/>
            <w:left w:w="108" w:type="dxa"/>
            <w:bottom w:w="0" w:type="dxa"/>
            <w:right w:w="108" w:type="dxa"/>
          </w:tblCellMar>
        </w:tblPrEx>
        <w:tc>
          <w:tcPr>
            <w:tcW w:w="8840" w:type="dxa"/>
            <w:gridSpan w:val="8"/>
            <w:vAlign w:val="center"/>
          </w:tcPr>
          <w:p w14:paraId="33DF2006">
            <w:pPr>
              <w:jc w:val="center"/>
            </w:pPr>
            <w:r>
              <w:rPr>
                <w:rFonts w:ascii="宋体" w:hAnsi="宋体" w:eastAsia="宋体"/>
                <w:sz w:val="24"/>
              </w:rPr>
              <w:t>（2024年度）</w:t>
            </w:r>
          </w:p>
        </w:tc>
      </w:tr>
      <w:tr w14:paraId="6802BE6B">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D6A616">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80C133">
            <w:pPr>
              <w:jc w:val="center"/>
            </w:pPr>
            <w:r>
              <w:rPr>
                <w:rFonts w:ascii="宋体" w:hAnsi="宋体" w:eastAsia="宋体"/>
                <w:sz w:val="16"/>
              </w:rPr>
              <w:t>新疆阿克陶县文化馆</w:t>
            </w:r>
          </w:p>
        </w:tc>
      </w:tr>
      <w:tr w14:paraId="54ABD40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98777D">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17217F">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4A065D">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DFE3E4">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7ABA53">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D64B66">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BE0738">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B8D3DC">
            <w:pPr>
              <w:jc w:val="center"/>
            </w:pPr>
            <w:r>
              <w:rPr>
                <w:rFonts w:ascii="宋体" w:hAnsi="宋体" w:eastAsia="宋体"/>
                <w:sz w:val="16"/>
              </w:rPr>
              <w:t>得分</w:t>
            </w:r>
          </w:p>
        </w:tc>
      </w:tr>
      <w:tr w14:paraId="0CB61A4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52AADE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5B31A9">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72CE31">
            <w:pPr>
              <w:jc w:val="center"/>
            </w:pPr>
            <w:r>
              <w:rPr>
                <w:rFonts w:ascii="宋体" w:hAnsi="宋体" w:eastAsia="宋体"/>
                <w:sz w:val="16"/>
              </w:rPr>
              <w:t>229.57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1D60A8">
            <w:pPr>
              <w:jc w:val="center"/>
            </w:pPr>
            <w:r>
              <w:rPr>
                <w:rFonts w:ascii="宋体" w:hAnsi="宋体" w:eastAsia="宋体"/>
                <w:sz w:val="16"/>
              </w:rPr>
              <w:t>291.93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7B3037">
            <w:pPr>
              <w:jc w:val="center"/>
            </w:pPr>
            <w:r>
              <w:rPr>
                <w:rFonts w:ascii="宋体" w:hAnsi="宋体" w:eastAsia="宋体"/>
                <w:sz w:val="16"/>
              </w:rPr>
              <w:t>291.93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07932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196B84">
            <w:pPr>
              <w:jc w:val="center"/>
            </w:pPr>
            <w:r>
              <w:rPr>
                <w:rFonts w:ascii="宋体" w:hAnsi="宋体" w:eastAsia="宋体"/>
                <w:sz w:val="16"/>
              </w:rPr>
              <w:t>100.00%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9C18C2">
            <w:pPr>
              <w:jc w:val="center"/>
            </w:pPr>
            <w:r>
              <w:rPr>
                <w:rFonts w:ascii="宋体" w:hAnsi="宋体" w:eastAsia="宋体"/>
                <w:sz w:val="16"/>
              </w:rPr>
              <w:t>10</w:t>
            </w:r>
          </w:p>
        </w:tc>
      </w:tr>
      <w:tr w14:paraId="0D51E09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6BDBE3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8308A7">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3881C9">
            <w:pPr>
              <w:jc w:val="center"/>
            </w:pPr>
            <w:r>
              <w:rPr>
                <w:rFonts w:ascii="宋体" w:hAnsi="宋体" w:eastAsia="宋体"/>
                <w:sz w:val="16"/>
              </w:rPr>
              <w:t>9.60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6F8CE3">
            <w:pPr>
              <w:jc w:val="center"/>
            </w:pPr>
            <w:r>
              <w:rPr>
                <w:rFonts w:ascii="宋体" w:hAnsi="宋体" w:eastAsia="宋体"/>
                <w:sz w:val="16"/>
              </w:rPr>
              <w:t>71.45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E26DF8">
            <w:pPr>
              <w:jc w:val="center"/>
            </w:pPr>
            <w:r>
              <w:rPr>
                <w:rFonts w:ascii="宋体" w:hAnsi="宋体" w:eastAsia="宋体"/>
                <w:sz w:val="16"/>
              </w:rPr>
              <w:t>71.45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336C0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24572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13E5F1">
            <w:pPr>
              <w:jc w:val="center"/>
            </w:pPr>
            <w:r>
              <w:rPr>
                <w:rFonts w:ascii="宋体" w:hAnsi="宋体" w:eastAsia="宋体"/>
                <w:sz w:val="16"/>
              </w:rPr>
              <w:t>—</w:t>
            </w:r>
          </w:p>
        </w:tc>
      </w:tr>
      <w:tr w14:paraId="48E8858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DE94A9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97BFDD">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DCC9D7">
            <w:pPr>
              <w:jc w:val="center"/>
            </w:pPr>
            <w:r>
              <w:rPr>
                <w:rFonts w:ascii="宋体" w:hAnsi="宋体" w:eastAsia="宋体"/>
                <w:sz w:val="16"/>
              </w:rPr>
              <w:t>219.97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1320A2">
            <w:pPr>
              <w:jc w:val="center"/>
            </w:pPr>
            <w:r>
              <w:rPr>
                <w:rFonts w:ascii="宋体" w:hAnsi="宋体" w:eastAsia="宋体"/>
                <w:sz w:val="16"/>
              </w:rPr>
              <w:t>220.48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60AC70">
            <w:pPr>
              <w:jc w:val="center"/>
            </w:pPr>
            <w:r>
              <w:rPr>
                <w:rFonts w:ascii="宋体" w:hAnsi="宋体" w:eastAsia="宋体"/>
                <w:sz w:val="16"/>
              </w:rPr>
              <w:t>220.48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9E3DC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15168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D8C58A">
            <w:pPr>
              <w:jc w:val="center"/>
            </w:pPr>
            <w:r>
              <w:rPr>
                <w:rFonts w:ascii="宋体" w:hAnsi="宋体" w:eastAsia="宋体"/>
                <w:sz w:val="16"/>
              </w:rPr>
              <w:t>—</w:t>
            </w:r>
          </w:p>
        </w:tc>
      </w:tr>
      <w:tr w14:paraId="00716CB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33B945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768E6D">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F80C53">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E8B2A0">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9DC0F9">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D7E19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DF585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CB243C">
            <w:pPr>
              <w:jc w:val="center"/>
            </w:pPr>
            <w:r>
              <w:rPr>
                <w:rFonts w:ascii="宋体" w:hAnsi="宋体" w:eastAsia="宋体"/>
                <w:sz w:val="16"/>
              </w:rPr>
              <w:t>—</w:t>
            </w:r>
          </w:p>
        </w:tc>
      </w:tr>
      <w:tr w14:paraId="05E4506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D594DC">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7CA40E6">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EA1C72C">
            <w:pPr>
              <w:jc w:val="center"/>
            </w:pPr>
            <w:r>
              <w:rPr>
                <w:rFonts w:ascii="宋体" w:hAnsi="宋体" w:eastAsia="宋体"/>
                <w:sz w:val="16"/>
              </w:rPr>
              <w:t>实际完成情况</w:t>
            </w:r>
          </w:p>
        </w:tc>
      </w:tr>
      <w:tr w14:paraId="3BD03D5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43CFC60"/>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1802B83">
            <w:pPr>
              <w:jc w:val="both"/>
            </w:pPr>
            <w:r>
              <w:rPr>
                <w:rFonts w:ascii="宋体" w:hAnsi="宋体" w:eastAsia="宋体"/>
                <w:sz w:val="16"/>
              </w:rPr>
              <w:t>确保在职人员的工资、津贴、补贴、社保、医保、公积金以及离退休人员的工资、医疗费等人员保障性经费能够依规、按时、足额发放或缴纳，提升部门人员工作积极性和服务质量；保障部门日常运转，为部门正常履职和开展综合性事务管理提供有效支撑，确保冬季取暖费、车辆维护费等公用保障性经费按照财政安排和相关工作要求及时支出。</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2AEC90A">
            <w:pPr>
              <w:jc w:val="both"/>
            </w:pPr>
            <w:r>
              <w:rPr>
                <w:rFonts w:ascii="宋体" w:hAnsi="宋体" w:eastAsia="宋体"/>
                <w:sz w:val="16"/>
              </w:rPr>
              <w:t>在职人员的工资、津贴、补贴、社保、医保、公积金以及离退休人员的工资、医疗费等人员保障性经费都依规、按时、足额发放或缴纳，提升了部门人员工作积极性和服务质量；保障了部门日常运转，为部门正常履职和开展综合性事务管理提供了有效支撑，按照财政安排和相关工作要求及时支出冬季取暖费、车辆维护费等公用保障性经费。</w:t>
            </w:r>
          </w:p>
        </w:tc>
      </w:tr>
      <w:tr w14:paraId="1B5708D2">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8E39F2">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C56947">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8B89BF">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00BA93">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DB59B5">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78F83A">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DB9FB8">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5963D3">
            <w:pPr>
              <w:jc w:val="center"/>
            </w:pPr>
            <w:r>
              <w:rPr>
                <w:rFonts w:ascii="宋体" w:hAnsi="宋体" w:eastAsia="宋体"/>
                <w:sz w:val="16"/>
              </w:rPr>
              <w:t>得分</w:t>
            </w:r>
          </w:p>
        </w:tc>
      </w:tr>
      <w:tr w14:paraId="7D408C3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C9DA12">
            <w:pPr>
              <w:jc w:val="center"/>
            </w:pPr>
            <w:r>
              <w:rPr>
                <w:rFonts w:ascii="宋体" w:hAnsi="宋体" w:eastAsia="宋体"/>
                <w:sz w:val="16"/>
              </w:rPr>
              <w:t>运行成本</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B824DB">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BC7649">
            <w:pPr>
              <w:jc w:val="center"/>
            </w:pPr>
            <w:r>
              <w:rPr>
                <w:rFonts w:ascii="宋体" w:hAnsi="宋体" w:eastAsia="宋体"/>
                <w:sz w:val="16"/>
              </w:rPr>
              <w:t>人员工资福利支出预算保障人数（人)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8B1BAB">
            <w:pPr>
              <w:jc w:val="center"/>
            </w:pPr>
            <w:r>
              <w:rPr>
                <w:rFonts w:ascii="宋体" w:hAnsi="宋体" w:eastAsia="宋体"/>
                <w:sz w:val="16"/>
              </w:rPr>
              <w:t>&gt;=30人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689A10">
            <w:pPr>
              <w:jc w:val="center"/>
            </w:pPr>
            <w:r>
              <w:rPr>
                <w:rFonts w:ascii="宋体" w:hAnsi="宋体" w:eastAsia="宋体"/>
                <w:sz w:val="16"/>
              </w:rPr>
              <w:t>上年度末工资册汇总表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C2AD8B">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D546CD">
            <w:pPr>
              <w:jc w:val="center"/>
            </w:pPr>
            <w:r>
              <w:rPr>
                <w:rFonts w:ascii="宋体" w:hAnsi="宋体" w:eastAsia="宋体"/>
                <w:sz w:val="16"/>
              </w:rPr>
              <w:t>29人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7E7661">
            <w:pPr>
              <w:jc w:val="center"/>
            </w:pPr>
            <w:r>
              <w:rPr>
                <w:rFonts w:ascii="宋体" w:hAnsi="宋体" w:eastAsia="宋体"/>
                <w:sz w:val="16"/>
              </w:rPr>
              <w:t>9.67</w:t>
            </w:r>
          </w:p>
        </w:tc>
      </w:tr>
      <w:tr w14:paraId="5882BD3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82051E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B9E9B8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09B897">
            <w:pPr>
              <w:jc w:val="center"/>
            </w:pPr>
            <w:r>
              <w:rPr>
                <w:rFonts w:ascii="宋体" w:hAnsi="宋体" w:eastAsia="宋体"/>
                <w:sz w:val="16"/>
              </w:rPr>
              <w:t>年度部门整体支出控制数（万元）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2C1290">
            <w:pPr>
              <w:jc w:val="center"/>
            </w:pPr>
            <w:r>
              <w:rPr>
                <w:rFonts w:ascii="宋体" w:hAnsi="宋体" w:eastAsia="宋体"/>
                <w:sz w:val="16"/>
              </w:rPr>
              <w:t>&lt;=229.57万元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9CA960">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058DD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01BC65">
            <w:pPr>
              <w:jc w:val="center"/>
            </w:pPr>
            <w:r>
              <w:rPr>
                <w:rFonts w:ascii="宋体" w:hAnsi="宋体" w:eastAsia="宋体"/>
                <w:sz w:val="16"/>
              </w:rPr>
              <w:t>291.93万元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F37D5A">
            <w:pPr>
              <w:jc w:val="center"/>
            </w:pPr>
            <w:r>
              <w:rPr>
                <w:rFonts w:ascii="宋体" w:hAnsi="宋体" w:eastAsia="宋体"/>
                <w:sz w:val="16"/>
              </w:rPr>
              <w:t>7.28</w:t>
            </w:r>
          </w:p>
        </w:tc>
      </w:tr>
      <w:tr w14:paraId="10E47E8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982224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68B2CD">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EAA0CA">
            <w:pPr>
              <w:jc w:val="center"/>
            </w:pPr>
            <w:r>
              <w:rPr>
                <w:rFonts w:ascii="宋体" w:hAnsi="宋体" w:eastAsia="宋体"/>
                <w:sz w:val="16"/>
              </w:rPr>
              <w:t>资金使用合规率（%）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6D5A86">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2452FA">
            <w:pPr>
              <w:jc w:val="center"/>
            </w:pPr>
            <w:r>
              <w:rPr>
                <w:rFonts w:ascii="宋体" w:hAnsi="宋体" w:eastAsia="宋体"/>
                <w:sz w:val="16"/>
              </w:rPr>
              <w:t>县人大年初预算批复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83CF2C">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C284A6">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1717B8">
            <w:pPr>
              <w:jc w:val="center"/>
            </w:pPr>
            <w:r>
              <w:rPr>
                <w:rFonts w:ascii="宋体" w:hAnsi="宋体" w:eastAsia="宋体"/>
                <w:sz w:val="16"/>
              </w:rPr>
              <w:t>10</w:t>
            </w:r>
          </w:p>
        </w:tc>
      </w:tr>
      <w:tr w14:paraId="5664B862">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FADB98">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6809D6">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E598BF">
            <w:pPr>
              <w:jc w:val="center"/>
            </w:pPr>
            <w:r>
              <w:rPr>
                <w:rFonts w:ascii="宋体" w:hAnsi="宋体" w:eastAsia="宋体"/>
                <w:sz w:val="16"/>
              </w:rPr>
              <w:t>车辆保险及时购买率（%）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533C9A">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7AA6C8">
            <w:pPr>
              <w:jc w:val="center"/>
            </w:pPr>
            <w:r>
              <w:rPr>
                <w:rFonts w:ascii="宋体" w:hAnsi="宋体" w:eastAsia="宋体"/>
                <w:sz w:val="16"/>
              </w:rPr>
              <w:t>文旅局党组会议记录纪要</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15973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D3B218">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08C04D">
            <w:pPr>
              <w:jc w:val="center"/>
            </w:pPr>
            <w:r>
              <w:rPr>
                <w:rFonts w:ascii="宋体" w:hAnsi="宋体" w:eastAsia="宋体"/>
                <w:sz w:val="16"/>
              </w:rPr>
              <w:t>10</w:t>
            </w:r>
          </w:p>
        </w:tc>
      </w:tr>
      <w:tr w14:paraId="2F18EF1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DECC67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13C50B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D9B71B">
            <w:pPr>
              <w:jc w:val="center"/>
            </w:pPr>
            <w:r>
              <w:rPr>
                <w:rFonts w:ascii="宋体" w:hAnsi="宋体" w:eastAsia="宋体"/>
                <w:sz w:val="16"/>
              </w:rPr>
              <w:t>文化惠民次数（次）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DAB227">
            <w:pPr>
              <w:jc w:val="center"/>
            </w:pPr>
            <w:r>
              <w:rPr>
                <w:rFonts w:ascii="宋体" w:hAnsi="宋体" w:eastAsia="宋体"/>
                <w:sz w:val="16"/>
              </w:rPr>
              <w:t>&gt;=70次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4001D4">
            <w:pPr>
              <w:jc w:val="center"/>
            </w:pPr>
            <w:r>
              <w:rPr>
                <w:rFonts w:ascii="宋体" w:hAnsi="宋体" w:eastAsia="宋体"/>
                <w:sz w:val="16"/>
              </w:rPr>
              <w:t>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7547B5">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B29E5B">
            <w:pPr>
              <w:jc w:val="center"/>
            </w:pPr>
            <w:r>
              <w:rPr>
                <w:rFonts w:ascii="宋体" w:hAnsi="宋体" w:eastAsia="宋体"/>
                <w:sz w:val="16"/>
              </w:rPr>
              <w:t>70次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2D00B2">
            <w:pPr>
              <w:jc w:val="center"/>
            </w:pPr>
            <w:r>
              <w:rPr>
                <w:rFonts w:ascii="宋体" w:hAnsi="宋体" w:eastAsia="宋体"/>
                <w:sz w:val="16"/>
              </w:rPr>
              <w:t>10</w:t>
            </w:r>
          </w:p>
        </w:tc>
      </w:tr>
      <w:tr w14:paraId="49691AF5">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D16FE1">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19A943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D39C81">
            <w:pPr>
              <w:jc w:val="center"/>
            </w:pPr>
            <w:r>
              <w:rPr>
                <w:rFonts w:ascii="宋体" w:hAnsi="宋体" w:eastAsia="宋体"/>
                <w:sz w:val="16"/>
              </w:rPr>
              <w:t>组织柯尔克孜约隆传承活动(次/年）</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677AC3">
            <w:pPr>
              <w:jc w:val="center"/>
            </w:pPr>
            <w:r>
              <w:rPr>
                <w:rFonts w:ascii="宋体" w:hAnsi="宋体" w:eastAsia="宋体"/>
                <w:sz w:val="16"/>
              </w:rPr>
              <w:t>&gt;=6次/年</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5FAB6E">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C4BCF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BCC99B">
            <w:pPr>
              <w:jc w:val="center"/>
            </w:pPr>
            <w:r>
              <w:rPr>
                <w:rFonts w:ascii="宋体" w:hAnsi="宋体" w:eastAsia="宋体"/>
                <w:sz w:val="16"/>
              </w:rPr>
              <w:t>6次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71E102">
            <w:pPr>
              <w:jc w:val="center"/>
            </w:pPr>
            <w:r>
              <w:rPr>
                <w:rFonts w:ascii="宋体" w:hAnsi="宋体" w:eastAsia="宋体"/>
                <w:sz w:val="16"/>
              </w:rPr>
              <w:t>10</w:t>
            </w:r>
          </w:p>
        </w:tc>
      </w:tr>
      <w:tr w14:paraId="2614E40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59285D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714698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11DDEA">
            <w:pPr>
              <w:jc w:val="center"/>
            </w:pPr>
            <w:r>
              <w:rPr>
                <w:rFonts w:ascii="宋体" w:hAnsi="宋体" w:eastAsia="宋体"/>
                <w:sz w:val="16"/>
              </w:rPr>
              <w:t>活动完成率（%）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403B26">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DAC3EB">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B2629B">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73D35A">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A3EC47">
            <w:pPr>
              <w:jc w:val="center"/>
            </w:pPr>
            <w:r>
              <w:rPr>
                <w:rFonts w:ascii="宋体" w:hAnsi="宋体" w:eastAsia="宋体"/>
                <w:sz w:val="16"/>
              </w:rPr>
              <w:t>10</w:t>
            </w:r>
          </w:p>
        </w:tc>
      </w:tr>
      <w:tr w14:paraId="5E596455">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2CC0DD">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01EE05">
            <w:pPr>
              <w:jc w:val="center"/>
            </w:pPr>
            <w:r>
              <w:rPr>
                <w:rFonts w:ascii="宋体" w:hAnsi="宋体" w:eastAsia="宋体"/>
                <w:sz w:val="16"/>
              </w:rPr>
              <w:t>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81756A">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DC6A94">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81201D">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A1E68A">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7184C1">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508DCB">
            <w:pPr>
              <w:jc w:val="center"/>
            </w:pPr>
            <w:r>
              <w:rPr>
                <w:rFonts w:ascii="宋体" w:hAnsi="宋体" w:eastAsia="宋体"/>
                <w:sz w:val="16"/>
              </w:rPr>
              <w:t>10</w:t>
            </w:r>
          </w:p>
        </w:tc>
      </w:tr>
      <w:tr w14:paraId="33A97CF2">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142989">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0A16E0">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25D246">
            <w:pPr>
              <w:jc w:val="center"/>
            </w:pPr>
            <w:r>
              <w:rPr>
                <w:rFonts w:ascii="宋体" w:hAnsi="宋体" w:eastAsia="宋体"/>
                <w:sz w:val="16"/>
              </w:rPr>
              <w:t>社会公众对本部门履职效果的满意度（%）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EAAE11">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AF83FC">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0D3FFC">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C01460">
            <w:pPr>
              <w:jc w:val="center"/>
            </w:pPr>
            <w:r>
              <w:rPr>
                <w:rFonts w:ascii="宋体" w:hAnsi="宋体" w:eastAsia="宋体"/>
                <w:sz w:val="16"/>
              </w:rPr>
              <w: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8989F1">
            <w:pPr>
              <w:jc w:val="center"/>
            </w:pPr>
            <w:r>
              <w:rPr>
                <w:rFonts w:ascii="宋体" w:hAnsi="宋体" w:eastAsia="宋体"/>
                <w:sz w:val="16"/>
              </w:rPr>
              <w:t>5</w:t>
            </w:r>
          </w:p>
        </w:tc>
      </w:tr>
      <w:tr w14:paraId="3FEB7BE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62FA38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A02034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86EB5F">
            <w:pPr>
              <w:jc w:val="center"/>
            </w:pPr>
            <w:r>
              <w:rPr>
                <w:rFonts w:ascii="宋体" w:hAnsi="宋体" w:eastAsia="宋体"/>
                <w:sz w:val="16"/>
              </w:rPr>
              <w:t>在职人员的满意度（%）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B90749">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CA5F97">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28F0EC">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1CAA98">
            <w:pPr>
              <w:jc w:val="center"/>
            </w:pPr>
            <w:r>
              <w:rPr>
                <w:rFonts w:ascii="宋体" w:hAnsi="宋体" w:eastAsia="宋体"/>
                <w:sz w:val="16"/>
              </w:rPr>
              <w: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7E93DC">
            <w:pPr>
              <w:jc w:val="center"/>
            </w:pPr>
            <w:r>
              <w:rPr>
                <w:rFonts w:ascii="宋体" w:hAnsi="宋体" w:eastAsia="宋体"/>
                <w:sz w:val="16"/>
              </w:rPr>
              <w:t>5</w:t>
            </w:r>
          </w:p>
        </w:tc>
      </w:tr>
    </w:tbl>
    <w:p w14:paraId="6742CF0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2B1F1C7E">
        <w:tblPrEx>
          <w:tblCellMar>
            <w:top w:w="0" w:type="dxa"/>
            <w:left w:w="108" w:type="dxa"/>
            <w:bottom w:w="0" w:type="dxa"/>
            <w:right w:w="108" w:type="dxa"/>
          </w:tblCellMar>
        </w:tblPrEx>
        <w:tc>
          <w:tcPr>
            <w:tcW w:w="8848" w:type="dxa"/>
            <w:gridSpan w:val="14"/>
            <w:vAlign w:val="center"/>
          </w:tcPr>
          <w:p w14:paraId="3882D714">
            <w:pPr>
              <w:jc w:val="center"/>
            </w:pPr>
            <w:r>
              <w:rPr>
                <w:rFonts w:ascii="宋体" w:hAnsi="宋体" w:eastAsia="宋体"/>
                <w:sz w:val="24"/>
              </w:rPr>
              <w:t>项目支出绩效自评表</w:t>
            </w:r>
          </w:p>
        </w:tc>
      </w:tr>
      <w:tr w14:paraId="380C3BAC">
        <w:tblPrEx>
          <w:tblCellMar>
            <w:top w:w="0" w:type="dxa"/>
            <w:left w:w="108" w:type="dxa"/>
            <w:bottom w:w="0" w:type="dxa"/>
            <w:right w:w="108" w:type="dxa"/>
          </w:tblCellMar>
        </w:tblPrEx>
        <w:tc>
          <w:tcPr>
            <w:tcW w:w="8848" w:type="dxa"/>
            <w:gridSpan w:val="14"/>
            <w:vAlign w:val="center"/>
          </w:tcPr>
          <w:p w14:paraId="684EB07C">
            <w:pPr>
              <w:jc w:val="center"/>
            </w:pPr>
            <w:r>
              <w:rPr>
                <w:rFonts w:ascii="宋体" w:hAnsi="宋体" w:eastAsia="宋体"/>
                <w:sz w:val="24"/>
              </w:rPr>
              <w:t>(2024年度)</w:t>
            </w:r>
          </w:p>
        </w:tc>
      </w:tr>
      <w:tr w14:paraId="493422C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6C9E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32B7EDD">
            <w:pPr>
              <w:jc w:val="center"/>
            </w:pPr>
            <w:r>
              <w:rPr>
                <w:rFonts w:ascii="宋体" w:hAnsi="宋体" w:eastAsia="宋体"/>
                <w:sz w:val="16"/>
              </w:rPr>
              <w:t>2024年度自治区野外文物保护单位看护人员专项补助经费</w:t>
            </w:r>
          </w:p>
        </w:tc>
      </w:tr>
      <w:tr w14:paraId="52EEA71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C404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9501A3">
            <w:pPr>
              <w:jc w:val="center"/>
            </w:pPr>
            <w:r>
              <w:rPr>
                <w:rFonts w:ascii="宋体" w:hAnsi="宋体" w:eastAsia="宋体"/>
                <w:sz w:val="16"/>
              </w:rPr>
              <w:t>阿克陶县文化体育广播电视和旅游局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4834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DDE50B0">
            <w:pPr>
              <w:jc w:val="center"/>
            </w:pPr>
            <w:r>
              <w:rPr>
                <w:rFonts w:ascii="宋体" w:hAnsi="宋体" w:eastAsia="宋体"/>
                <w:sz w:val="16"/>
              </w:rPr>
              <w:t>新疆阿克陶县文化馆</w:t>
            </w:r>
          </w:p>
        </w:tc>
      </w:tr>
      <w:tr w14:paraId="3D63854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89F83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E1000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6B1CA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A0695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60CAF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16DA3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4EB15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5109A">
            <w:pPr>
              <w:jc w:val="center"/>
            </w:pPr>
            <w:r>
              <w:rPr>
                <w:rFonts w:ascii="宋体" w:hAnsi="宋体" w:eastAsia="宋体"/>
                <w:sz w:val="16"/>
              </w:rPr>
              <w:t>得分</w:t>
            </w:r>
          </w:p>
        </w:tc>
      </w:tr>
      <w:tr w14:paraId="523AB5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A79F7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A6B9B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A481DB">
            <w:pPr>
              <w:jc w:val="center"/>
            </w:pPr>
            <w:r>
              <w:rPr>
                <w:rFonts w:ascii="宋体" w:hAnsi="宋体" w:eastAsia="宋体"/>
                <w:sz w:val="16"/>
              </w:rPr>
              <w:t>9.60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61DF70">
            <w:pPr>
              <w:jc w:val="center"/>
            </w:pPr>
            <w:r>
              <w:rPr>
                <w:rFonts w:ascii="宋体" w:hAnsi="宋体" w:eastAsia="宋体"/>
                <w:sz w:val="16"/>
              </w:rPr>
              <w:t>9.60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6ED6B0">
            <w:pPr>
              <w:jc w:val="center"/>
            </w:pPr>
            <w:r>
              <w:rPr>
                <w:rFonts w:ascii="宋体" w:hAnsi="宋体" w:eastAsia="宋体"/>
                <w:sz w:val="16"/>
              </w:rPr>
              <w:t>9.60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6903C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56764E">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0D940">
            <w:pPr>
              <w:jc w:val="center"/>
            </w:pPr>
            <w:r>
              <w:rPr>
                <w:rFonts w:ascii="宋体" w:hAnsi="宋体" w:eastAsia="宋体"/>
                <w:sz w:val="16"/>
              </w:rPr>
              <w:t>10.00分</w:t>
            </w:r>
          </w:p>
        </w:tc>
      </w:tr>
      <w:tr w14:paraId="536248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99A51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39E37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6D6641">
            <w:pPr>
              <w:jc w:val="center"/>
            </w:pPr>
            <w:r>
              <w:rPr>
                <w:rFonts w:ascii="宋体" w:hAnsi="宋体" w:eastAsia="宋体"/>
                <w:sz w:val="16"/>
              </w:rPr>
              <w:t>9.60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461497">
            <w:pPr>
              <w:jc w:val="center"/>
            </w:pPr>
            <w:r>
              <w:rPr>
                <w:rFonts w:ascii="宋体" w:hAnsi="宋体" w:eastAsia="宋体"/>
                <w:sz w:val="16"/>
              </w:rPr>
              <w:t>9.60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92579">
            <w:pPr>
              <w:jc w:val="center"/>
            </w:pPr>
            <w:r>
              <w:rPr>
                <w:rFonts w:ascii="宋体" w:hAnsi="宋体" w:eastAsia="宋体"/>
                <w:sz w:val="16"/>
              </w:rPr>
              <w:t>9.60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B69A0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E1B55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7F5A1">
            <w:pPr>
              <w:jc w:val="center"/>
            </w:pPr>
            <w:r>
              <w:rPr>
                <w:rFonts w:ascii="宋体" w:hAnsi="宋体" w:eastAsia="宋体"/>
                <w:sz w:val="16"/>
              </w:rPr>
              <w:t>—</w:t>
            </w:r>
          </w:p>
        </w:tc>
      </w:tr>
      <w:tr w14:paraId="052A06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3E3A2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B2EF7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65041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ECD6A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3140D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2F73B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BD6F2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87FAA">
            <w:pPr>
              <w:jc w:val="center"/>
            </w:pPr>
            <w:r>
              <w:rPr>
                <w:rFonts w:ascii="宋体" w:hAnsi="宋体" w:eastAsia="宋体"/>
                <w:sz w:val="16"/>
              </w:rPr>
              <w:t>—</w:t>
            </w:r>
          </w:p>
        </w:tc>
      </w:tr>
      <w:tr w14:paraId="4500B9A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DE4B0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17749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38E1E00">
            <w:pPr>
              <w:jc w:val="center"/>
            </w:pPr>
            <w:r>
              <w:rPr>
                <w:rFonts w:ascii="宋体" w:hAnsi="宋体" w:eastAsia="宋体"/>
                <w:sz w:val="16"/>
              </w:rPr>
              <w:t>实际完成情况</w:t>
            </w:r>
          </w:p>
        </w:tc>
      </w:tr>
      <w:tr w14:paraId="4403E2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2A10F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13643E">
            <w:pPr>
              <w:jc w:val="both"/>
            </w:pPr>
            <w:r>
              <w:rPr>
                <w:rFonts w:ascii="宋体" w:hAnsi="宋体" w:eastAsia="宋体"/>
                <w:sz w:val="16"/>
              </w:rPr>
              <w:t>该笔资金用于支付2024年聘用野外看护人员经费，巡查保护文物单位不少于140次，使得文物保护点得到有效保护。</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5E562BB">
            <w:pPr>
              <w:jc w:val="both"/>
            </w:pPr>
            <w:r>
              <w:rPr>
                <w:rFonts w:ascii="宋体" w:hAnsi="宋体" w:eastAsia="宋体"/>
                <w:sz w:val="16"/>
              </w:rPr>
              <w:t>2024年给聘用野外看护人员发放补助经费，提升了他们工作积极性和责任感，巡查保护文物单位不少于140次，使得文物保护点得到有效保护。</w:t>
            </w:r>
          </w:p>
        </w:tc>
      </w:tr>
      <w:tr w14:paraId="4BE1255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332AA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FCD2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9142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9F47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3815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3D77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A33A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59B6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D605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59CD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5F4E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B5BD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93DEAD">
            <w:pPr>
              <w:jc w:val="center"/>
            </w:pPr>
            <w:r>
              <w:rPr>
                <w:rFonts w:ascii="宋体" w:hAnsi="宋体" w:eastAsia="宋体"/>
                <w:sz w:val="16"/>
              </w:rPr>
              <w:t>偏差原因分析及改进措施</w:t>
            </w:r>
          </w:p>
        </w:tc>
      </w:tr>
      <w:tr w14:paraId="2D598DF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8E9AC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E002E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492AF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6B831">
            <w:pPr>
              <w:jc w:val="center"/>
            </w:pPr>
            <w:r>
              <w:rPr>
                <w:rFonts w:ascii="宋体" w:hAnsi="宋体" w:eastAsia="宋体"/>
                <w:sz w:val="16"/>
              </w:rPr>
              <w:t>保障看护人员人数（人）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79466">
            <w:pPr>
              <w:jc w:val="center"/>
            </w:pPr>
            <w:r>
              <w:rPr>
                <w:rFonts w:ascii="宋体" w:hAnsi="宋体" w:eastAsia="宋体"/>
                <w:sz w:val="16"/>
              </w:rPr>
              <w:t>&gt;=4人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023A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16220">
            <w:pPr>
              <w:jc w:val="center"/>
            </w:pPr>
            <w:r>
              <w:rPr>
                <w:rFonts w:ascii="宋体" w:hAnsi="宋体" w:eastAsia="宋体"/>
                <w:sz w:val="16"/>
              </w:rPr>
              <w: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820C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514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B841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D634E">
            <w:pPr>
              <w:jc w:val="center"/>
            </w:pPr>
            <w:r>
              <w:rPr>
                <w:rFonts w:ascii="宋体" w:hAnsi="宋体" w:eastAsia="宋体"/>
                <w:sz w:val="16"/>
              </w:rPr>
              <w: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E1C8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963EE7">
            <w:pPr>
              <w:jc w:val="center"/>
            </w:pPr>
          </w:p>
        </w:tc>
      </w:tr>
      <w:tr w14:paraId="1A2991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6A8E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0ABB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28E2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6BA8A">
            <w:pPr>
              <w:jc w:val="center"/>
            </w:pPr>
            <w:r>
              <w:rPr>
                <w:rFonts w:ascii="宋体" w:hAnsi="宋体" w:eastAsia="宋体"/>
                <w:sz w:val="16"/>
              </w:rPr>
              <w:t>开展文物保护活动（次）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9DBE4">
            <w:pPr>
              <w:jc w:val="center"/>
            </w:pPr>
            <w:r>
              <w:rPr>
                <w:rFonts w:ascii="宋体" w:hAnsi="宋体" w:eastAsia="宋体"/>
                <w:sz w:val="16"/>
              </w:rPr>
              <w:t>&gt;=140次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0445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F1959">
            <w:pPr>
              <w:jc w:val="center"/>
            </w:pPr>
            <w:r>
              <w:rPr>
                <w:rFonts w:ascii="宋体" w:hAnsi="宋体" w:eastAsia="宋体"/>
                <w:sz w:val="16"/>
              </w:rPr>
              <w:t>=122次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B969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4A18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D60B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65A4F">
            <w:pPr>
              <w:jc w:val="center"/>
            </w:pPr>
            <w:r>
              <w:rPr>
                <w:rFonts w:ascii="宋体" w:hAnsi="宋体" w:eastAsia="宋体"/>
                <w:sz w:val="16"/>
              </w:rPr>
              <w:t>=140次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E30D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6D2F8D">
            <w:pPr>
              <w:jc w:val="center"/>
            </w:pPr>
          </w:p>
        </w:tc>
      </w:tr>
      <w:tr w14:paraId="35D4CF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4362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663DF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81C89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46E03">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91A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45EB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13C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EB66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D1DA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95AE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50B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B0B6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C8C72B">
            <w:pPr>
              <w:jc w:val="center"/>
            </w:pPr>
          </w:p>
        </w:tc>
      </w:tr>
      <w:tr w14:paraId="41240A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28BA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4E87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5472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D2980">
            <w:pPr>
              <w:jc w:val="center"/>
            </w:pPr>
            <w:r>
              <w:rPr>
                <w:rFonts w:ascii="宋体" w:hAnsi="宋体" w:eastAsia="宋体"/>
                <w:sz w:val="16"/>
              </w:rPr>
              <w:t>补助经费足额发放率（%）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8FD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8E2D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D7B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BE94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F4F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036E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D67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D644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7976D1">
            <w:pPr>
              <w:jc w:val="center"/>
            </w:pPr>
          </w:p>
        </w:tc>
      </w:tr>
      <w:tr w14:paraId="4973DE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3186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FCEF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3064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02FB9">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F63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E439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EC2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0930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C8F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62D0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E3F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7B6F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018804">
            <w:pPr>
              <w:jc w:val="center"/>
            </w:pPr>
          </w:p>
        </w:tc>
      </w:tr>
      <w:tr w14:paraId="53F188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1A4D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D7F8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B40D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10E41">
            <w:pPr>
              <w:jc w:val="center"/>
            </w:pPr>
            <w:r>
              <w:rPr>
                <w:rFonts w:ascii="宋体" w:hAnsi="宋体" w:eastAsia="宋体"/>
                <w:sz w:val="16"/>
              </w:rPr>
              <w:t>补助经费（万元）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32257">
            <w:pPr>
              <w:jc w:val="center"/>
            </w:pPr>
            <w:r>
              <w:rPr>
                <w:rFonts w:ascii="宋体" w:hAnsi="宋体" w:eastAsia="宋体"/>
                <w:sz w:val="16"/>
              </w:rPr>
              <w:t>=9.60万元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3FDB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7CEE7">
            <w:pPr>
              <w:jc w:val="center"/>
            </w:pPr>
            <w:r>
              <w:rPr>
                <w:rFonts w:ascii="宋体" w:hAnsi="宋体" w:eastAsia="宋体"/>
                <w:sz w:val="16"/>
              </w:rPr>
              <w:t>=9.6万元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446D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A02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E863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C6C6C">
            <w:pPr>
              <w:jc w:val="center"/>
            </w:pPr>
            <w:r>
              <w:rPr>
                <w:rFonts w:ascii="宋体" w:hAnsi="宋体" w:eastAsia="宋体"/>
                <w:sz w:val="16"/>
              </w:rPr>
              <w:t>=9.6万元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95EB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AA54DD">
            <w:pPr>
              <w:jc w:val="center"/>
            </w:pPr>
          </w:p>
        </w:tc>
      </w:tr>
      <w:tr w14:paraId="2B46B7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CA9DE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68FB68">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6B6AE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D14FC">
            <w:pPr>
              <w:jc w:val="center"/>
            </w:pPr>
            <w:r>
              <w:rPr>
                <w:rFonts w:ascii="宋体" w:hAnsi="宋体" w:eastAsia="宋体"/>
                <w:sz w:val="16"/>
              </w:rPr>
              <w:t>业务保障能力提升情况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738BF">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969B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8DA67">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EBEA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DB02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C55E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90D7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4037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46EC9F">
            <w:pPr>
              <w:jc w:val="center"/>
            </w:pPr>
          </w:p>
        </w:tc>
      </w:tr>
      <w:tr w14:paraId="4B2D87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D7F4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881C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AE60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992C7">
            <w:pPr>
              <w:jc w:val="center"/>
            </w:pPr>
            <w:r>
              <w:rPr>
                <w:rFonts w:ascii="宋体" w:hAnsi="宋体" w:eastAsia="宋体"/>
                <w:sz w:val="16"/>
              </w:rPr>
              <w:t>提升看护员工作积极性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07139">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DF83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112A6">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98DD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FBAA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F419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93241">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B5F7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12E76F">
            <w:pPr>
              <w:jc w:val="center"/>
            </w:pPr>
          </w:p>
        </w:tc>
      </w:tr>
      <w:tr w14:paraId="01F8A7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D3F1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5367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C93F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72A51">
            <w:pPr>
              <w:jc w:val="center"/>
            </w:pPr>
            <w:r>
              <w:rPr>
                <w:rFonts w:ascii="宋体" w:hAnsi="宋体" w:eastAsia="宋体"/>
                <w:sz w:val="16"/>
              </w:rPr>
              <w:t>受益看护员满意度（%）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56B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7938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39B21">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D4EF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A612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A8CF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AAD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5632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EBCF78">
            <w:pPr>
              <w:jc w:val="center"/>
            </w:pPr>
          </w:p>
        </w:tc>
      </w:tr>
      <w:tr w14:paraId="5EF5FEF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403A5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94CD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3D201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7C611">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742FCE5"/>
        </w:tc>
      </w:tr>
    </w:tbl>
    <w:p w14:paraId="3123362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689EA99D">
        <w:tc>
          <w:tcPr>
            <w:tcW w:w="8848" w:type="dxa"/>
            <w:gridSpan w:val="14"/>
            <w:vAlign w:val="center"/>
          </w:tcPr>
          <w:p w14:paraId="617075BD">
            <w:pPr>
              <w:jc w:val="center"/>
            </w:pPr>
            <w:r>
              <w:rPr>
                <w:rFonts w:ascii="宋体" w:hAnsi="宋体" w:eastAsia="宋体"/>
                <w:sz w:val="24"/>
              </w:rPr>
              <w:t>项目支出绩效自评表</w:t>
            </w:r>
          </w:p>
        </w:tc>
      </w:tr>
      <w:tr w14:paraId="389E34DC">
        <w:tblPrEx>
          <w:tblCellMar>
            <w:top w:w="0" w:type="dxa"/>
            <w:left w:w="108" w:type="dxa"/>
            <w:bottom w:w="0" w:type="dxa"/>
            <w:right w:w="108" w:type="dxa"/>
          </w:tblCellMar>
        </w:tblPrEx>
        <w:tc>
          <w:tcPr>
            <w:tcW w:w="8848" w:type="dxa"/>
            <w:gridSpan w:val="14"/>
            <w:vAlign w:val="center"/>
          </w:tcPr>
          <w:p w14:paraId="5CDCCBFD">
            <w:pPr>
              <w:jc w:val="center"/>
            </w:pPr>
            <w:r>
              <w:rPr>
                <w:rFonts w:ascii="宋体" w:hAnsi="宋体" w:eastAsia="宋体"/>
                <w:sz w:val="24"/>
              </w:rPr>
              <w:t>(2024年度)</w:t>
            </w:r>
          </w:p>
        </w:tc>
      </w:tr>
      <w:tr w14:paraId="5327352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1529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028F5A7">
            <w:pPr>
              <w:jc w:val="center"/>
            </w:pPr>
            <w:r>
              <w:rPr>
                <w:rFonts w:ascii="宋体" w:hAnsi="宋体" w:eastAsia="宋体"/>
                <w:sz w:val="16"/>
              </w:rPr>
              <w:t>2024年聘请优秀约隆传承人补助费（县级）</w:t>
            </w:r>
          </w:p>
        </w:tc>
      </w:tr>
      <w:tr w14:paraId="02606A0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C8F1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54CC14">
            <w:pPr>
              <w:jc w:val="center"/>
            </w:pPr>
            <w:r>
              <w:rPr>
                <w:rFonts w:ascii="宋体" w:hAnsi="宋体" w:eastAsia="宋体"/>
                <w:sz w:val="16"/>
              </w:rPr>
              <w:t>新疆阿克陶县文化馆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1469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550B4E1">
            <w:pPr>
              <w:jc w:val="center"/>
            </w:pPr>
            <w:r>
              <w:rPr>
                <w:rFonts w:ascii="宋体" w:hAnsi="宋体" w:eastAsia="宋体"/>
                <w:sz w:val="16"/>
              </w:rPr>
              <w:t>新疆阿克陶县文化馆</w:t>
            </w:r>
          </w:p>
        </w:tc>
      </w:tr>
      <w:tr w14:paraId="22BD71E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9E747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75986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0F1B0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CD925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A5312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20CD6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B7494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50F1F">
            <w:pPr>
              <w:jc w:val="center"/>
            </w:pPr>
            <w:r>
              <w:rPr>
                <w:rFonts w:ascii="宋体" w:hAnsi="宋体" w:eastAsia="宋体"/>
                <w:sz w:val="16"/>
              </w:rPr>
              <w:t>得分</w:t>
            </w:r>
          </w:p>
        </w:tc>
      </w:tr>
      <w:tr w14:paraId="24DCAC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10C26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2D9E6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32D339">
            <w:pPr>
              <w:jc w:val="center"/>
            </w:pPr>
            <w:r>
              <w:rPr>
                <w:rFonts w:ascii="宋体" w:hAnsi="宋体" w:eastAsia="宋体"/>
                <w:sz w:val="16"/>
              </w:rPr>
              <w:t>2.88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268F7F">
            <w:pPr>
              <w:jc w:val="center"/>
            </w:pPr>
            <w:r>
              <w:rPr>
                <w:rFonts w:ascii="宋体" w:hAnsi="宋体" w:eastAsia="宋体"/>
                <w:sz w:val="16"/>
              </w:rPr>
              <w:t>2.88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C263DB">
            <w:pPr>
              <w:jc w:val="center"/>
            </w:pPr>
            <w:r>
              <w:rPr>
                <w:rFonts w:ascii="宋体" w:hAnsi="宋体" w:eastAsia="宋体"/>
                <w:sz w:val="16"/>
              </w:rPr>
              <w:t>2.88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ED7E9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DF5F3D">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36A29">
            <w:pPr>
              <w:jc w:val="center"/>
            </w:pPr>
            <w:r>
              <w:rPr>
                <w:rFonts w:ascii="宋体" w:hAnsi="宋体" w:eastAsia="宋体"/>
                <w:sz w:val="16"/>
              </w:rPr>
              <w:t>10.00分</w:t>
            </w:r>
          </w:p>
        </w:tc>
      </w:tr>
      <w:tr w14:paraId="0440C5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BA586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FA4AA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3B6EB8">
            <w:pPr>
              <w:jc w:val="center"/>
            </w:pPr>
            <w:r>
              <w:rPr>
                <w:rFonts w:ascii="宋体" w:hAnsi="宋体" w:eastAsia="宋体"/>
                <w:sz w:val="16"/>
              </w:rPr>
              <w:t>2.88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3326A3">
            <w:pPr>
              <w:jc w:val="center"/>
            </w:pPr>
            <w:r>
              <w:rPr>
                <w:rFonts w:ascii="宋体" w:hAnsi="宋体" w:eastAsia="宋体"/>
                <w:sz w:val="16"/>
              </w:rPr>
              <w:t>2.88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2EF575">
            <w:pPr>
              <w:jc w:val="center"/>
            </w:pPr>
            <w:r>
              <w:rPr>
                <w:rFonts w:ascii="宋体" w:hAnsi="宋体" w:eastAsia="宋体"/>
                <w:sz w:val="16"/>
              </w:rPr>
              <w:t>2.88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70A44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911A2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D08F2">
            <w:pPr>
              <w:jc w:val="center"/>
            </w:pPr>
            <w:r>
              <w:rPr>
                <w:rFonts w:ascii="宋体" w:hAnsi="宋体" w:eastAsia="宋体"/>
                <w:sz w:val="16"/>
              </w:rPr>
              <w:t>—</w:t>
            </w:r>
          </w:p>
        </w:tc>
      </w:tr>
      <w:tr w14:paraId="15F86D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29695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BBC2C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151F1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FFB84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799EB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3811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D11FB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1F712">
            <w:pPr>
              <w:jc w:val="center"/>
            </w:pPr>
            <w:r>
              <w:rPr>
                <w:rFonts w:ascii="宋体" w:hAnsi="宋体" w:eastAsia="宋体"/>
                <w:sz w:val="16"/>
              </w:rPr>
              <w:t>—</w:t>
            </w:r>
          </w:p>
        </w:tc>
      </w:tr>
      <w:tr w14:paraId="61CAF60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72C10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7A564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9A19E3A">
            <w:pPr>
              <w:jc w:val="center"/>
            </w:pPr>
            <w:r>
              <w:rPr>
                <w:rFonts w:ascii="宋体" w:hAnsi="宋体" w:eastAsia="宋体"/>
                <w:sz w:val="16"/>
              </w:rPr>
              <w:t>实际完成情况</w:t>
            </w:r>
          </w:p>
        </w:tc>
      </w:tr>
      <w:tr w14:paraId="4E47AC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F9F1E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3F99BA">
            <w:pPr>
              <w:jc w:val="both"/>
            </w:pPr>
            <w:r>
              <w:rPr>
                <w:rFonts w:ascii="宋体" w:hAnsi="宋体" w:eastAsia="宋体"/>
                <w:sz w:val="16"/>
              </w:rPr>
              <w:t>该笔资金用于支付2024年聘用优秀约隆传承人经费，保障柯尔克孜约隆演唱活动每年开展不少于6次，以</w:t>
            </w:r>
            <w:bookmarkStart w:id="0" w:name="_GoBack"/>
            <w:r>
              <w:rPr>
                <w:rFonts w:hint="eastAsia" w:ascii="宋体" w:hAnsi="宋体"/>
                <w:sz w:val="16"/>
                <w:lang w:eastAsia="zh-CN"/>
              </w:rPr>
              <w:t>适度</w:t>
            </w:r>
            <w:bookmarkEnd w:id="0"/>
            <w:r>
              <w:rPr>
                <w:rFonts w:ascii="宋体" w:hAnsi="宋体" w:eastAsia="宋体"/>
                <w:sz w:val="16"/>
              </w:rPr>
              <w:t>提升宣传推广国家级非物质文化遗产力度。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8703720">
            <w:pPr>
              <w:jc w:val="both"/>
            </w:pPr>
            <w:r>
              <w:rPr>
                <w:rFonts w:ascii="宋体" w:hAnsi="宋体" w:eastAsia="宋体"/>
                <w:sz w:val="16"/>
              </w:rPr>
              <w:t>该笔资金用于2024年聘用优秀约隆传承人补助经费，保障了柯尔克孜约隆演唱活动开展6次，提升了宣传推广国家级非物质文化遗产力度。</w:t>
            </w:r>
          </w:p>
        </w:tc>
      </w:tr>
      <w:tr w14:paraId="3BE8FE6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78E4F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4C20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3067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2701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D741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F6B1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0299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17E3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D041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2B96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0462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3E20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711284">
            <w:pPr>
              <w:jc w:val="center"/>
            </w:pPr>
            <w:r>
              <w:rPr>
                <w:rFonts w:ascii="宋体" w:hAnsi="宋体" w:eastAsia="宋体"/>
                <w:sz w:val="16"/>
              </w:rPr>
              <w:t>偏差原因分析及改进措施</w:t>
            </w:r>
          </w:p>
        </w:tc>
      </w:tr>
      <w:tr w14:paraId="7E0EEA8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A2002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FB0BE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79CF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4991F">
            <w:pPr>
              <w:jc w:val="center"/>
            </w:pPr>
            <w:r>
              <w:rPr>
                <w:rFonts w:ascii="宋体" w:hAnsi="宋体" w:eastAsia="宋体"/>
                <w:sz w:val="16"/>
              </w:rPr>
              <w:t>组织柯尔克孜约隆传承活动(次/年）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7FE77">
            <w:pPr>
              <w:jc w:val="center"/>
            </w:pPr>
            <w:r>
              <w:rPr>
                <w:rFonts w:ascii="宋体" w:hAnsi="宋体" w:eastAsia="宋体"/>
                <w:sz w:val="16"/>
              </w:rPr>
              <w:t>&gt;=6次/年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D8E3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569F2">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45566">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7D20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D17E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E7101">
            <w:pPr>
              <w:jc w:val="center"/>
            </w:pPr>
            <w:r>
              <w:rPr>
                <w:rFonts w:ascii="宋体" w:hAnsi="宋体" w:eastAsia="宋体"/>
                <w:sz w:val="16"/>
              </w:rPr>
              <w:t>=6次/年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0EB19">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C97DD1">
            <w:pPr>
              <w:jc w:val="center"/>
            </w:pPr>
          </w:p>
        </w:tc>
      </w:tr>
      <w:tr w14:paraId="07F8D1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83DB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FB55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3561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D0AC9">
            <w:pPr>
              <w:jc w:val="center"/>
            </w:pPr>
            <w:r>
              <w:rPr>
                <w:rFonts w:ascii="宋体" w:hAnsi="宋体" w:eastAsia="宋体"/>
                <w:sz w:val="16"/>
              </w:rPr>
              <w:t>参加柯尔克孜约隆演唱活动完成率（%）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21F5F">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5045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1FD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F450D">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A65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81DC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A99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C91E5">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9D38AD">
            <w:pPr>
              <w:jc w:val="center"/>
            </w:pPr>
          </w:p>
        </w:tc>
      </w:tr>
      <w:tr w14:paraId="37AE29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240C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08B4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8B72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47287">
            <w:pPr>
              <w:jc w:val="center"/>
            </w:pPr>
            <w:r>
              <w:rPr>
                <w:rFonts w:ascii="宋体" w:hAnsi="宋体" w:eastAsia="宋体"/>
                <w:sz w:val="16"/>
              </w:rPr>
              <w:t>资金使用时间（月）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AC19E">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2546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19A34">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7BC1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7727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0E60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409DD">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DACB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80A597">
            <w:pPr>
              <w:jc w:val="center"/>
            </w:pPr>
          </w:p>
        </w:tc>
      </w:tr>
      <w:tr w14:paraId="127691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09D2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FD07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E4D0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392D4">
            <w:pPr>
              <w:jc w:val="center"/>
            </w:pPr>
            <w:r>
              <w:rPr>
                <w:rFonts w:ascii="宋体" w:hAnsi="宋体" w:eastAsia="宋体"/>
                <w:sz w:val="16"/>
              </w:rPr>
              <w:t>优秀约隆传承人经费（万元）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3CB69">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22A3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54EB0">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7868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F6D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7BE3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0B913">
            <w:pPr>
              <w:jc w:val="center"/>
            </w:pPr>
            <w:r>
              <w:rPr>
                <w:rFonts w:ascii="宋体" w:hAnsi="宋体" w:eastAsia="宋体"/>
                <w:sz w:val="16"/>
              </w:rPr>
              <w:t>=2.88万元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ED29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350FE3">
            <w:pPr>
              <w:jc w:val="center"/>
            </w:pPr>
          </w:p>
        </w:tc>
      </w:tr>
      <w:tr w14:paraId="7E016E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BDD6D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6B5687">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DF40A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4CB1F">
            <w:pPr>
              <w:jc w:val="center"/>
            </w:pPr>
            <w:r>
              <w:rPr>
                <w:rFonts w:ascii="宋体" w:hAnsi="宋体" w:eastAsia="宋体"/>
                <w:sz w:val="16"/>
              </w:rPr>
              <w:t>弘扬中华传统文化情况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0EB6A">
            <w:pPr>
              <w:jc w:val="center"/>
            </w:pPr>
            <w:r>
              <w:rPr>
                <w:rFonts w:ascii="宋体" w:hAnsi="宋体" w:eastAsia="宋体"/>
                <w:sz w:val="16"/>
              </w:rPr>
              <w:t>弘扬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93E6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95E73">
            <w:pPr>
              <w:jc w:val="center"/>
            </w:pPr>
            <w:r>
              <w:rPr>
                <w:rFonts w:ascii="宋体" w:hAnsi="宋体" w:eastAsia="宋体"/>
                <w:sz w:val="16"/>
              </w:rPr>
              <w:t>弘扬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6DAE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B6AF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2C78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3173D">
            <w:pPr>
              <w:jc w:val="center"/>
            </w:pPr>
            <w:r>
              <w:rPr>
                <w:rFonts w:ascii="宋体" w:hAnsi="宋体" w:eastAsia="宋体"/>
                <w:sz w:val="16"/>
              </w:rPr>
              <w:t>弘扬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EBDC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5054F5">
            <w:pPr>
              <w:jc w:val="center"/>
            </w:pPr>
          </w:p>
        </w:tc>
      </w:tr>
      <w:tr w14:paraId="5F2272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0436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0B4F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7A18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C6C8A">
            <w:pPr>
              <w:jc w:val="center"/>
            </w:pPr>
            <w:r>
              <w:rPr>
                <w:rFonts w:ascii="宋体" w:hAnsi="宋体" w:eastAsia="宋体"/>
                <w:sz w:val="16"/>
              </w:rPr>
              <w:t>提升宣传推广国家级非物质文化遗产力度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D31B0">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C441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804C0">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7B00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B6F8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8271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94D7D">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FA03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281DE7">
            <w:pPr>
              <w:jc w:val="center"/>
            </w:pPr>
          </w:p>
        </w:tc>
      </w:tr>
      <w:tr w14:paraId="515090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03A3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BC0F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3E10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994FF">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D181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9EBB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5B4F3">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D3F1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9E63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D785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A5B6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AC15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52B137">
            <w:pPr>
              <w:jc w:val="center"/>
            </w:pPr>
          </w:p>
        </w:tc>
      </w:tr>
      <w:tr w14:paraId="083ABE1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22796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48B4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3200A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AF561">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2737821"/>
        </w:tc>
      </w:tr>
    </w:tbl>
    <w:p w14:paraId="7AAF6241">
      <w:r>
        <w:br w:type="page"/>
      </w:r>
    </w:p>
    <w:p w14:paraId="42577692">
      <w:pPr>
        <w:spacing w:line="640" w:lineRule="exact"/>
        <w:ind w:firstLine="640"/>
        <w:jc w:val="both"/>
        <w:outlineLvl w:val="2"/>
      </w:pPr>
      <w:r>
        <w:rPr>
          <w:rFonts w:ascii="黑体" w:hAnsi="黑体" w:eastAsia="黑体"/>
          <w:sz w:val="32"/>
        </w:rPr>
        <w:t>十二、其他需说明的事项</w:t>
      </w:r>
    </w:p>
    <w:p w14:paraId="2812506B">
      <w:pPr>
        <w:spacing w:line="580" w:lineRule="exact"/>
        <w:ind w:firstLine="640"/>
        <w:jc w:val="both"/>
      </w:pPr>
      <w:r>
        <w:rPr>
          <w:rFonts w:ascii="仿宋_GB2312" w:hAnsi="仿宋_GB2312" w:eastAsia="仿宋_GB2312"/>
          <w:b w:val="0"/>
          <w:sz w:val="32"/>
        </w:rPr>
        <w:t>本单位2024年度无政府采购支出，授予中小企业合同金额0.00万元。</w:t>
      </w:r>
    </w:p>
    <w:p w14:paraId="1F237C6F">
      <w:r>
        <w:br w:type="page"/>
      </w:r>
    </w:p>
    <w:p w14:paraId="513B3A59">
      <w:pPr>
        <w:spacing w:line="240" w:lineRule="auto"/>
        <w:jc w:val="center"/>
        <w:outlineLvl w:val="1"/>
      </w:pPr>
      <w:r>
        <w:rPr>
          <w:rFonts w:ascii="黑体" w:hAnsi="黑体" w:eastAsia="黑体"/>
          <w:sz w:val="32"/>
        </w:rPr>
        <w:t>第三部分 专业名词解释</w:t>
      </w:r>
    </w:p>
    <w:p w14:paraId="1E930555">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2A3AED7">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41360F5">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777E193">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B1B6126">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328549C">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9BD2684">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F10F58D">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3796FBF">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3C3C00D">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6B0D37F">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039DB82">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66398A9">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B1623B3">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2AD3728">
      <w:r>
        <w:br w:type="page"/>
      </w:r>
    </w:p>
    <w:p w14:paraId="32AE92D9">
      <w:pPr>
        <w:spacing w:line="240" w:lineRule="auto"/>
        <w:jc w:val="center"/>
        <w:outlineLvl w:val="1"/>
      </w:pPr>
      <w:r>
        <w:rPr>
          <w:rFonts w:ascii="黑体" w:hAnsi="黑体" w:eastAsia="黑体"/>
          <w:sz w:val="32"/>
        </w:rPr>
        <w:t>第四部分 部门决算报表（见附表）</w:t>
      </w:r>
    </w:p>
    <w:p w14:paraId="24C6464B">
      <w:pPr>
        <w:spacing w:line="240" w:lineRule="auto"/>
        <w:ind w:firstLine="640"/>
        <w:jc w:val="both"/>
      </w:pPr>
      <w:r>
        <w:rPr>
          <w:rFonts w:ascii="仿宋_GB2312" w:hAnsi="仿宋_GB2312" w:eastAsia="仿宋_GB2312"/>
          <w:b w:val="0"/>
          <w:sz w:val="32"/>
        </w:rPr>
        <w:t>一、《收入支出决算总表》</w:t>
      </w:r>
    </w:p>
    <w:p w14:paraId="3C79723C">
      <w:pPr>
        <w:spacing w:line="240" w:lineRule="auto"/>
        <w:ind w:firstLine="640"/>
        <w:jc w:val="both"/>
      </w:pPr>
      <w:r>
        <w:rPr>
          <w:rFonts w:ascii="仿宋_GB2312" w:hAnsi="仿宋_GB2312" w:eastAsia="仿宋_GB2312"/>
          <w:b w:val="0"/>
          <w:sz w:val="32"/>
        </w:rPr>
        <w:t>二、《收入决算表》</w:t>
      </w:r>
    </w:p>
    <w:p w14:paraId="7BDEB5B2">
      <w:pPr>
        <w:spacing w:line="240" w:lineRule="auto"/>
        <w:ind w:firstLine="640"/>
        <w:jc w:val="both"/>
      </w:pPr>
      <w:r>
        <w:rPr>
          <w:rFonts w:ascii="仿宋_GB2312" w:hAnsi="仿宋_GB2312" w:eastAsia="仿宋_GB2312"/>
          <w:b w:val="0"/>
          <w:sz w:val="32"/>
        </w:rPr>
        <w:t>三、《支出决算表》</w:t>
      </w:r>
    </w:p>
    <w:p w14:paraId="432A339A">
      <w:pPr>
        <w:spacing w:line="240" w:lineRule="auto"/>
        <w:ind w:firstLine="640"/>
        <w:jc w:val="both"/>
      </w:pPr>
      <w:r>
        <w:rPr>
          <w:rFonts w:ascii="仿宋_GB2312" w:hAnsi="仿宋_GB2312" w:eastAsia="仿宋_GB2312"/>
          <w:b w:val="0"/>
          <w:sz w:val="32"/>
        </w:rPr>
        <w:t>四、《财政拨款收入支出决算总表》</w:t>
      </w:r>
    </w:p>
    <w:p w14:paraId="6E52B95E">
      <w:pPr>
        <w:spacing w:line="240" w:lineRule="auto"/>
        <w:ind w:firstLine="640"/>
        <w:jc w:val="both"/>
      </w:pPr>
      <w:r>
        <w:rPr>
          <w:rFonts w:ascii="仿宋_GB2312" w:hAnsi="仿宋_GB2312" w:eastAsia="仿宋_GB2312"/>
          <w:b w:val="0"/>
          <w:sz w:val="32"/>
        </w:rPr>
        <w:t>五、《一般公共预算财政拨款支出决算表》</w:t>
      </w:r>
    </w:p>
    <w:p w14:paraId="1E221DEA">
      <w:pPr>
        <w:spacing w:line="240" w:lineRule="auto"/>
        <w:ind w:firstLine="640"/>
        <w:jc w:val="both"/>
      </w:pPr>
      <w:r>
        <w:rPr>
          <w:rFonts w:ascii="仿宋_GB2312" w:hAnsi="仿宋_GB2312" w:eastAsia="仿宋_GB2312"/>
          <w:b w:val="0"/>
          <w:sz w:val="32"/>
        </w:rPr>
        <w:t>六、《一般公共预算财政拨款基本支出决算表》</w:t>
      </w:r>
    </w:p>
    <w:p w14:paraId="3CAFCCBC">
      <w:pPr>
        <w:spacing w:line="240" w:lineRule="auto"/>
        <w:ind w:firstLine="640"/>
        <w:jc w:val="both"/>
      </w:pPr>
      <w:r>
        <w:rPr>
          <w:rFonts w:ascii="仿宋_GB2312" w:hAnsi="仿宋_GB2312" w:eastAsia="仿宋_GB2312"/>
          <w:b w:val="0"/>
          <w:sz w:val="32"/>
        </w:rPr>
        <w:t>七、《政府性基金预算财政拨款收入支出决算表》</w:t>
      </w:r>
    </w:p>
    <w:p w14:paraId="70C1F409">
      <w:pPr>
        <w:spacing w:line="240" w:lineRule="auto"/>
        <w:ind w:firstLine="640"/>
        <w:jc w:val="both"/>
      </w:pPr>
      <w:r>
        <w:rPr>
          <w:rFonts w:ascii="仿宋_GB2312" w:hAnsi="仿宋_GB2312" w:eastAsia="仿宋_GB2312"/>
          <w:b w:val="0"/>
          <w:sz w:val="32"/>
        </w:rPr>
        <w:t>八、《国有资本经营预算财政拨款收入支出决算表》</w:t>
      </w:r>
    </w:p>
    <w:p w14:paraId="5994A10E">
      <w:pPr>
        <w:spacing w:line="240" w:lineRule="auto"/>
        <w:ind w:firstLine="640"/>
        <w:jc w:val="both"/>
      </w:pPr>
      <w:r>
        <w:rPr>
          <w:rFonts w:ascii="仿宋_GB2312" w:hAnsi="仿宋_GB2312" w:eastAsia="仿宋_GB2312"/>
          <w:b w:val="0"/>
          <w:sz w:val="32"/>
        </w:rPr>
        <w:t>九、《财政拨款“三公”经费支出决算表》</w:t>
      </w:r>
    </w:p>
    <w:p w14:paraId="0C81A530">
      <w:pPr>
        <w:spacing w:line="240" w:lineRule="auto"/>
        <w:ind w:firstLine="640"/>
        <w:jc w:val="both"/>
      </w:pPr>
    </w:p>
    <w:p w14:paraId="7E1E0F30">
      <w:pPr>
        <w:spacing w:line="240" w:lineRule="auto"/>
        <w:ind w:firstLine="640"/>
        <w:jc w:val="both"/>
      </w:pPr>
    </w:p>
    <w:p w14:paraId="1E5D8204">
      <w:pPr>
        <w:spacing w:line="240" w:lineRule="auto"/>
        <w:ind w:firstLine="640"/>
        <w:jc w:val="both"/>
      </w:pPr>
    </w:p>
    <w:p w14:paraId="070DB61C">
      <w:pPr>
        <w:spacing w:line="240" w:lineRule="auto"/>
        <w:ind w:firstLine="640"/>
        <w:jc w:val="both"/>
      </w:pPr>
    </w:p>
    <w:p w14:paraId="17FA744B">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884E66C-C57F-47E8-9A30-7956B145260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angSong_GB2312">
    <w:altName w:val="仿宋_GB2312"/>
    <w:panose1 w:val="020B0604020202020204"/>
    <w:charset w:val="86"/>
    <w:family w:val="modern"/>
    <w:pitch w:val="default"/>
    <w:sig w:usb0="00000000" w:usb1="00000000" w:usb2="00000010" w:usb3="00000000" w:csb0="00040000" w:csb1="00000000"/>
  </w:font>
  <w:font w:name="仿宋_GB2312">
    <w:panose1 w:val="02010609030101010101"/>
    <w:charset w:val="86"/>
    <w:family w:val="auto"/>
    <w:pitch w:val="default"/>
    <w:sig w:usb0="00000001" w:usb1="080E0000" w:usb2="00000000" w:usb3="00000000" w:csb0="00040000" w:csb1="00000000"/>
    <w:embedRegular r:id="rId2" w:fontKey="{84225D62-7F04-4A81-936E-77E2A4CF72D2}"/>
  </w:font>
  <w:font w:name="楷体_GB2312">
    <w:panose1 w:val="02010609030101010101"/>
    <w:charset w:val="86"/>
    <w:family w:val="auto"/>
    <w:pitch w:val="default"/>
    <w:sig w:usb0="00000001" w:usb1="080E0000" w:usb2="00000000" w:usb3="00000000" w:csb0="00040000" w:csb1="00000000"/>
    <w:embedRegular r:id="rId3" w:fontKey="{8948DF06-8FED-4948-BF28-5326FA76666F}"/>
  </w:font>
  <w:font w:name="方正小标宋_GBK">
    <w:panose1 w:val="02000000000000000000"/>
    <w:charset w:val="86"/>
    <w:family w:val="script"/>
    <w:pitch w:val="default"/>
    <w:sig w:usb0="A00002BF" w:usb1="38CF7CFA" w:usb2="00082016" w:usb3="00000000" w:csb0="00040001" w:csb1="00000000"/>
    <w:embedRegular r:id="rId4" w:fontKey="{D878219E-A14F-4728-BCF7-284AB1B9CC7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8"/>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89F4D85"/>
    <w:rsid w:val="4B4C0111"/>
    <w:rsid w:val="4BB23021"/>
    <w:rsid w:val="4F3F074E"/>
    <w:rsid w:val="50DB5F45"/>
    <w:rsid w:val="52F92565"/>
    <w:rsid w:val="53E516F1"/>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9CD6346"/>
    <w:rsid w:val="6B68175F"/>
    <w:rsid w:val="6B8B5C99"/>
    <w:rsid w:val="6C4909E0"/>
    <w:rsid w:val="6CA7198F"/>
    <w:rsid w:val="6D8919A8"/>
    <w:rsid w:val="6E0F7A08"/>
    <w:rsid w:val="6E801ABC"/>
    <w:rsid w:val="71473612"/>
    <w:rsid w:val="718F7F65"/>
    <w:rsid w:val="73423603"/>
    <w:rsid w:val="737A5923"/>
    <w:rsid w:val="73DE2356"/>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5481</Words>
  <Characters>6227</Characters>
  <Lines>0</Lines>
  <Paragraphs>0</Paragraphs>
  <TotalTime>37</TotalTime>
  <ScaleCrop>false</ScaleCrop>
  <LinksUpToDate>false</LinksUpToDate>
  <CharactersWithSpaces>6235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2025-09-15T09:49:07Z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eyJoZGlkIjoiNTBiYjFiYzY0OWM2ODlhYjA1NDAwODJkOGMwZGNkYTMiLCJ1c2VySWQiOiIyNTk4NTcxMjUifQ==</vt:lpwstr>
  </property>
</Properties>
</file>