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阿克陶县中心敬老院2024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37E5854">
      <w:r>
        <w:br w:type="page"/>
      </w:r>
    </w:p>
    <w:p w14:paraId="0B6F5A65">
      <w:pPr>
        <w:spacing w:line="640" w:lineRule="exact"/>
        <w:jc w:val="center"/>
        <w:outlineLvl w:val="1"/>
      </w:pPr>
      <w:r>
        <w:rPr>
          <w:rFonts w:ascii="黑体" w:hAnsi="黑体" w:eastAsia="黑体"/>
          <w:sz w:val="32"/>
        </w:rPr>
        <w:t>第一部分 单位概况</w:t>
      </w:r>
    </w:p>
    <w:p w14:paraId="6FAAD674">
      <w:pPr>
        <w:spacing w:line="640" w:lineRule="exact"/>
        <w:ind w:firstLine="640"/>
        <w:jc w:val="both"/>
        <w:outlineLvl w:val="2"/>
      </w:pPr>
      <w:r>
        <w:rPr>
          <w:rFonts w:ascii="黑体" w:hAnsi="黑体" w:eastAsia="黑体"/>
          <w:sz w:val="32"/>
        </w:rPr>
        <w:t>一、主要职能</w:t>
      </w:r>
    </w:p>
    <w:p w14:paraId="639618AF">
      <w:pPr>
        <w:spacing w:line="580" w:lineRule="exact"/>
        <w:ind w:firstLine="640"/>
        <w:jc w:val="both"/>
      </w:pPr>
      <w:r>
        <w:rPr>
          <w:rFonts w:ascii="仿宋_GB2312" w:hAnsi="仿宋_GB2312" w:eastAsia="仿宋_GB2312"/>
          <w:sz w:val="32"/>
        </w:rPr>
        <w:t>（1）在上级民政部门的指导和当地</w:t>
      </w:r>
      <w:r>
        <w:rPr>
          <w:rFonts w:hint="eastAsia" w:ascii="仿宋_GB2312" w:hAnsi="仿宋_GB2312" w:eastAsia="仿宋_GB2312"/>
          <w:sz w:val="32"/>
          <w:lang w:eastAsia="zh-CN"/>
        </w:rPr>
        <w:t>党委、政府</w:t>
      </w:r>
      <w:r>
        <w:rPr>
          <w:rFonts w:ascii="仿宋_GB2312" w:hAnsi="仿宋_GB2312" w:eastAsia="仿宋_GB2312"/>
          <w:sz w:val="32"/>
        </w:rPr>
        <w:t>的领导下建立院务管理</w:t>
      </w:r>
      <w:r>
        <w:rPr>
          <w:rFonts w:hint="eastAsia" w:ascii="仿宋_GB2312" w:hAnsi="仿宋_GB2312" w:eastAsia="仿宋_GB2312"/>
          <w:sz w:val="32"/>
          <w:lang w:eastAsia="zh-CN"/>
        </w:rPr>
        <w:t>委员会</w:t>
      </w:r>
      <w:r>
        <w:rPr>
          <w:rFonts w:ascii="仿宋_GB2312" w:hAnsi="仿宋_GB2312" w:eastAsia="仿宋_GB2312"/>
          <w:sz w:val="32"/>
        </w:rPr>
        <w:t>，开展日常的管理服务工作，并接受相关部门和社会各界的监督管理。</w:t>
      </w:r>
    </w:p>
    <w:p w14:paraId="0F93C51F">
      <w:pPr>
        <w:spacing w:line="580" w:lineRule="exact"/>
        <w:ind w:firstLine="640"/>
        <w:jc w:val="both"/>
      </w:pPr>
      <w:r>
        <w:rPr>
          <w:rFonts w:ascii="仿宋_GB2312" w:hAnsi="仿宋_GB2312" w:eastAsia="仿宋_GB2312"/>
          <w:sz w:val="32"/>
        </w:rPr>
        <w:t>（2）</w:t>
      </w:r>
      <w:r>
        <w:rPr>
          <w:rFonts w:hint="eastAsia" w:ascii="仿宋_GB2312" w:hAnsi="仿宋_GB2312" w:eastAsia="仿宋_GB2312"/>
          <w:sz w:val="32"/>
          <w:lang w:eastAsia="zh-CN"/>
        </w:rPr>
        <w:t>制定</w:t>
      </w:r>
      <w:r>
        <w:rPr>
          <w:rFonts w:ascii="仿宋_GB2312" w:hAnsi="仿宋_GB2312" w:eastAsia="仿宋_GB2312"/>
          <w:sz w:val="32"/>
        </w:rPr>
        <w:t>本院管理服务，生产经营，环境改善的发展规划并组织实施。</w:t>
      </w:r>
    </w:p>
    <w:p w14:paraId="59E19646">
      <w:pPr>
        <w:spacing w:line="580" w:lineRule="exact"/>
        <w:ind w:firstLine="640"/>
        <w:jc w:val="both"/>
      </w:pPr>
      <w:r>
        <w:rPr>
          <w:rFonts w:ascii="仿宋_GB2312" w:hAnsi="仿宋_GB2312" w:eastAsia="仿宋_GB2312"/>
          <w:sz w:val="32"/>
        </w:rPr>
        <w:t>（3）坚持民主管理，文明办院，管理服务于收养入住的人员。</w:t>
      </w:r>
    </w:p>
    <w:p w14:paraId="52B79548">
      <w:pPr>
        <w:spacing w:line="580" w:lineRule="exact"/>
        <w:ind w:firstLine="640"/>
        <w:jc w:val="both"/>
      </w:pPr>
      <w:r>
        <w:rPr>
          <w:rFonts w:ascii="仿宋_GB2312" w:hAnsi="仿宋_GB2312" w:eastAsia="仿宋_GB2312"/>
          <w:sz w:val="32"/>
        </w:rPr>
        <w:t>（4）协助确保集中供养特困人员安排好吃，穿，住，医，葬等方面的基本生活。</w:t>
      </w:r>
    </w:p>
    <w:p w14:paraId="21299AE9">
      <w:pPr>
        <w:spacing w:line="580" w:lineRule="exact"/>
        <w:ind w:firstLine="640"/>
        <w:jc w:val="both"/>
      </w:pPr>
      <w:r>
        <w:rPr>
          <w:rFonts w:ascii="仿宋_GB2312" w:hAnsi="仿宋_GB2312" w:eastAsia="仿宋_GB2312"/>
          <w:sz w:val="32"/>
        </w:rPr>
        <w:t>（5）为入住人员提供生活起居等方面的照料，组织开展有益于身心健康的文化娱乐，康复保健等活动和所能及的公益服务。</w:t>
      </w:r>
    </w:p>
    <w:p w14:paraId="25E578C3">
      <w:pPr>
        <w:spacing w:line="580" w:lineRule="exact"/>
        <w:ind w:firstLine="640"/>
        <w:jc w:val="both"/>
      </w:pPr>
      <w:r>
        <w:rPr>
          <w:rFonts w:ascii="仿宋_GB2312" w:hAnsi="仿宋_GB2312" w:eastAsia="仿宋_GB2312"/>
          <w:sz w:val="32"/>
        </w:rPr>
        <w:t>（6）贯彻落实国家对集中供养特困人员的救助政策。</w:t>
      </w:r>
    </w:p>
    <w:p w14:paraId="2CFD5F6A">
      <w:pPr>
        <w:spacing w:line="580" w:lineRule="exact"/>
        <w:ind w:firstLine="640"/>
        <w:jc w:val="both"/>
      </w:pPr>
      <w:r>
        <w:rPr>
          <w:rFonts w:ascii="仿宋_GB2312" w:hAnsi="仿宋_GB2312" w:eastAsia="仿宋_GB2312"/>
          <w:sz w:val="32"/>
        </w:rPr>
        <w:t>（7）研究拟订全县集中供养特困人员救助实施方案。</w:t>
      </w:r>
    </w:p>
    <w:p w14:paraId="0B8D5FAE">
      <w:pPr>
        <w:spacing w:line="580" w:lineRule="exact"/>
        <w:ind w:firstLine="640"/>
        <w:jc w:val="both"/>
      </w:pPr>
      <w:r>
        <w:rPr>
          <w:rFonts w:ascii="仿宋_GB2312" w:hAnsi="仿宋_GB2312" w:eastAsia="仿宋_GB2312"/>
          <w:sz w:val="32"/>
        </w:rPr>
        <w:t>（8）为集中供养特困人员提供养育、预防、医疗、康复、特殊教育、心理辅导、职业技能培训。</w:t>
      </w:r>
    </w:p>
    <w:p w14:paraId="63E1F12B">
      <w:pPr>
        <w:spacing w:line="580" w:lineRule="exact"/>
        <w:ind w:firstLine="640"/>
        <w:jc w:val="both"/>
      </w:pPr>
      <w:r>
        <w:rPr>
          <w:rFonts w:ascii="仿宋_GB2312" w:hAnsi="仿宋_GB2312" w:eastAsia="仿宋_GB2312"/>
          <w:sz w:val="32"/>
        </w:rPr>
        <w:t>（9）承担全县集中供养特困人员建档工作，定期开展巡访和监督评估集中供养特困人员基本生活状况，对监护人进行指导和培训。</w:t>
      </w:r>
    </w:p>
    <w:p w14:paraId="70945C09">
      <w:pPr>
        <w:spacing w:line="640" w:lineRule="exact"/>
        <w:ind w:firstLine="640"/>
        <w:jc w:val="both"/>
        <w:outlineLvl w:val="2"/>
      </w:pPr>
      <w:r>
        <w:rPr>
          <w:rFonts w:ascii="黑体" w:hAnsi="黑体" w:eastAsia="黑体"/>
          <w:sz w:val="32"/>
        </w:rPr>
        <w:t>二、机构设置及人员情况</w:t>
      </w:r>
    </w:p>
    <w:p w14:paraId="5776F030">
      <w:pPr>
        <w:spacing w:line="580" w:lineRule="exact"/>
        <w:ind w:firstLine="640"/>
        <w:jc w:val="both"/>
      </w:pPr>
      <w:r>
        <w:rPr>
          <w:rFonts w:ascii="仿宋_GB2312" w:hAnsi="仿宋_GB2312" w:eastAsia="仿宋_GB2312"/>
          <w:sz w:val="32"/>
        </w:rPr>
        <w:t>阿克陶县中心敬老院2024年度，实有人数7人，其中：在职人员7人，增加0人；离休人员0人，增加0人；退休人员0人</w:t>
      </w:r>
      <w:bookmarkStart w:id="0" w:name="_GoBack"/>
      <w:r>
        <w:rPr>
          <w:rFonts w:ascii="仿宋_GB2312" w:hAnsi="仿宋_GB2312" w:eastAsia="仿宋_GB2312"/>
          <w:sz w:val="32"/>
        </w:rPr>
        <w:t>,</w:t>
      </w:r>
      <w:bookmarkEnd w:id="0"/>
      <w:r>
        <w:rPr>
          <w:rFonts w:ascii="仿宋_GB2312" w:hAnsi="仿宋_GB2312" w:eastAsia="仿宋_GB2312"/>
          <w:sz w:val="32"/>
        </w:rPr>
        <w:t>增加0人。</w:t>
      </w:r>
    </w:p>
    <w:p w14:paraId="7844E1DA">
      <w:pPr>
        <w:spacing w:line="580" w:lineRule="exact"/>
        <w:ind w:firstLine="640"/>
        <w:jc w:val="both"/>
      </w:pPr>
      <w:r>
        <w:rPr>
          <w:rFonts w:ascii="仿宋_GB2312" w:hAnsi="仿宋_GB2312" w:eastAsia="仿宋_GB2312"/>
          <w:sz w:val="32"/>
        </w:rPr>
        <w:t>阿克陶县中心敬老院无下属预算单位，下设3个科室，分别是：办公室、医务室、财务室。</w:t>
      </w:r>
    </w:p>
    <w:p w14:paraId="3DD2B043">
      <w:r>
        <w:br w:type="page"/>
      </w:r>
    </w:p>
    <w:p w14:paraId="0EB98647">
      <w:pPr>
        <w:spacing w:line="240" w:lineRule="auto"/>
        <w:jc w:val="center"/>
        <w:outlineLvl w:val="1"/>
      </w:pPr>
      <w:r>
        <w:rPr>
          <w:rFonts w:ascii="黑体" w:hAnsi="黑体" w:eastAsia="黑体"/>
          <w:sz w:val="32"/>
        </w:rPr>
        <w:t>第二部分 部门决算情况说明</w:t>
      </w:r>
    </w:p>
    <w:p w14:paraId="3855F703">
      <w:pPr>
        <w:spacing w:line="640" w:lineRule="exact"/>
        <w:ind w:firstLine="640"/>
        <w:jc w:val="both"/>
        <w:outlineLvl w:val="2"/>
      </w:pPr>
      <w:r>
        <w:rPr>
          <w:rFonts w:ascii="黑体" w:hAnsi="黑体" w:eastAsia="黑体"/>
          <w:sz w:val="32"/>
        </w:rPr>
        <w:t>一、收入支出决算总体情况说明</w:t>
      </w:r>
    </w:p>
    <w:p w14:paraId="5DBC58D1">
      <w:pPr>
        <w:spacing w:line="580" w:lineRule="exact"/>
        <w:ind w:firstLine="640"/>
        <w:jc w:val="both"/>
      </w:pPr>
      <w:r>
        <w:rPr>
          <w:rFonts w:ascii="仿宋_GB2312" w:hAnsi="仿宋_GB2312" w:eastAsia="仿宋_GB2312"/>
          <w:b/>
          <w:sz w:val="32"/>
        </w:rPr>
        <w:t>2024年度收入总计543.23万元，</w:t>
      </w:r>
      <w:r>
        <w:rPr>
          <w:rFonts w:ascii="仿宋_GB2312" w:hAnsi="仿宋_GB2312" w:eastAsia="仿宋_GB2312"/>
          <w:b w:val="0"/>
          <w:sz w:val="32"/>
        </w:rPr>
        <w:t>其中：本年收入合计543.23万元，使用非财政拨款结余（含专用结余）0.00万元，年初结转和结余0.00万元。</w:t>
      </w:r>
    </w:p>
    <w:p w14:paraId="41EDF605">
      <w:pPr>
        <w:spacing w:line="580" w:lineRule="exact"/>
        <w:ind w:firstLine="640"/>
        <w:jc w:val="both"/>
      </w:pPr>
      <w:r>
        <w:rPr>
          <w:rFonts w:ascii="仿宋_GB2312" w:hAnsi="仿宋_GB2312" w:eastAsia="仿宋_GB2312"/>
          <w:b/>
          <w:sz w:val="32"/>
        </w:rPr>
        <w:t>2024年度支出总计543.23万元，</w:t>
      </w:r>
      <w:r>
        <w:rPr>
          <w:rFonts w:ascii="仿宋_GB2312" w:hAnsi="仿宋_GB2312" w:eastAsia="仿宋_GB2312"/>
          <w:b w:val="0"/>
          <w:sz w:val="32"/>
        </w:rPr>
        <w:t>其中：本年支出合计543.23万元，结余分配0.00万元，年末结转和结余0.00万元。</w:t>
      </w:r>
    </w:p>
    <w:p w14:paraId="6C31629F">
      <w:pPr>
        <w:spacing w:line="580" w:lineRule="exact"/>
        <w:ind w:firstLine="640"/>
        <w:jc w:val="both"/>
      </w:pPr>
      <w:r>
        <w:rPr>
          <w:rFonts w:ascii="仿宋_GB2312" w:hAnsi="仿宋_GB2312" w:eastAsia="仿宋_GB2312"/>
          <w:b w:val="0"/>
          <w:sz w:val="32"/>
        </w:rPr>
        <w:t>收入支出总体与上年相比，增加32.13万元，增长6.29%，主要原因是：本年增加江西拨付援疆资金</w:t>
      </w:r>
      <w:r>
        <w:rPr>
          <w:rFonts w:hint="eastAsia" w:ascii="仿宋_GB2312" w:hAnsi="仿宋_GB2312" w:eastAsia="仿宋_GB2312"/>
          <w:b w:val="0"/>
          <w:sz w:val="32"/>
          <w:lang w:val="en-US" w:eastAsia="zh-CN"/>
        </w:rPr>
        <w:t>用于</w:t>
      </w:r>
      <w:r>
        <w:rPr>
          <w:rFonts w:ascii="仿宋_GB2312" w:hAnsi="仿宋_GB2312" w:eastAsia="仿宋_GB2312"/>
          <w:b w:val="0"/>
          <w:sz w:val="32"/>
        </w:rPr>
        <w:t>消防提升改造项目。</w:t>
      </w:r>
    </w:p>
    <w:p w14:paraId="36751EAF">
      <w:pPr>
        <w:spacing w:line="640" w:lineRule="exact"/>
        <w:ind w:firstLine="640"/>
        <w:jc w:val="both"/>
        <w:outlineLvl w:val="2"/>
      </w:pPr>
      <w:r>
        <w:rPr>
          <w:rFonts w:ascii="黑体" w:hAnsi="黑体" w:eastAsia="黑体"/>
          <w:sz w:val="32"/>
        </w:rPr>
        <w:t>二、收入决算情况说明</w:t>
      </w:r>
    </w:p>
    <w:p w14:paraId="28707803">
      <w:pPr>
        <w:spacing w:line="580" w:lineRule="exact"/>
        <w:ind w:firstLine="640"/>
        <w:jc w:val="both"/>
      </w:pPr>
      <w:r>
        <w:rPr>
          <w:rFonts w:ascii="仿宋_GB2312" w:hAnsi="仿宋_GB2312" w:eastAsia="仿宋_GB2312"/>
          <w:b/>
          <w:sz w:val="32"/>
        </w:rPr>
        <w:t>本年收入543.23万元，</w:t>
      </w:r>
      <w:r>
        <w:rPr>
          <w:rFonts w:ascii="仿宋_GB2312" w:hAnsi="仿宋_GB2312" w:eastAsia="仿宋_GB2312"/>
          <w:b w:val="0"/>
          <w:sz w:val="32"/>
        </w:rPr>
        <w:t>其中：财政拨款收入283.23万元，占52.14%；上级补助收入0.00万元，占0.00%；事业收入0.00万元，占0.00%；经营收入0.00万元，占0.00%；附属单位上缴收入0.00万元，占0.00%；其他收入260.00万元，占47.86%。</w:t>
      </w:r>
    </w:p>
    <w:p w14:paraId="2087E79D">
      <w:pPr>
        <w:spacing w:line="640" w:lineRule="exact"/>
        <w:ind w:firstLine="640"/>
        <w:jc w:val="both"/>
        <w:outlineLvl w:val="2"/>
      </w:pPr>
      <w:r>
        <w:rPr>
          <w:rFonts w:ascii="黑体" w:hAnsi="黑体" w:eastAsia="黑体"/>
          <w:sz w:val="32"/>
        </w:rPr>
        <w:t>三、支出决算情况说明</w:t>
      </w:r>
    </w:p>
    <w:p w14:paraId="6BE1CF83">
      <w:pPr>
        <w:spacing w:line="580" w:lineRule="exact"/>
        <w:ind w:firstLine="640"/>
        <w:jc w:val="both"/>
      </w:pPr>
      <w:r>
        <w:rPr>
          <w:rFonts w:ascii="仿宋_GB2312" w:hAnsi="仿宋_GB2312" w:eastAsia="仿宋_GB2312"/>
          <w:b/>
          <w:sz w:val="32"/>
        </w:rPr>
        <w:t>本年支出543.23万元，</w:t>
      </w:r>
      <w:r>
        <w:rPr>
          <w:rFonts w:ascii="仿宋_GB2312" w:hAnsi="仿宋_GB2312" w:eastAsia="仿宋_GB2312"/>
          <w:b w:val="0"/>
          <w:sz w:val="32"/>
        </w:rPr>
        <w:t>其中：基本支出186.59万元，占34.35%；项目支出356.64万元，占65.65%；上缴上级支出0.00万元，占0.00%；经营支出0.00万元，占0.00%；对附属单位补助支出0.00万元，占0.00%。</w:t>
      </w:r>
    </w:p>
    <w:p w14:paraId="5E787FD5">
      <w:pPr>
        <w:spacing w:line="640" w:lineRule="exact"/>
        <w:ind w:firstLine="640"/>
        <w:jc w:val="both"/>
        <w:outlineLvl w:val="2"/>
      </w:pPr>
      <w:r>
        <w:rPr>
          <w:rFonts w:ascii="黑体" w:hAnsi="黑体" w:eastAsia="黑体"/>
          <w:sz w:val="32"/>
        </w:rPr>
        <w:t>四、财政拨款收入支出决算总体情况说明</w:t>
      </w:r>
    </w:p>
    <w:p w14:paraId="3DF8F6E1">
      <w:pPr>
        <w:spacing w:line="580" w:lineRule="exact"/>
        <w:ind w:firstLine="640"/>
        <w:jc w:val="both"/>
      </w:pPr>
      <w:r>
        <w:rPr>
          <w:rFonts w:ascii="仿宋_GB2312" w:hAnsi="仿宋_GB2312" w:eastAsia="仿宋_GB2312"/>
          <w:b/>
          <w:sz w:val="32"/>
        </w:rPr>
        <w:t>2024年度财政拨款收入总计283.23万元，</w:t>
      </w:r>
      <w:r>
        <w:rPr>
          <w:rFonts w:ascii="仿宋_GB2312" w:hAnsi="仿宋_GB2312" w:eastAsia="仿宋_GB2312"/>
          <w:b w:val="0"/>
          <w:sz w:val="32"/>
        </w:rPr>
        <w:t>其中：年初财政拨款结转和结余0.00万元，本年财政拨款收入283.23万元。</w:t>
      </w:r>
      <w:r>
        <w:rPr>
          <w:rFonts w:ascii="仿宋_GB2312" w:hAnsi="仿宋_GB2312" w:eastAsia="仿宋_GB2312"/>
          <w:b/>
          <w:sz w:val="32"/>
        </w:rPr>
        <w:t>财政拨款支出总计283.23万元，</w:t>
      </w:r>
      <w:r>
        <w:rPr>
          <w:rFonts w:ascii="仿宋_GB2312" w:hAnsi="仿宋_GB2312" w:eastAsia="仿宋_GB2312"/>
          <w:b w:val="0"/>
          <w:sz w:val="32"/>
        </w:rPr>
        <w:t>其中：年末财政拨款结转和结余0.00万元，本年财政拨款支出283.23万元。</w:t>
      </w:r>
    </w:p>
    <w:p w14:paraId="27CEEF9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84.73万元，下降23.03%，主要原因是：本年事业专业技术岗人员调整事业管理岗，人员调入调出，职级不同，缴费基数不同，导致经费减少。办公费，水费，电费，维修（护）费，劳务费支出较上年减少。本年减少中央财政对困难群众救助补助项目支出，自治区社会福利机构</w:t>
      </w:r>
      <w:r>
        <w:rPr>
          <w:rFonts w:hint="eastAsia" w:ascii="仿宋_GB2312" w:hAnsi="仿宋_GB2312" w:eastAsia="仿宋_GB2312"/>
          <w:b w:val="0"/>
          <w:sz w:val="32"/>
          <w:lang w:eastAsia="zh-CN"/>
        </w:rPr>
        <w:t>YQ</w:t>
      </w:r>
      <w:r>
        <w:rPr>
          <w:rFonts w:ascii="仿宋_GB2312" w:hAnsi="仿宋_GB2312" w:eastAsia="仿宋_GB2312"/>
          <w:b w:val="0"/>
          <w:sz w:val="32"/>
        </w:rPr>
        <w:t>防控工作项目资金。</w:t>
      </w:r>
      <w:r>
        <w:rPr>
          <w:rFonts w:ascii="仿宋_GB2312" w:hAnsi="仿宋_GB2312" w:eastAsia="仿宋_GB2312"/>
          <w:b/>
          <w:sz w:val="32"/>
        </w:rPr>
        <w:t>与年初预算相比，</w:t>
      </w:r>
      <w:r>
        <w:rPr>
          <w:rFonts w:ascii="仿宋_GB2312" w:hAnsi="仿宋_GB2312" w:eastAsia="仿宋_GB2312"/>
          <w:b w:val="0"/>
          <w:sz w:val="32"/>
        </w:rPr>
        <w:t>年初预算数374.66万元，决算数283.23万元，预决算差异率-24.40%，主要原因是：年中调减中央财政困难群众救助补助项目资金，导致预决算存在差异。</w:t>
      </w:r>
    </w:p>
    <w:p w14:paraId="7F9BFF1C">
      <w:pPr>
        <w:spacing w:line="640" w:lineRule="exact"/>
        <w:ind w:firstLine="640"/>
        <w:jc w:val="both"/>
        <w:outlineLvl w:val="2"/>
      </w:pPr>
      <w:r>
        <w:rPr>
          <w:rFonts w:ascii="黑体" w:hAnsi="黑体" w:eastAsia="黑体"/>
          <w:sz w:val="32"/>
        </w:rPr>
        <w:t>五、一般公共预算财政拨款支出决算情况说明</w:t>
      </w:r>
    </w:p>
    <w:p w14:paraId="62352408">
      <w:pPr>
        <w:spacing w:line="640" w:lineRule="exact"/>
        <w:ind w:firstLine="640"/>
        <w:jc w:val="both"/>
        <w:outlineLvl w:val="3"/>
      </w:pPr>
      <w:r>
        <w:rPr>
          <w:rFonts w:ascii="楷体_GB2312" w:hAnsi="楷体_GB2312" w:eastAsia="楷体_GB2312"/>
          <w:b/>
          <w:sz w:val="32"/>
        </w:rPr>
        <w:t>（一）一般公共预算财政拨款支出决算总体情况</w:t>
      </w:r>
    </w:p>
    <w:p w14:paraId="3F667124">
      <w:pPr>
        <w:spacing w:line="580" w:lineRule="exact"/>
        <w:ind w:firstLine="640"/>
        <w:jc w:val="both"/>
      </w:pPr>
      <w:r>
        <w:rPr>
          <w:rFonts w:ascii="仿宋_GB2312" w:hAnsi="仿宋_GB2312" w:eastAsia="仿宋_GB2312"/>
          <w:b/>
          <w:sz w:val="32"/>
        </w:rPr>
        <w:t>2024年度一般公共预算财政拨款支出283.23万元，</w:t>
      </w:r>
      <w:r>
        <w:rPr>
          <w:rFonts w:ascii="仿宋_GB2312" w:hAnsi="仿宋_GB2312" w:eastAsia="仿宋_GB2312"/>
          <w:b w:val="0"/>
          <w:sz w:val="32"/>
        </w:rPr>
        <w:t>占本年支出合计的52.14%。</w:t>
      </w:r>
      <w:r>
        <w:rPr>
          <w:rFonts w:ascii="仿宋_GB2312" w:hAnsi="仿宋_GB2312" w:eastAsia="仿宋_GB2312"/>
          <w:b/>
          <w:sz w:val="32"/>
        </w:rPr>
        <w:t>与上年相比，</w:t>
      </w:r>
      <w:r>
        <w:rPr>
          <w:rFonts w:ascii="仿宋_GB2312" w:hAnsi="仿宋_GB2312" w:eastAsia="仿宋_GB2312"/>
          <w:b w:val="0"/>
          <w:sz w:val="32"/>
        </w:rPr>
        <w:t>减少80.73万元，下降22.18%，主要原因是：本年事业专业技术岗人员调整事业管理岗，人员调入调出，职级不同，缴费基数不同，导致经费减少。办公费，水费，电费，维修（护）费，劳务费支出较上年减少。本年减少中央财政对困难群众救助补助项目支出。</w:t>
      </w:r>
      <w:r>
        <w:rPr>
          <w:rFonts w:ascii="仿宋_GB2312" w:hAnsi="仿宋_GB2312" w:eastAsia="仿宋_GB2312"/>
          <w:b/>
          <w:sz w:val="32"/>
        </w:rPr>
        <w:t>与年初预算相比,</w:t>
      </w:r>
      <w:r>
        <w:rPr>
          <w:rFonts w:ascii="仿宋_GB2312" w:hAnsi="仿宋_GB2312" w:eastAsia="仿宋_GB2312"/>
          <w:b w:val="0"/>
          <w:sz w:val="32"/>
        </w:rPr>
        <w:t>年初预算数374.66万元，决算数283.23万元，预决算差异率-24.40%，主要原因是：年中调减中央财政困难群众救助补助项目资金，导致预决算存在差异。</w:t>
      </w:r>
    </w:p>
    <w:p w14:paraId="2B9DBC32">
      <w:pPr>
        <w:spacing w:line="640" w:lineRule="exact"/>
        <w:ind w:firstLine="640"/>
        <w:jc w:val="both"/>
        <w:outlineLvl w:val="3"/>
      </w:pPr>
      <w:r>
        <w:rPr>
          <w:rFonts w:ascii="楷体_GB2312" w:hAnsi="楷体_GB2312" w:eastAsia="楷体_GB2312"/>
          <w:b/>
          <w:sz w:val="32"/>
        </w:rPr>
        <w:t>（二）一般公共预算财政拨款支出决算结构情况</w:t>
      </w:r>
    </w:p>
    <w:p w14:paraId="3393E3BD">
      <w:pPr>
        <w:spacing w:line="580" w:lineRule="exact"/>
        <w:ind w:firstLine="640"/>
        <w:jc w:val="both"/>
      </w:pPr>
      <w:r>
        <w:rPr>
          <w:rFonts w:ascii="仿宋_GB2312" w:hAnsi="仿宋_GB2312" w:eastAsia="仿宋_GB2312"/>
          <w:b w:val="0"/>
          <w:sz w:val="32"/>
        </w:rPr>
        <w:t>1.社会保障和就业支出(类)266.37万元,占94.05%。</w:t>
      </w:r>
    </w:p>
    <w:p w14:paraId="1870E629">
      <w:pPr>
        <w:spacing w:line="580" w:lineRule="exact"/>
        <w:ind w:firstLine="640"/>
        <w:jc w:val="both"/>
      </w:pPr>
      <w:r>
        <w:rPr>
          <w:rFonts w:ascii="仿宋_GB2312" w:hAnsi="仿宋_GB2312" w:eastAsia="仿宋_GB2312"/>
          <w:b w:val="0"/>
          <w:sz w:val="32"/>
        </w:rPr>
        <w:t>2.卫生健康支出(类)5.05万元,占1.78%。</w:t>
      </w:r>
    </w:p>
    <w:p w14:paraId="26F63F43">
      <w:pPr>
        <w:spacing w:line="580" w:lineRule="exact"/>
        <w:ind w:firstLine="640"/>
        <w:jc w:val="both"/>
      </w:pPr>
      <w:r>
        <w:rPr>
          <w:rFonts w:ascii="仿宋_GB2312" w:hAnsi="仿宋_GB2312" w:eastAsia="仿宋_GB2312"/>
          <w:b w:val="0"/>
          <w:sz w:val="32"/>
        </w:rPr>
        <w:t>3.住房保障支出(类)11.81万元,占4.17%。</w:t>
      </w:r>
    </w:p>
    <w:p w14:paraId="282F3135">
      <w:pPr>
        <w:spacing w:line="640" w:lineRule="exact"/>
        <w:ind w:firstLine="640"/>
        <w:jc w:val="both"/>
        <w:outlineLvl w:val="3"/>
      </w:pPr>
      <w:r>
        <w:rPr>
          <w:rFonts w:ascii="楷体_GB2312" w:hAnsi="楷体_GB2312" w:eastAsia="楷体_GB2312"/>
          <w:b/>
          <w:sz w:val="32"/>
        </w:rPr>
        <w:t>（三）一般公共预算财政拨款支出决算具体情况</w:t>
      </w:r>
    </w:p>
    <w:p w14:paraId="37DF0F49">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15.06万元，比上年决算增加2.18万元，增长16.93%,主要原因是：本年在职人员工资基数调增，养老缴费基数上涨，相应支出增加。</w:t>
      </w:r>
    </w:p>
    <w:p w14:paraId="6947DD32">
      <w:pPr>
        <w:spacing w:line="580" w:lineRule="exact"/>
        <w:ind w:firstLine="640"/>
        <w:jc w:val="both"/>
      </w:pPr>
      <w:r>
        <w:rPr>
          <w:rFonts w:ascii="仿宋_GB2312" w:hAnsi="仿宋_GB2312" w:eastAsia="仿宋_GB2312"/>
          <w:b w:val="0"/>
          <w:sz w:val="32"/>
        </w:rPr>
        <w:t>2.社会保障和就业支出(类)行政事业单位养老支出(款)机关事业单位职业年金缴费支出(项):支出决算数为0.00万元，比上年决算减少4.76万元，下降100.00%,主要原因是：本年无新增辞职调出人员，职业年金缴费较上年减少。</w:t>
      </w:r>
    </w:p>
    <w:p w14:paraId="3D69829D">
      <w:pPr>
        <w:spacing w:line="580" w:lineRule="exact"/>
        <w:ind w:firstLine="640"/>
        <w:jc w:val="both"/>
      </w:pPr>
      <w:r>
        <w:rPr>
          <w:rFonts w:ascii="仿宋_GB2312" w:hAnsi="仿宋_GB2312" w:eastAsia="仿宋_GB2312"/>
          <w:b w:val="0"/>
          <w:sz w:val="32"/>
        </w:rPr>
        <w:t>3.社会保障和就业支出(类)社会福利(款)养老服务(项):支出决算数为154.67万元，比上年决算减少41.74万元，下降21.25%,主要原因是：本年事业专业技术岗人员调整事业管理岗，人员调入调出，职级不同，缴费基数不同，导致经费减少。办公费，水费，电费，维修（护）费，劳务费支出较上年减少。</w:t>
      </w:r>
    </w:p>
    <w:p w14:paraId="694986DE">
      <w:pPr>
        <w:spacing w:line="580" w:lineRule="exact"/>
        <w:ind w:firstLine="640"/>
        <w:jc w:val="both"/>
      </w:pPr>
      <w:r>
        <w:rPr>
          <w:rFonts w:ascii="仿宋_GB2312" w:hAnsi="仿宋_GB2312" w:eastAsia="仿宋_GB2312"/>
          <w:b w:val="0"/>
          <w:sz w:val="32"/>
        </w:rPr>
        <w:t>4.社会保障和就业支出(类)特困人员救助供养(款)城市特困人员救助供养支出(项):支出决算数为11.13万元，比上年决算增加1.27万元，增长12.88%,主要原因是：本年增加中央财政困难群众救助补助项目资金。</w:t>
      </w:r>
    </w:p>
    <w:p w14:paraId="3670053F">
      <w:pPr>
        <w:spacing w:line="580" w:lineRule="exact"/>
        <w:ind w:firstLine="640"/>
        <w:jc w:val="both"/>
      </w:pPr>
      <w:r>
        <w:rPr>
          <w:rFonts w:ascii="仿宋_GB2312" w:hAnsi="仿宋_GB2312" w:eastAsia="仿宋_GB2312"/>
          <w:b w:val="0"/>
          <w:sz w:val="32"/>
        </w:rPr>
        <w:t>5.社会保障和就业支出(类)特困人员救助供养(款)农村特困人员救助供养支出(项):支出决算数为79.11万元，比上年决算减少46.49万元，下降37.01%,主要原因是：本年减少中央财政对困难群众救助补助项目支出。</w:t>
      </w:r>
    </w:p>
    <w:p w14:paraId="73C9FABD">
      <w:pPr>
        <w:spacing w:line="580" w:lineRule="exact"/>
        <w:ind w:firstLine="640"/>
        <w:jc w:val="both"/>
      </w:pPr>
      <w:r>
        <w:rPr>
          <w:rFonts w:ascii="仿宋_GB2312" w:hAnsi="仿宋_GB2312" w:eastAsia="仿宋_GB2312"/>
          <w:b w:val="0"/>
          <w:sz w:val="32"/>
        </w:rPr>
        <w:t>6.社会保障和就业支出(类)其他生活救助(款)其他城市生活救助(项):支出决算数为0.40万元，比上年决算增加0.40万元，增长100.00%,主要原因是：本年增加中央财政困难群众一次性困难补助项目支出。</w:t>
      </w:r>
    </w:p>
    <w:p w14:paraId="29987770">
      <w:pPr>
        <w:spacing w:line="580" w:lineRule="exact"/>
        <w:ind w:firstLine="640"/>
        <w:jc w:val="both"/>
      </w:pPr>
      <w:r>
        <w:rPr>
          <w:rFonts w:ascii="仿宋_GB2312" w:hAnsi="仿宋_GB2312" w:eastAsia="仿宋_GB2312"/>
          <w:b w:val="0"/>
          <w:sz w:val="32"/>
        </w:rPr>
        <w:t>7.社会保障和就业支出(类)其他生活救助(款)其他农村生活救助(项):支出决算数为6.00万元，比上年决算增加6.00万元，增长100.00%,主要原因是：本年增加中央财政困难群众一次性困难补助项目支出。</w:t>
      </w:r>
    </w:p>
    <w:p w14:paraId="21D0DE5D">
      <w:pPr>
        <w:spacing w:line="580" w:lineRule="exact"/>
        <w:ind w:firstLine="640"/>
        <w:jc w:val="both"/>
      </w:pPr>
      <w:r>
        <w:rPr>
          <w:rFonts w:ascii="仿宋_GB2312" w:hAnsi="仿宋_GB2312" w:eastAsia="仿宋_GB2312"/>
          <w:b w:val="0"/>
          <w:sz w:val="32"/>
        </w:rPr>
        <w:t>8.卫生健康支出(类)行政事业单位医疗(款)事业单位医疗(项):支出决算数为5.05万元，比上年决算增加0.57万元，增长12.72%,主要原因是：本年在职人员工资基数调增，医疗缴费基数上涨，相应支出增加。</w:t>
      </w:r>
    </w:p>
    <w:p w14:paraId="38744F7A">
      <w:pPr>
        <w:spacing w:line="580" w:lineRule="exact"/>
        <w:ind w:firstLine="640"/>
        <w:jc w:val="both"/>
      </w:pPr>
      <w:r>
        <w:rPr>
          <w:rFonts w:ascii="仿宋_GB2312" w:hAnsi="仿宋_GB2312" w:eastAsia="仿宋_GB2312"/>
          <w:b w:val="0"/>
          <w:sz w:val="32"/>
        </w:rPr>
        <w:t>9.住房保障支出(类)住房改革支出(款)住房公积金(项):支出决算数为11.81万元，比上年决算增加1.83万元，增长18.34%,主要原因是：本年在职人员工资基数调增，公积金缴费基数上涨，相应支出增加。</w:t>
      </w:r>
    </w:p>
    <w:p w14:paraId="4DA26E9E">
      <w:pPr>
        <w:spacing w:line="640" w:lineRule="exact"/>
        <w:ind w:firstLine="640"/>
        <w:jc w:val="both"/>
        <w:outlineLvl w:val="2"/>
      </w:pPr>
      <w:r>
        <w:rPr>
          <w:rFonts w:ascii="黑体" w:hAnsi="黑体" w:eastAsia="黑体"/>
          <w:sz w:val="32"/>
        </w:rPr>
        <w:t>六、一般公共预算财政拨款基本支出决算情况说明</w:t>
      </w:r>
    </w:p>
    <w:p w14:paraId="0957CD92">
      <w:pPr>
        <w:spacing w:line="580" w:lineRule="exact"/>
        <w:ind w:firstLine="640"/>
        <w:jc w:val="both"/>
      </w:pPr>
      <w:r>
        <w:rPr>
          <w:rFonts w:ascii="仿宋_GB2312" w:hAnsi="仿宋_GB2312" w:eastAsia="仿宋_GB2312"/>
          <w:b w:val="0"/>
          <w:sz w:val="32"/>
        </w:rPr>
        <w:t>2024年度一般公共预算财政拨款基本支出186.59万元，其中：</w:t>
      </w:r>
      <w:r>
        <w:rPr>
          <w:rFonts w:ascii="仿宋_GB2312" w:hAnsi="仿宋_GB2312" w:eastAsia="仿宋_GB2312"/>
          <w:b/>
          <w:sz w:val="32"/>
        </w:rPr>
        <w:t>人员经费140.84万元，</w:t>
      </w:r>
      <w:r>
        <w:rPr>
          <w:rFonts w:ascii="仿宋_GB2312" w:hAnsi="仿宋_GB2312" w:eastAsia="仿宋_GB2312"/>
          <w:b w:val="0"/>
          <w:sz w:val="32"/>
        </w:rPr>
        <w:t>包括：基本工资、津贴补贴、奖金、机关事业单位基本养老保险缴费、职工基本医疗保险缴费、其他社会保障缴费、住房公积金、奖励金。</w:t>
      </w:r>
    </w:p>
    <w:p w14:paraId="6E3FE04E">
      <w:pPr>
        <w:spacing w:line="580" w:lineRule="exact"/>
        <w:ind w:firstLine="640"/>
        <w:jc w:val="both"/>
      </w:pPr>
      <w:r>
        <w:rPr>
          <w:rFonts w:ascii="仿宋_GB2312" w:hAnsi="仿宋_GB2312" w:eastAsia="仿宋_GB2312"/>
          <w:b/>
          <w:sz w:val="32"/>
        </w:rPr>
        <w:t>公用经费45.75万元，</w:t>
      </w:r>
      <w:r>
        <w:rPr>
          <w:rFonts w:ascii="仿宋_GB2312" w:hAnsi="仿宋_GB2312" w:eastAsia="仿宋_GB2312"/>
          <w:b w:val="0"/>
          <w:sz w:val="32"/>
        </w:rPr>
        <w:t>包括：办公费、印刷费、水费、电费、邮电费、取暖费、维修（护）费、培训费、劳务费、其他交通费用。</w:t>
      </w:r>
    </w:p>
    <w:p w14:paraId="37F83333">
      <w:pPr>
        <w:spacing w:line="640" w:lineRule="exact"/>
        <w:ind w:firstLine="640"/>
        <w:jc w:val="both"/>
        <w:outlineLvl w:val="2"/>
      </w:pPr>
      <w:r>
        <w:rPr>
          <w:rFonts w:ascii="黑体" w:hAnsi="黑体" w:eastAsia="黑体"/>
          <w:sz w:val="32"/>
        </w:rPr>
        <w:t>七、政府性基金预算财政拨款收入支出决算情况说明</w:t>
      </w:r>
    </w:p>
    <w:p w14:paraId="7982B640">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1EB29B13">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减少4.00万元，下降100.00%，主要原因是：本年减少自治区社会福利机构</w:t>
      </w:r>
      <w:r>
        <w:rPr>
          <w:rFonts w:hint="eastAsia" w:ascii="仿宋_GB2312" w:hAnsi="仿宋_GB2312" w:eastAsia="仿宋_GB2312"/>
          <w:b w:val="0"/>
          <w:sz w:val="32"/>
          <w:lang w:eastAsia="zh-CN"/>
        </w:rPr>
        <w:t>YQ</w:t>
      </w:r>
      <w:r>
        <w:rPr>
          <w:rFonts w:ascii="仿宋_GB2312" w:hAnsi="仿宋_GB2312" w:eastAsia="仿宋_GB2312"/>
          <w:b w:val="0"/>
          <w:sz w:val="32"/>
        </w:rPr>
        <w:t>防控工作项目资金。</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年初预算数0.00万元，决算数0.00万元，预决算差异率0.00%，主要原因是：本年未安排</w:t>
      </w:r>
      <w:r>
        <w:rPr>
          <w:rFonts w:hint="eastAsia" w:ascii="仿宋_GB2312" w:hAnsi="仿宋_GB2312" w:eastAsia="仿宋_GB2312"/>
          <w:b w:val="0"/>
          <w:sz w:val="32"/>
          <w:lang w:val="en-US" w:eastAsia="zh-CN"/>
        </w:rPr>
        <w:t>政府性基金预算财政拨款</w:t>
      </w:r>
      <w:r>
        <w:rPr>
          <w:rFonts w:ascii="仿宋_GB2312" w:hAnsi="仿宋_GB2312" w:eastAsia="仿宋_GB2312"/>
          <w:b w:val="0"/>
          <w:sz w:val="32"/>
        </w:rPr>
        <w:t>。</w:t>
      </w:r>
    </w:p>
    <w:p w14:paraId="26528224">
      <w:pPr>
        <w:spacing w:line="580" w:lineRule="exact"/>
        <w:ind w:firstLine="640"/>
        <w:jc w:val="both"/>
      </w:pPr>
      <w:r>
        <w:rPr>
          <w:rFonts w:ascii="仿宋_GB2312" w:hAnsi="仿宋_GB2312" w:eastAsia="仿宋_GB2312"/>
          <w:b w:val="0"/>
          <w:sz w:val="32"/>
        </w:rPr>
        <w:t>政府性基金预算财政拨款支出0.00万元。</w:t>
      </w:r>
    </w:p>
    <w:p w14:paraId="415BB40D">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1.其他支出(类)彩票公益金安排的支出(款)用于社会福利的彩票公益金支出(项):支出决算数为0.00万元，比上年决算减少4.00万元，下降100.00%,主要原因是：本年减少自治区社会福利机构</w:t>
      </w:r>
      <w:r>
        <w:rPr>
          <w:rFonts w:hint="eastAsia" w:ascii="仿宋_GB2312" w:hAnsi="仿宋_GB2312" w:eastAsia="仿宋_GB2312"/>
          <w:b w:val="0"/>
          <w:sz w:val="32"/>
          <w:lang w:eastAsia="zh-CN"/>
        </w:rPr>
        <w:t>YQ</w:t>
      </w:r>
      <w:r>
        <w:rPr>
          <w:rFonts w:ascii="仿宋_GB2312" w:hAnsi="仿宋_GB2312" w:eastAsia="仿宋_GB2312"/>
          <w:b w:val="0"/>
          <w:sz w:val="32"/>
        </w:rPr>
        <w:t>防控工作项目资金。</w:t>
      </w:r>
    </w:p>
    <w:p w14:paraId="5201121A">
      <w:pPr>
        <w:spacing w:line="640" w:lineRule="exact"/>
        <w:ind w:firstLine="640"/>
        <w:jc w:val="both"/>
        <w:outlineLvl w:val="2"/>
      </w:pPr>
      <w:r>
        <w:rPr>
          <w:rFonts w:ascii="黑体" w:hAnsi="黑体" w:eastAsia="黑体"/>
          <w:sz w:val="32"/>
        </w:rPr>
        <w:t>八、国有资本经营预算财政拨款收入支出决算情况说明</w:t>
      </w:r>
    </w:p>
    <w:p w14:paraId="65239D9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4B9B9D0">
      <w:pPr>
        <w:spacing w:line="640" w:lineRule="exact"/>
        <w:ind w:firstLine="640"/>
        <w:jc w:val="both"/>
        <w:outlineLvl w:val="2"/>
      </w:pPr>
      <w:r>
        <w:rPr>
          <w:rFonts w:ascii="黑体" w:hAnsi="黑体" w:eastAsia="黑体"/>
          <w:sz w:val="32"/>
        </w:rPr>
        <w:t>九、财政拨款“三公”经费支出决算情况说明</w:t>
      </w:r>
    </w:p>
    <w:p w14:paraId="21213122">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67E1D4C">
      <w:pPr>
        <w:spacing w:line="580" w:lineRule="exact"/>
        <w:ind w:firstLine="640"/>
        <w:jc w:val="both"/>
      </w:pPr>
      <w:r>
        <w:rPr>
          <w:rFonts w:ascii="仿宋_GB2312" w:hAnsi="仿宋_GB2312" w:eastAsia="仿宋_GB2312"/>
          <w:b/>
          <w:sz w:val="32"/>
        </w:rPr>
        <w:t>具体情况如下：</w:t>
      </w:r>
    </w:p>
    <w:p w14:paraId="27DCCE1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D918207">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A88505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EC16B1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301684A">
      <w:pPr>
        <w:spacing w:line="640" w:lineRule="exact"/>
        <w:ind w:firstLine="640"/>
        <w:jc w:val="both"/>
        <w:outlineLvl w:val="2"/>
      </w:pPr>
      <w:r>
        <w:rPr>
          <w:rFonts w:ascii="黑体" w:hAnsi="黑体" w:eastAsia="黑体"/>
          <w:sz w:val="32"/>
        </w:rPr>
        <w:t>十、其他重要事项的情况说明</w:t>
      </w:r>
    </w:p>
    <w:p w14:paraId="1047A68B">
      <w:pPr>
        <w:spacing w:line="640" w:lineRule="exact"/>
        <w:ind w:firstLine="640"/>
        <w:jc w:val="both"/>
        <w:outlineLvl w:val="3"/>
      </w:pPr>
      <w:r>
        <w:rPr>
          <w:rFonts w:ascii="楷体_GB2312" w:hAnsi="楷体_GB2312" w:eastAsia="楷体_GB2312"/>
          <w:b/>
          <w:sz w:val="32"/>
        </w:rPr>
        <w:t>（一）机关运行经费及公用经费支出情况</w:t>
      </w:r>
    </w:p>
    <w:p w14:paraId="53FD91CC">
      <w:pPr>
        <w:spacing w:line="580" w:lineRule="exact"/>
        <w:ind w:firstLine="640"/>
        <w:jc w:val="both"/>
      </w:pPr>
      <w:r>
        <w:rPr>
          <w:rFonts w:ascii="仿宋_GB2312" w:hAnsi="仿宋_GB2312" w:eastAsia="仿宋_GB2312"/>
          <w:b w:val="0"/>
          <w:sz w:val="32"/>
        </w:rPr>
        <w:t>2024年度阿克陶县中心敬老院（事业单位）公用经费支出45.75万元，比上年减少9.14万元，下降16.65%，主要原因是：办公费，水费，电费，维修（护）费，劳务费支出较上年减少。</w:t>
      </w:r>
    </w:p>
    <w:p w14:paraId="69ECC63E">
      <w:pPr>
        <w:spacing w:line="640" w:lineRule="exact"/>
        <w:ind w:firstLine="640"/>
        <w:jc w:val="both"/>
        <w:outlineLvl w:val="3"/>
      </w:pPr>
      <w:r>
        <w:rPr>
          <w:rFonts w:ascii="楷体_GB2312" w:hAnsi="楷体_GB2312" w:eastAsia="楷体_GB2312"/>
          <w:b/>
          <w:sz w:val="32"/>
        </w:rPr>
        <w:t>（二）政府采购情况</w:t>
      </w:r>
    </w:p>
    <w:p w14:paraId="2746D72B">
      <w:pPr>
        <w:spacing w:line="580" w:lineRule="exact"/>
        <w:ind w:firstLine="640"/>
        <w:jc w:val="both"/>
      </w:pPr>
      <w:r>
        <w:rPr>
          <w:rFonts w:ascii="仿宋_GB2312" w:hAnsi="仿宋_GB2312" w:eastAsia="仿宋_GB2312"/>
          <w:b w:val="0"/>
          <w:sz w:val="32"/>
        </w:rPr>
        <w:t>2024年度政府采购支出总额0.14万元，其中：政府采购货物支出0.14万元、政府采购工程支出0.00万元、政府采购服务支出0.00万元。</w:t>
      </w:r>
    </w:p>
    <w:p w14:paraId="392A5885">
      <w:pPr>
        <w:spacing w:line="580" w:lineRule="exact"/>
        <w:ind w:firstLine="640"/>
        <w:jc w:val="both"/>
      </w:pPr>
      <w:r>
        <w:rPr>
          <w:rFonts w:ascii="仿宋_GB2312" w:hAnsi="仿宋_GB2312" w:eastAsia="仿宋_GB2312"/>
          <w:b w:val="0"/>
          <w:sz w:val="32"/>
        </w:rPr>
        <w:t>授予中小企业合同金额0.14万元，占政府采购支出总额的100.00%，其中：授予小微企业合同金额0.14万元，占政府采购支出总额的100.00%。</w:t>
      </w:r>
    </w:p>
    <w:p w14:paraId="26B8F9A8">
      <w:pPr>
        <w:spacing w:line="640" w:lineRule="exact"/>
        <w:ind w:firstLine="640"/>
        <w:jc w:val="both"/>
        <w:outlineLvl w:val="3"/>
      </w:pPr>
      <w:r>
        <w:rPr>
          <w:rFonts w:ascii="楷体_GB2312" w:hAnsi="楷体_GB2312" w:eastAsia="楷体_GB2312"/>
          <w:b/>
          <w:sz w:val="32"/>
        </w:rPr>
        <w:t>（三）国有资产占用情况说明</w:t>
      </w:r>
    </w:p>
    <w:p w14:paraId="364499A3">
      <w:pPr>
        <w:spacing w:line="580" w:lineRule="exact"/>
        <w:ind w:firstLine="640"/>
        <w:jc w:val="both"/>
      </w:pPr>
      <w:r>
        <w:rPr>
          <w:rFonts w:ascii="仿宋_GB2312" w:hAnsi="仿宋_GB2312" w:eastAsia="仿宋_GB2312"/>
          <w:b w:val="0"/>
          <w:sz w:val="32"/>
        </w:rPr>
        <w:t>截至2024年12月31日，房屋11,066.49平方米，价值2,527.81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1台（套）。</w:t>
      </w:r>
    </w:p>
    <w:p w14:paraId="6EDE6420">
      <w:pPr>
        <w:spacing w:line="640" w:lineRule="exact"/>
        <w:ind w:firstLine="640"/>
        <w:jc w:val="both"/>
        <w:outlineLvl w:val="2"/>
      </w:pPr>
      <w:r>
        <w:rPr>
          <w:rFonts w:ascii="黑体" w:hAnsi="黑体" w:eastAsia="黑体"/>
          <w:sz w:val="32"/>
        </w:rPr>
        <w:t>十一、预算绩效的情况说明</w:t>
      </w:r>
    </w:p>
    <w:p w14:paraId="2B04549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543.23万元，实际执行总额543.23万元；预算绩效评价项目2个，全年预算数111.18万元，全年执行数101.78万元。预算绩效管理取得的成效：开展绩效评价，提高了绩效工作管理水平，科学制定目标，促进了绩效目标顺利实现，提高了项目资金使用的绩效意识，以便项目实施完成，进行跟踪问效评价，对下一年此类项目预算编制提供参考。发现的问题及原因：部分业务人员绩效管理意识有待增强，未能全面深入认识理解绩效管理工作的意义。绩效管理经验不足，预算绩效管理工作有待进一步落实。绩效指标的明确性、可衡量性、相关性还需进一步提升。预算精细化管理还需完善，预算编制管理水平仍有进一步提升的空间。下一步改进措施：继续加大绩效工作宣传力度，强化绩效理念。继续完善绩效指标，提高项目绩效目标质量。提升预算精细化管理水平。继续完善预算绩效管理相关工作制度，建立全过程预算绩效管理链条，有效贯彻落实全面实施绩效管理的精神。具体附整体支出绩效自评表，项目支出绩效自评表和评价报告。</w:t>
      </w:r>
    </w:p>
    <w:p w14:paraId="3B89C9EE">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1D858CE">
        <w:tblPrEx>
          <w:tblCellMar>
            <w:top w:w="0" w:type="dxa"/>
            <w:left w:w="108" w:type="dxa"/>
            <w:bottom w:w="0" w:type="dxa"/>
            <w:right w:w="108" w:type="dxa"/>
          </w:tblCellMar>
        </w:tblPrEx>
        <w:tc>
          <w:tcPr>
            <w:tcW w:w="8840" w:type="dxa"/>
            <w:gridSpan w:val="8"/>
            <w:vAlign w:val="center"/>
          </w:tcPr>
          <w:p w14:paraId="1384F769">
            <w:pPr>
              <w:jc w:val="center"/>
            </w:pPr>
            <w:r>
              <w:rPr>
                <w:rFonts w:ascii="宋体" w:hAnsi="宋体" w:eastAsia="宋体"/>
                <w:sz w:val="24"/>
              </w:rPr>
              <w:t>单位整体支出绩效自评表</w:t>
            </w:r>
          </w:p>
        </w:tc>
      </w:tr>
      <w:tr w14:paraId="26A48183">
        <w:tblPrEx>
          <w:tblCellMar>
            <w:top w:w="0" w:type="dxa"/>
            <w:left w:w="108" w:type="dxa"/>
            <w:bottom w:w="0" w:type="dxa"/>
            <w:right w:w="108" w:type="dxa"/>
          </w:tblCellMar>
        </w:tblPrEx>
        <w:tc>
          <w:tcPr>
            <w:tcW w:w="8840" w:type="dxa"/>
            <w:gridSpan w:val="8"/>
            <w:vAlign w:val="center"/>
          </w:tcPr>
          <w:p w14:paraId="574E3243">
            <w:pPr>
              <w:jc w:val="center"/>
            </w:pPr>
            <w:r>
              <w:rPr>
                <w:rFonts w:ascii="宋体" w:hAnsi="宋体" w:eastAsia="宋体"/>
                <w:sz w:val="24"/>
              </w:rPr>
              <w:t>（2024年度）</w:t>
            </w:r>
          </w:p>
        </w:tc>
      </w:tr>
      <w:tr w14:paraId="0F98C7D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50236E">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16F6CE">
            <w:pPr>
              <w:jc w:val="center"/>
            </w:pPr>
            <w:r>
              <w:rPr>
                <w:rFonts w:ascii="宋体" w:hAnsi="宋体" w:eastAsia="宋体"/>
                <w:sz w:val="16"/>
              </w:rPr>
              <w:t>阿克陶县中心敬老院</w:t>
            </w:r>
          </w:p>
        </w:tc>
      </w:tr>
      <w:tr w14:paraId="67C8E47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6790A8">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0236E4">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12E48F">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B18E6A">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08B997">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8B4B8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B93B70">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1549EC">
            <w:pPr>
              <w:jc w:val="center"/>
            </w:pPr>
            <w:r>
              <w:rPr>
                <w:rFonts w:ascii="宋体" w:hAnsi="宋体" w:eastAsia="宋体"/>
                <w:sz w:val="16"/>
              </w:rPr>
              <w:t>得分</w:t>
            </w:r>
          </w:p>
        </w:tc>
      </w:tr>
      <w:tr w14:paraId="2455A1E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4C8BD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700AFA">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CF07E1">
            <w:pPr>
              <w:jc w:val="center"/>
            </w:pPr>
            <w:r>
              <w:rPr>
                <w:rFonts w:ascii="宋体" w:hAnsi="宋体" w:eastAsia="宋体"/>
                <w:sz w:val="16"/>
              </w:rPr>
              <w:t>328.62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7E9714">
            <w:pPr>
              <w:jc w:val="center"/>
            </w:pPr>
            <w:r>
              <w:rPr>
                <w:rFonts w:ascii="宋体" w:hAnsi="宋体" w:eastAsia="宋体"/>
                <w:sz w:val="16"/>
              </w:rPr>
              <w:t>543.23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A79F2F">
            <w:pPr>
              <w:jc w:val="center"/>
            </w:pPr>
            <w:r>
              <w:rPr>
                <w:rFonts w:ascii="宋体" w:hAnsi="宋体" w:eastAsia="宋体"/>
                <w:sz w:val="16"/>
              </w:rPr>
              <w:t>543.23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0A9F4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8E3112">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3911A3">
            <w:pPr>
              <w:jc w:val="center"/>
            </w:pPr>
            <w:r>
              <w:rPr>
                <w:rFonts w:ascii="宋体" w:hAnsi="宋体" w:eastAsia="宋体"/>
                <w:sz w:val="16"/>
              </w:rPr>
              <w:t>10</w:t>
            </w:r>
          </w:p>
        </w:tc>
      </w:tr>
      <w:tr w14:paraId="50B961E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0FB5C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3554D3">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887EE1">
            <w:pPr>
              <w:jc w:val="center"/>
            </w:pPr>
            <w:r>
              <w:rPr>
                <w:rFonts w:ascii="宋体" w:hAnsi="宋体" w:eastAsia="宋体"/>
                <w:sz w:val="16"/>
              </w:rPr>
              <w:t>141.43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350E5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76686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2843B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F5B8F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CE2DDE">
            <w:pPr>
              <w:jc w:val="center"/>
            </w:pPr>
            <w:r>
              <w:rPr>
                <w:rFonts w:ascii="宋体" w:hAnsi="宋体" w:eastAsia="宋体"/>
                <w:sz w:val="16"/>
              </w:rPr>
              <w:t>—</w:t>
            </w:r>
          </w:p>
        </w:tc>
      </w:tr>
      <w:tr w14:paraId="3FBE8FF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8E27B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17B41F">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AE6AFF">
            <w:pPr>
              <w:jc w:val="center"/>
            </w:pPr>
            <w:r>
              <w:rPr>
                <w:rFonts w:ascii="宋体" w:hAnsi="宋体" w:eastAsia="宋体"/>
                <w:sz w:val="16"/>
              </w:rPr>
              <w:t>187.19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45C413">
            <w:pPr>
              <w:jc w:val="center"/>
            </w:pPr>
            <w:r>
              <w:rPr>
                <w:rFonts w:ascii="宋体" w:hAnsi="宋体" w:eastAsia="宋体"/>
                <w:sz w:val="16"/>
              </w:rPr>
              <w:t>543.23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2BE90B">
            <w:pPr>
              <w:jc w:val="center"/>
            </w:pPr>
            <w:r>
              <w:rPr>
                <w:rFonts w:ascii="宋体" w:hAnsi="宋体" w:eastAsia="宋体"/>
                <w:sz w:val="16"/>
              </w:rPr>
              <w:t>543.23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86804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82EEC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D87B4E">
            <w:pPr>
              <w:jc w:val="center"/>
            </w:pPr>
            <w:r>
              <w:rPr>
                <w:rFonts w:ascii="宋体" w:hAnsi="宋体" w:eastAsia="宋体"/>
                <w:sz w:val="16"/>
              </w:rPr>
              <w:t>—</w:t>
            </w:r>
          </w:p>
        </w:tc>
      </w:tr>
      <w:tr w14:paraId="0905C18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58193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9C89A2">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C1640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1309B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5B79C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1408F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57ED0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2605A7">
            <w:pPr>
              <w:jc w:val="center"/>
            </w:pPr>
            <w:r>
              <w:rPr>
                <w:rFonts w:ascii="宋体" w:hAnsi="宋体" w:eastAsia="宋体"/>
                <w:sz w:val="16"/>
              </w:rPr>
              <w:t>—</w:t>
            </w:r>
          </w:p>
        </w:tc>
      </w:tr>
      <w:tr w14:paraId="7A12BAB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92E855">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B089FC">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BF279F0">
            <w:pPr>
              <w:jc w:val="center"/>
            </w:pPr>
            <w:r>
              <w:rPr>
                <w:rFonts w:ascii="宋体" w:hAnsi="宋体" w:eastAsia="宋体"/>
                <w:sz w:val="16"/>
              </w:rPr>
              <w:t>实际完成情况</w:t>
            </w:r>
          </w:p>
        </w:tc>
      </w:tr>
      <w:tr w14:paraId="0A55DC0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A8115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C32749B">
            <w:pPr>
              <w:jc w:val="both"/>
            </w:pPr>
            <w:r>
              <w:rPr>
                <w:rFonts w:ascii="宋体" w:hAnsi="宋体" w:eastAsia="宋体"/>
                <w:sz w:val="16"/>
              </w:rPr>
              <w:t>确保公职人员的工资，津贴，补贴，社会保险，住房公积金等人员保障性经费能够依规，按时，足额发放或缴纳，提升工作人员积极性和服务质量，加强单位的</w:t>
            </w:r>
            <w:r>
              <w:rPr>
                <w:rFonts w:hint="eastAsia" w:ascii="宋体" w:hAnsi="宋体"/>
                <w:sz w:val="16"/>
                <w:lang w:eastAsia="zh-CN"/>
              </w:rPr>
              <w:t>社会主义法治建设</w:t>
            </w:r>
            <w:r>
              <w:rPr>
                <w:rFonts w:ascii="宋体" w:hAnsi="宋体" w:eastAsia="宋体"/>
                <w:sz w:val="16"/>
              </w:rPr>
              <w:t>和精神文明建设，加强民族团结维护社会稳定。</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1602814">
            <w:pPr>
              <w:jc w:val="both"/>
            </w:pPr>
            <w:r>
              <w:rPr>
                <w:rFonts w:ascii="宋体" w:hAnsi="宋体" w:eastAsia="宋体"/>
                <w:sz w:val="16"/>
              </w:rPr>
              <w:t>保障了公职人员的工资，津贴，补贴，社会保险，住房公积金等人员保障性经费能够依规，按时，足额发放或缴纳，提升工作人员积极性和服务质量，加强单位的</w:t>
            </w:r>
            <w:r>
              <w:rPr>
                <w:rFonts w:hint="eastAsia" w:ascii="宋体" w:hAnsi="宋体"/>
                <w:sz w:val="16"/>
                <w:lang w:eastAsia="zh-CN"/>
              </w:rPr>
              <w:t>社会主义法治建设</w:t>
            </w:r>
            <w:r>
              <w:rPr>
                <w:rFonts w:ascii="宋体" w:hAnsi="宋体" w:eastAsia="宋体"/>
                <w:sz w:val="16"/>
              </w:rPr>
              <w:t>和精神文明建设，加强民族团结维护社会稳定。</w:t>
            </w:r>
          </w:p>
        </w:tc>
      </w:tr>
      <w:tr w14:paraId="4875A00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F5BE29">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387338">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707990">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AB155C">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ED6634">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AA04F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89C5A9">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1D7570">
            <w:pPr>
              <w:jc w:val="center"/>
            </w:pPr>
            <w:r>
              <w:rPr>
                <w:rFonts w:ascii="宋体" w:hAnsi="宋体" w:eastAsia="宋体"/>
                <w:sz w:val="16"/>
              </w:rPr>
              <w:t>得分</w:t>
            </w:r>
          </w:p>
        </w:tc>
      </w:tr>
      <w:tr w14:paraId="5DD1821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E8E01A">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B2D198">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F5675A">
            <w:pPr>
              <w:jc w:val="center"/>
            </w:pPr>
            <w:r>
              <w:rPr>
                <w:rFonts w:ascii="宋体" w:hAnsi="宋体" w:eastAsia="宋体"/>
                <w:sz w:val="16"/>
              </w:rPr>
              <w:t>在职人员工资福利支出预算保障人数（人）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7737AF">
            <w:pPr>
              <w:jc w:val="center"/>
            </w:pPr>
            <w:r>
              <w:rPr>
                <w:rFonts w:ascii="宋体" w:hAnsi="宋体" w:eastAsia="宋体"/>
                <w:sz w:val="16"/>
              </w:rPr>
              <w:t>&gt;=7人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991B58">
            <w:pPr>
              <w:jc w:val="center"/>
            </w:pPr>
            <w:r>
              <w:rPr>
                <w:rFonts w:ascii="宋体" w:hAnsi="宋体" w:eastAsia="宋体"/>
                <w:sz w:val="16"/>
              </w:rPr>
              <w:t>上年度末工资册汇总表/人员编制增减变动变更表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C6755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1BB749">
            <w:pPr>
              <w:jc w:val="center"/>
            </w:pPr>
            <w:r>
              <w:rPr>
                <w:rFonts w:ascii="宋体" w:hAnsi="宋体" w:eastAsia="宋体"/>
                <w:sz w:val="16"/>
              </w:rPr>
              <w:t>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789B41">
            <w:pPr>
              <w:jc w:val="center"/>
            </w:pPr>
            <w:r>
              <w:rPr>
                <w:rFonts w:ascii="宋体" w:hAnsi="宋体" w:eastAsia="宋体"/>
                <w:sz w:val="16"/>
              </w:rPr>
              <w:t>10</w:t>
            </w:r>
          </w:p>
        </w:tc>
      </w:tr>
      <w:tr w14:paraId="495F629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34DDF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70DB38">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001AC6">
            <w:pPr>
              <w:jc w:val="center"/>
            </w:pPr>
            <w:r>
              <w:rPr>
                <w:rFonts w:ascii="宋体" w:hAnsi="宋体" w:eastAsia="宋体"/>
                <w:sz w:val="16"/>
              </w:rPr>
              <w:t>年度部门整体支出控制数（万元）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37DC94">
            <w:pPr>
              <w:jc w:val="center"/>
            </w:pPr>
            <w:r>
              <w:rPr>
                <w:rFonts w:ascii="宋体" w:hAnsi="宋体" w:eastAsia="宋体"/>
                <w:sz w:val="16"/>
              </w:rPr>
              <w:t>&lt;=328.62万元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8530FE">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B04C5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991B1E">
            <w:pPr>
              <w:jc w:val="center"/>
            </w:pPr>
            <w:r>
              <w:rPr>
                <w:rFonts w:ascii="宋体" w:hAnsi="宋体" w:eastAsia="宋体"/>
                <w:sz w:val="16"/>
              </w:rPr>
              <w:t>543.23万元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23BF44">
            <w:pPr>
              <w:jc w:val="center"/>
            </w:pPr>
            <w:r>
              <w:rPr>
                <w:rFonts w:ascii="宋体" w:hAnsi="宋体" w:eastAsia="宋体"/>
                <w:sz w:val="16"/>
              </w:rPr>
              <w:t>6.05</w:t>
            </w:r>
          </w:p>
        </w:tc>
      </w:tr>
      <w:tr w14:paraId="12A1EE0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D03CEC"/>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BA09B0">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845C5E">
            <w:pPr>
              <w:jc w:val="center"/>
            </w:pPr>
            <w:r>
              <w:rPr>
                <w:rFonts w:ascii="宋体" w:hAnsi="宋体" w:eastAsia="宋体"/>
                <w:sz w:val="16"/>
              </w:rPr>
              <w:t>年初预算使用合规率（%）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0A2F6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46E46D">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6DDF9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BF4F8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D7FC2F">
            <w:pPr>
              <w:jc w:val="center"/>
            </w:pPr>
            <w:r>
              <w:rPr>
                <w:rFonts w:ascii="宋体" w:hAnsi="宋体" w:eastAsia="宋体"/>
                <w:sz w:val="16"/>
              </w:rPr>
              <w:t>10</w:t>
            </w:r>
          </w:p>
        </w:tc>
      </w:tr>
      <w:tr w14:paraId="08A6BC2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F733E4">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3B7B9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CC191D">
            <w:pPr>
              <w:jc w:val="center"/>
            </w:pPr>
            <w:r>
              <w:rPr>
                <w:rFonts w:ascii="宋体" w:hAnsi="宋体" w:eastAsia="宋体"/>
                <w:sz w:val="16"/>
              </w:rPr>
              <w:t>改善供养居住环境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827FFC">
            <w:pPr>
              <w:jc w:val="center"/>
            </w:pPr>
            <w:r>
              <w:rPr>
                <w:rFonts w:ascii="宋体" w:hAnsi="宋体" w:eastAsia="宋体"/>
                <w:sz w:val="16"/>
              </w:rPr>
              <w:t>改善</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020DDF">
            <w:pPr>
              <w:jc w:val="center"/>
            </w:pPr>
            <w:r>
              <w:rPr>
                <w:rFonts w:ascii="宋体" w:hAnsi="宋体" w:eastAsia="宋体"/>
                <w:sz w:val="16"/>
              </w:rPr>
              <w:t>政策制度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D4FE9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2CB8F4">
            <w:pPr>
              <w:jc w:val="center"/>
            </w:pPr>
            <w:r>
              <w:rPr>
                <w:rFonts w:ascii="宋体" w:hAnsi="宋体" w:eastAsia="宋体"/>
                <w:sz w:val="16"/>
              </w:rPr>
              <w:t>改善</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01B5BF">
            <w:pPr>
              <w:jc w:val="center"/>
            </w:pPr>
            <w:r>
              <w:rPr>
                <w:rFonts w:ascii="宋体" w:hAnsi="宋体" w:eastAsia="宋体"/>
                <w:sz w:val="16"/>
              </w:rPr>
              <w:t>10</w:t>
            </w:r>
          </w:p>
        </w:tc>
      </w:tr>
      <w:tr w14:paraId="397295F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FD895F">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DE3EF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2DA66D">
            <w:pPr>
              <w:jc w:val="center"/>
            </w:pPr>
            <w:r>
              <w:rPr>
                <w:rFonts w:ascii="宋体" w:hAnsi="宋体" w:eastAsia="宋体"/>
                <w:sz w:val="16"/>
              </w:rPr>
              <w:t>老人入住幸福感提升率（%）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9770A7">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6BC0AE">
            <w:pPr>
              <w:jc w:val="center"/>
            </w:pPr>
            <w:r>
              <w:rPr>
                <w:rFonts w:ascii="宋体" w:hAnsi="宋体" w:eastAsia="宋体"/>
                <w:sz w:val="16"/>
              </w:rPr>
              <w:t>政策制度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6F654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6B5F7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4B8BA6">
            <w:pPr>
              <w:jc w:val="center"/>
            </w:pPr>
            <w:r>
              <w:rPr>
                <w:rFonts w:ascii="宋体" w:hAnsi="宋体" w:eastAsia="宋体"/>
                <w:sz w:val="16"/>
              </w:rPr>
              <w:t>10</w:t>
            </w:r>
          </w:p>
        </w:tc>
      </w:tr>
      <w:tr w14:paraId="3C35F08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1CE49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2845B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DA4C95">
            <w:pPr>
              <w:jc w:val="center"/>
            </w:pPr>
            <w:r>
              <w:rPr>
                <w:rFonts w:ascii="宋体" w:hAnsi="宋体" w:eastAsia="宋体"/>
                <w:sz w:val="16"/>
              </w:rPr>
              <w:t>床位利用率（%）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015950">
            <w:pPr>
              <w:jc w:val="center"/>
            </w:pPr>
            <w:r>
              <w:rPr>
                <w:rFonts w:ascii="宋体" w:hAnsi="宋体" w:eastAsia="宋体"/>
                <w:sz w:val="16"/>
              </w:rPr>
              <w:t>&gt;=80%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9F2796">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FF7C1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BA449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931589">
            <w:pPr>
              <w:jc w:val="center"/>
            </w:pPr>
            <w:r>
              <w:rPr>
                <w:rFonts w:ascii="宋体" w:hAnsi="宋体" w:eastAsia="宋体"/>
                <w:sz w:val="16"/>
              </w:rPr>
              <w:t>10</w:t>
            </w:r>
          </w:p>
        </w:tc>
      </w:tr>
      <w:tr w14:paraId="172618D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615B6E">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97203D">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A84BE7">
            <w:pPr>
              <w:jc w:val="center"/>
            </w:pPr>
            <w:r>
              <w:rPr>
                <w:rFonts w:ascii="宋体" w:hAnsi="宋体" w:eastAsia="宋体"/>
                <w:sz w:val="16"/>
              </w:rPr>
              <w:t>完善健全制度规范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D7A354">
            <w:pPr>
              <w:jc w:val="center"/>
            </w:pPr>
            <w:r>
              <w:rPr>
                <w:rFonts w:ascii="宋体" w:hAnsi="宋体" w:eastAsia="宋体"/>
                <w:sz w:val="16"/>
              </w:rPr>
              <w:t>完善</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63795F">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6AA99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098DC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71839B">
            <w:pPr>
              <w:jc w:val="center"/>
            </w:pPr>
            <w:r>
              <w:rPr>
                <w:rFonts w:ascii="宋体" w:hAnsi="宋体" w:eastAsia="宋体"/>
                <w:sz w:val="16"/>
              </w:rPr>
              <w:t>10</w:t>
            </w:r>
          </w:p>
        </w:tc>
      </w:tr>
      <w:tr w14:paraId="050ABC2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EE2154">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E0D09A">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5F1D58">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B729E6">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1F9409">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5234F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2B27A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341037">
            <w:pPr>
              <w:jc w:val="center"/>
            </w:pPr>
            <w:r>
              <w:rPr>
                <w:rFonts w:ascii="宋体" w:hAnsi="宋体" w:eastAsia="宋体"/>
                <w:sz w:val="16"/>
              </w:rPr>
              <w:t>10</w:t>
            </w:r>
          </w:p>
        </w:tc>
      </w:tr>
      <w:tr w14:paraId="17BD388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3B204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19F3B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B54777">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AD3909">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953CBC">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BCEF1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070CA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B8F7EC">
            <w:pPr>
              <w:jc w:val="center"/>
            </w:pPr>
            <w:r>
              <w:rPr>
                <w:rFonts w:ascii="宋体" w:hAnsi="宋体" w:eastAsia="宋体"/>
                <w:sz w:val="16"/>
              </w:rPr>
              <w:t>10</w:t>
            </w:r>
          </w:p>
        </w:tc>
      </w:tr>
    </w:tbl>
    <w:p w14:paraId="167802DF">
      <w:r>
        <w:br w:type="page"/>
      </w:r>
    </w:p>
    <w:tbl>
      <w:tblPr>
        <w:tblStyle w:val="9"/>
        <w:tblW w:w="0" w:type="auto"/>
        <w:tblInd w:w="0" w:type="dxa"/>
        <w:tblLayout w:type="autofit"/>
        <w:tblCellMar>
          <w:top w:w="0" w:type="dxa"/>
          <w:left w:w="108" w:type="dxa"/>
          <w:bottom w:w="0" w:type="dxa"/>
          <w:right w:w="108" w:type="dxa"/>
        </w:tblCellMar>
      </w:tblPr>
      <w:tblGrid>
        <w:gridCol w:w="627"/>
        <w:gridCol w:w="618"/>
        <w:gridCol w:w="618"/>
        <w:gridCol w:w="856"/>
        <w:gridCol w:w="696"/>
        <w:gridCol w:w="618"/>
        <w:gridCol w:w="618"/>
        <w:gridCol w:w="622"/>
        <w:gridCol w:w="618"/>
        <w:gridCol w:w="618"/>
        <w:gridCol w:w="696"/>
        <w:gridCol w:w="631"/>
        <w:gridCol w:w="597"/>
        <w:gridCol w:w="627"/>
      </w:tblGrid>
      <w:tr w14:paraId="63E373C5">
        <w:tblPrEx>
          <w:tblCellMar>
            <w:top w:w="0" w:type="dxa"/>
            <w:left w:w="108" w:type="dxa"/>
            <w:bottom w:w="0" w:type="dxa"/>
            <w:right w:w="108" w:type="dxa"/>
          </w:tblCellMar>
        </w:tblPrEx>
        <w:tc>
          <w:tcPr>
            <w:tcW w:w="8848" w:type="dxa"/>
            <w:gridSpan w:val="14"/>
            <w:vAlign w:val="center"/>
          </w:tcPr>
          <w:p w14:paraId="75FD6D1A">
            <w:pPr>
              <w:jc w:val="center"/>
            </w:pPr>
            <w:r>
              <w:rPr>
                <w:rFonts w:ascii="宋体" w:hAnsi="宋体" w:eastAsia="宋体"/>
                <w:sz w:val="24"/>
              </w:rPr>
              <w:t>项目支出绩效自评表</w:t>
            </w:r>
          </w:p>
        </w:tc>
      </w:tr>
      <w:tr w14:paraId="2314C4C4">
        <w:tblPrEx>
          <w:tblCellMar>
            <w:top w:w="0" w:type="dxa"/>
            <w:left w:w="108" w:type="dxa"/>
            <w:bottom w:w="0" w:type="dxa"/>
            <w:right w:w="108" w:type="dxa"/>
          </w:tblCellMar>
        </w:tblPrEx>
        <w:tc>
          <w:tcPr>
            <w:tcW w:w="8848" w:type="dxa"/>
            <w:gridSpan w:val="14"/>
            <w:vAlign w:val="center"/>
          </w:tcPr>
          <w:p w14:paraId="7B599E5A">
            <w:pPr>
              <w:jc w:val="center"/>
            </w:pPr>
            <w:r>
              <w:rPr>
                <w:rFonts w:ascii="宋体" w:hAnsi="宋体" w:eastAsia="宋体"/>
                <w:sz w:val="24"/>
              </w:rPr>
              <w:t>(2024年度)</w:t>
            </w:r>
          </w:p>
        </w:tc>
      </w:tr>
      <w:tr w14:paraId="6E0D14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64DA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1A7E5D3">
            <w:pPr>
              <w:jc w:val="center"/>
            </w:pPr>
            <w:r>
              <w:rPr>
                <w:rFonts w:ascii="宋体" w:hAnsi="宋体" w:eastAsia="宋体"/>
                <w:sz w:val="16"/>
              </w:rPr>
              <w:t>2024年中央财政困难群众救助补助项目</w:t>
            </w:r>
          </w:p>
        </w:tc>
      </w:tr>
      <w:tr w14:paraId="28C7CA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CD86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C29354">
            <w:pPr>
              <w:jc w:val="center"/>
            </w:pPr>
            <w:r>
              <w:rPr>
                <w:rFonts w:ascii="宋体" w:hAnsi="宋体" w:eastAsia="宋体"/>
                <w:sz w:val="16"/>
              </w:rPr>
              <w:t>阿克陶县民政局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0D41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FA583A">
            <w:pPr>
              <w:jc w:val="center"/>
            </w:pPr>
            <w:r>
              <w:rPr>
                <w:rFonts w:ascii="宋体" w:hAnsi="宋体" w:eastAsia="宋体"/>
                <w:sz w:val="16"/>
              </w:rPr>
              <w:t>阿克陶县中心敬老院</w:t>
            </w:r>
          </w:p>
        </w:tc>
      </w:tr>
      <w:tr w14:paraId="67247F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5F39A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8ED0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386C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B92B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0D73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9517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3BDB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68DCF">
            <w:pPr>
              <w:jc w:val="center"/>
            </w:pPr>
            <w:r>
              <w:rPr>
                <w:rFonts w:ascii="宋体" w:hAnsi="宋体" w:eastAsia="宋体"/>
                <w:sz w:val="16"/>
              </w:rPr>
              <w:t>得分</w:t>
            </w:r>
          </w:p>
        </w:tc>
      </w:tr>
      <w:tr w14:paraId="3F50D6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B18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3DC5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04F8B">
            <w:pPr>
              <w:jc w:val="center"/>
            </w:pPr>
            <w:r>
              <w:rPr>
                <w:rFonts w:ascii="宋体" w:hAnsi="宋体" w:eastAsia="宋体"/>
                <w:sz w:val="16"/>
              </w:rPr>
              <w:t>91.43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98A6F">
            <w:pPr>
              <w:jc w:val="center"/>
            </w:pPr>
            <w:r>
              <w:rPr>
                <w:rFonts w:ascii="宋体" w:hAnsi="宋体" w:eastAsia="宋体"/>
                <w:sz w:val="16"/>
              </w:rPr>
              <w:t>91.43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D3DAC">
            <w:pPr>
              <w:jc w:val="center"/>
            </w:pPr>
            <w:r>
              <w:rPr>
                <w:rFonts w:ascii="宋体" w:hAnsi="宋体" w:eastAsia="宋体"/>
                <w:sz w:val="16"/>
              </w:rPr>
              <w:t>82.08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DA6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1FFBE">
            <w:pPr>
              <w:jc w:val="center"/>
            </w:pPr>
            <w:r>
              <w:rPr>
                <w:rFonts w:ascii="宋体" w:hAnsi="宋体" w:eastAsia="宋体"/>
                <w:sz w:val="16"/>
              </w:rPr>
              <w:t>89.8%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380E4">
            <w:pPr>
              <w:jc w:val="center"/>
            </w:pPr>
            <w:r>
              <w:rPr>
                <w:rFonts w:ascii="宋体" w:hAnsi="宋体" w:eastAsia="宋体"/>
                <w:sz w:val="16"/>
              </w:rPr>
              <w:t>7.45分</w:t>
            </w:r>
          </w:p>
        </w:tc>
      </w:tr>
      <w:tr w14:paraId="675242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D88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296F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5B078">
            <w:pPr>
              <w:jc w:val="center"/>
            </w:pPr>
            <w:r>
              <w:rPr>
                <w:rFonts w:ascii="宋体" w:hAnsi="宋体" w:eastAsia="宋体"/>
                <w:sz w:val="16"/>
              </w:rPr>
              <w:t>91.43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5DFE2">
            <w:pPr>
              <w:jc w:val="center"/>
            </w:pPr>
            <w:r>
              <w:rPr>
                <w:rFonts w:ascii="宋体" w:hAnsi="宋体" w:eastAsia="宋体"/>
                <w:sz w:val="16"/>
              </w:rPr>
              <w:t>91.43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FAF5C">
            <w:pPr>
              <w:jc w:val="center"/>
            </w:pPr>
            <w:r>
              <w:rPr>
                <w:rFonts w:ascii="宋体" w:hAnsi="宋体" w:eastAsia="宋体"/>
                <w:sz w:val="16"/>
              </w:rPr>
              <w:t>82.08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6876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32E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26FD0">
            <w:pPr>
              <w:jc w:val="center"/>
            </w:pPr>
            <w:r>
              <w:rPr>
                <w:rFonts w:ascii="宋体" w:hAnsi="宋体" w:eastAsia="宋体"/>
                <w:sz w:val="16"/>
              </w:rPr>
              <w:t>—</w:t>
            </w:r>
          </w:p>
        </w:tc>
      </w:tr>
      <w:tr w14:paraId="078C03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B7B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3888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EA3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FA2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8F0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DE20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1C1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71606">
            <w:pPr>
              <w:jc w:val="center"/>
            </w:pPr>
            <w:r>
              <w:rPr>
                <w:rFonts w:ascii="宋体" w:hAnsi="宋体" w:eastAsia="宋体"/>
                <w:sz w:val="16"/>
              </w:rPr>
              <w:t>—</w:t>
            </w:r>
          </w:p>
        </w:tc>
      </w:tr>
      <w:tr w14:paraId="281FD2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D5E50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F7B96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A983BD">
            <w:pPr>
              <w:jc w:val="center"/>
            </w:pPr>
            <w:r>
              <w:rPr>
                <w:rFonts w:ascii="宋体" w:hAnsi="宋体" w:eastAsia="宋体"/>
                <w:sz w:val="16"/>
              </w:rPr>
              <w:t>实际完成情况</w:t>
            </w:r>
          </w:p>
        </w:tc>
      </w:tr>
      <w:tr w14:paraId="3BFB32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B1E0E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457F2E">
            <w:pPr>
              <w:jc w:val="both"/>
            </w:pPr>
            <w:r>
              <w:rPr>
                <w:rFonts w:ascii="宋体" w:hAnsi="宋体" w:eastAsia="宋体"/>
                <w:sz w:val="16"/>
              </w:rPr>
              <w:t>该项目力求健全分层分类、城乡统筹的</w:t>
            </w:r>
            <w:r>
              <w:rPr>
                <w:rFonts w:hint="eastAsia" w:ascii="宋体" w:hAnsi="宋体"/>
                <w:sz w:val="16"/>
                <w:lang w:eastAsia="zh-CN"/>
              </w:rPr>
              <w:t>中国特色社会主义制度</w:t>
            </w:r>
            <w:r>
              <w:rPr>
                <w:rFonts w:ascii="宋体" w:hAnsi="宋体" w:eastAsia="宋体"/>
                <w:sz w:val="16"/>
              </w:rPr>
              <w:t>，使服务管理更加便民惠民，兜底保障功能得以有效发挥，城乡困难群众都能得到及时救助，是实现社会救助事业高质量发展，总体适应社会主义现代化发展的一项重要民生工程。本项目的实施将持续维护困难群众基本权益，不断增强困难群众的</w:t>
            </w:r>
            <w:r>
              <w:rPr>
                <w:rFonts w:hint="eastAsia" w:ascii="宋体" w:hAnsi="宋体"/>
                <w:sz w:val="16"/>
                <w:lang w:eastAsia="zh-CN"/>
              </w:rPr>
              <w:t>获得感、幸福感、安全感</w:t>
            </w:r>
            <w:r>
              <w:rPr>
                <w:rFonts w:ascii="宋体" w:hAnsi="宋体" w:eastAsia="宋体"/>
                <w:sz w:val="16"/>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814FF1">
            <w:pPr>
              <w:jc w:val="both"/>
            </w:pPr>
            <w:r>
              <w:rPr>
                <w:rFonts w:ascii="宋体" w:hAnsi="宋体" w:eastAsia="宋体"/>
                <w:sz w:val="16"/>
              </w:rPr>
              <w:t>执行该项目力求健全分层分类、城乡统筹的</w:t>
            </w:r>
            <w:r>
              <w:rPr>
                <w:rFonts w:hint="eastAsia" w:ascii="宋体" w:hAnsi="宋体"/>
                <w:sz w:val="16"/>
                <w:lang w:eastAsia="zh-CN"/>
              </w:rPr>
              <w:t>中国特色社会主义制度</w:t>
            </w:r>
            <w:r>
              <w:rPr>
                <w:rFonts w:ascii="宋体" w:hAnsi="宋体" w:eastAsia="宋体"/>
                <w:sz w:val="16"/>
              </w:rPr>
              <w:t>，使服务管理更加便民惠民，兜底保障功能得以有效发挥，城乡困难群众都能得到及时救助，是实现社会救助事业高质量发展，总体适应社会主义现代化发展的一项重要民生工程。本项目的实施将持续维护困难群众基本权益，不断增强困难群众的</w:t>
            </w:r>
            <w:r>
              <w:rPr>
                <w:rFonts w:hint="eastAsia" w:ascii="宋体" w:hAnsi="宋体"/>
                <w:sz w:val="16"/>
                <w:lang w:eastAsia="zh-CN"/>
              </w:rPr>
              <w:t>获得感、幸福感、安全感</w:t>
            </w:r>
            <w:r>
              <w:rPr>
                <w:rFonts w:ascii="宋体" w:hAnsi="宋体" w:eastAsia="宋体"/>
                <w:sz w:val="16"/>
              </w:rPr>
              <w:t>。</w:t>
            </w:r>
          </w:p>
        </w:tc>
      </w:tr>
      <w:tr w14:paraId="4CCFC1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28E6E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1E74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1F68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D6C6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37CE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F1B1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A79E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2FB8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F9BB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AA7F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59DC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EE2E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C2838">
            <w:pPr>
              <w:jc w:val="center"/>
            </w:pPr>
            <w:r>
              <w:rPr>
                <w:rFonts w:ascii="宋体" w:hAnsi="宋体" w:eastAsia="宋体"/>
                <w:sz w:val="16"/>
              </w:rPr>
              <w:t>偏差原因分析及改进措施</w:t>
            </w:r>
          </w:p>
        </w:tc>
      </w:tr>
      <w:tr w14:paraId="149FB3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385B1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D9CC7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043A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3D8CF">
            <w:pPr>
              <w:jc w:val="center"/>
            </w:pPr>
            <w:r>
              <w:rPr>
                <w:rFonts w:ascii="宋体" w:hAnsi="宋体" w:eastAsia="宋体"/>
                <w:sz w:val="16"/>
              </w:rPr>
              <w:t>集中供养特困人员人数（人）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0D88B">
            <w:pPr>
              <w:jc w:val="center"/>
            </w:pPr>
            <w:r>
              <w:rPr>
                <w:rFonts w:ascii="宋体" w:hAnsi="宋体" w:eastAsia="宋体"/>
                <w:sz w:val="16"/>
              </w:rPr>
              <w:t>=77人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2671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CBD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E265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52E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7CA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0EC43">
            <w:pPr>
              <w:jc w:val="center"/>
            </w:pPr>
            <w:r>
              <w:rPr>
                <w:rFonts w:ascii="宋体" w:hAnsi="宋体" w:eastAsia="宋体"/>
                <w:sz w:val="16"/>
              </w:rPr>
              <w:t>=77人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7C0B5">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30B61">
            <w:pPr>
              <w:jc w:val="center"/>
            </w:pPr>
          </w:p>
        </w:tc>
      </w:tr>
      <w:tr w14:paraId="17D651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33A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8F6B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A117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5D02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B4E0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F37C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088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B920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3DB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344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31E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D4BCE">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DB52B">
            <w:pPr>
              <w:jc w:val="center"/>
            </w:pPr>
          </w:p>
        </w:tc>
      </w:tr>
      <w:tr w14:paraId="00BFE2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0AD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065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BB12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F2B07">
            <w:pPr>
              <w:jc w:val="center"/>
            </w:pPr>
            <w:r>
              <w:rPr>
                <w:rFonts w:ascii="宋体" w:hAnsi="宋体" w:eastAsia="宋体"/>
                <w:sz w:val="16"/>
              </w:rPr>
              <w:t>资金执行时限（月））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F99B0">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92BA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B98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DA3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FAC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AE4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7D07D">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D2B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CF67C">
            <w:pPr>
              <w:jc w:val="center"/>
            </w:pPr>
          </w:p>
        </w:tc>
      </w:tr>
      <w:tr w14:paraId="411F2A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173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0828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EA60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0F6C6">
            <w:pPr>
              <w:jc w:val="center"/>
            </w:pPr>
            <w:r>
              <w:rPr>
                <w:rFonts w:ascii="宋体" w:hAnsi="宋体" w:eastAsia="宋体"/>
                <w:sz w:val="16"/>
              </w:rPr>
              <w:t>拨付资金（万元）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6AB7A">
            <w:pPr>
              <w:jc w:val="center"/>
            </w:pPr>
            <w:r>
              <w:rPr>
                <w:rFonts w:ascii="宋体" w:hAnsi="宋体" w:eastAsia="宋体"/>
                <w:sz w:val="16"/>
              </w:rPr>
              <w:t>=91.43万元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53E5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852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2A7E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FE5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BFC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ABB2D">
            <w:pPr>
              <w:jc w:val="center"/>
            </w:pPr>
            <w:r>
              <w:rPr>
                <w:rFonts w:ascii="宋体" w:hAnsi="宋体" w:eastAsia="宋体"/>
                <w:sz w:val="16"/>
              </w:rPr>
              <w:t>=82.08万元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A1C9B">
            <w:pPr>
              <w:jc w:val="center"/>
            </w:pPr>
            <w:r>
              <w:rPr>
                <w:rFonts w:ascii="宋体" w:hAnsi="宋体" w:eastAsia="宋体"/>
                <w:sz w:val="16"/>
              </w:rPr>
              <w:t>14.88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2807E">
            <w:pPr>
              <w:jc w:val="center"/>
            </w:pPr>
            <w:r>
              <w:rPr>
                <w:rFonts w:ascii="宋体" w:hAnsi="宋体" w:eastAsia="宋体"/>
                <w:sz w:val="16"/>
              </w:rPr>
              <w:t>资金已结转到下一年度</w:t>
            </w:r>
          </w:p>
        </w:tc>
      </w:tr>
      <w:tr w14:paraId="1517EF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DFA4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0FD54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309E7">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8B874">
            <w:pPr>
              <w:jc w:val="center"/>
            </w:pPr>
            <w:r>
              <w:rPr>
                <w:rFonts w:ascii="宋体" w:hAnsi="宋体" w:eastAsia="宋体"/>
                <w:sz w:val="16"/>
              </w:rPr>
              <w:t>有效保障困难人员生活需求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43FF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09A3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EA1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2AA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3CA5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41B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F965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337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9B82C">
            <w:pPr>
              <w:jc w:val="center"/>
            </w:pPr>
          </w:p>
        </w:tc>
      </w:tr>
      <w:tr w14:paraId="6DFF9C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21B5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0D1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766B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BF70B">
            <w:pPr>
              <w:jc w:val="center"/>
            </w:pPr>
            <w:r>
              <w:rPr>
                <w:rFonts w:ascii="宋体" w:hAnsi="宋体" w:eastAsia="宋体"/>
                <w:sz w:val="16"/>
              </w:rPr>
              <w:t>有效提高困难人员生活条件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1AD1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2030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64B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8D8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1AEF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D11F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68EB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F99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36074">
            <w:pPr>
              <w:jc w:val="center"/>
            </w:pPr>
          </w:p>
        </w:tc>
      </w:tr>
      <w:tr w14:paraId="0EC66C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E83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B564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AB9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71580">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6B4C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7DAF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42F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C62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4FF4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1FF9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4F0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2A0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83F31">
            <w:pPr>
              <w:jc w:val="center"/>
            </w:pPr>
          </w:p>
        </w:tc>
      </w:tr>
      <w:tr w14:paraId="795998D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A154F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99A5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5C6D4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F5178">
            <w:pPr>
              <w:jc w:val="center"/>
            </w:pPr>
            <w:r>
              <w:rPr>
                <w:rFonts w:ascii="宋体" w:hAnsi="宋体" w:eastAsia="宋体"/>
                <w:sz w:val="16"/>
              </w:rPr>
              <w:t>92.33分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8AECF1F"/>
        </w:tc>
      </w:tr>
    </w:tbl>
    <w:p w14:paraId="4BA8366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624DBD20">
        <w:tblPrEx>
          <w:tblCellMar>
            <w:top w:w="0" w:type="dxa"/>
            <w:left w:w="108" w:type="dxa"/>
            <w:bottom w:w="0" w:type="dxa"/>
            <w:right w:w="108" w:type="dxa"/>
          </w:tblCellMar>
        </w:tblPrEx>
        <w:tc>
          <w:tcPr>
            <w:tcW w:w="8848" w:type="dxa"/>
            <w:gridSpan w:val="14"/>
            <w:vAlign w:val="center"/>
          </w:tcPr>
          <w:p w14:paraId="03DE8C35">
            <w:pPr>
              <w:jc w:val="center"/>
            </w:pPr>
            <w:r>
              <w:rPr>
                <w:rFonts w:ascii="宋体" w:hAnsi="宋体" w:eastAsia="宋体"/>
                <w:sz w:val="24"/>
              </w:rPr>
              <w:t>项目支出绩效自评表</w:t>
            </w:r>
          </w:p>
        </w:tc>
      </w:tr>
      <w:tr w14:paraId="6185C3B1">
        <w:tblPrEx>
          <w:tblCellMar>
            <w:top w:w="0" w:type="dxa"/>
            <w:left w:w="108" w:type="dxa"/>
            <w:bottom w:w="0" w:type="dxa"/>
            <w:right w:w="108" w:type="dxa"/>
          </w:tblCellMar>
        </w:tblPrEx>
        <w:tc>
          <w:tcPr>
            <w:tcW w:w="8848" w:type="dxa"/>
            <w:gridSpan w:val="14"/>
            <w:vAlign w:val="center"/>
          </w:tcPr>
          <w:p w14:paraId="1B365194">
            <w:pPr>
              <w:jc w:val="center"/>
            </w:pPr>
            <w:r>
              <w:rPr>
                <w:rFonts w:ascii="宋体" w:hAnsi="宋体" w:eastAsia="宋体"/>
                <w:sz w:val="24"/>
              </w:rPr>
              <w:t>(2024年度)</w:t>
            </w:r>
          </w:p>
        </w:tc>
      </w:tr>
      <w:tr w14:paraId="74096D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D508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D6456E">
            <w:pPr>
              <w:jc w:val="center"/>
            </w:pPr>
            <w:r>
              <w:rPr>
                <w:rFonts w:ascii="宋体" w:hAnsi="宋体" w:eastAsia="宋体"/>
                <w:sz w:val="16"/>
              </w:rPr>
              <w:t>2024年中心敬老院集中供养特困老人补助项目（县级）</w:t>
            </w:r>
          </w:p>
        </w:tc>
      </w:tr>
      <w:tr w14:paraId="0392E3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C826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7ECF90">
            <w:pPr>
              <w:jc w:val="center"/>
            </w:pPr>
            <w:r>
              <w:rPr>
                <w:rFonts w:ascii="宋体" w:hAnsi="宋体" w:eastAsia="宋体"/>
                <w:sz w:val="16"/>
              </w:rPr>
              <w:t>阿克陶县民政局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64B5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4BED35">
            <w:pPr>
              <w:jc w:val="center"/>
            </w:pPr>
            <w:r>
              <w:rPr>
                <w:rFonts w:ascii="宋体" w:hAnsi="宋体" w:eastAsia="宋体"/>
                <w:sz w:val="16"/>
              </w:rPr>
              <w:t>阿克陶县中心敬老院</w:t>
            </w:r>
          </w:p>
        </w:tc>
      </w:tr>
      <w:tr w14:paraId="12682C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0EB14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9AFA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B131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7510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0B2D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8DB6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882D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514B3">
            <w:pPr>
              <w:jc w:val="center"/>
            </w:pPr>
            <w:r>
              <w:rPr>
                <w:rFonts w:ascii="宋体" w:hAnsi="宋体" w:eastAsia="宋体"/>
                <w:sz w:val="16"/>
              </w:rPr>
              <w:t>得分</w:t>
            </w:r>
          </w:p>
        </w:tc>
      </w:tr>
      <w:tr w14:paraId="6672C3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3A9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AA50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9A84A">
            <w:pPr>
              <w:jc w:val="center"/>
            </w:pPr>
            <w:r>
              <w:rPr>
                <w:rFonts w:ascii="宋体" w:hAnsi="宋体" w:eastAsia="宋体"/>
                <w:sz w:val="16"/>
              </w:rPr>
              <w:t>19.75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7BB35">
            <w:pPr>
              <w:jc w:val="center"/>
            </w:pPr>
            <w:r>
              <w:rPr>
                <w:rFonts w:ascii="宋体" w:hAnsi="宋体" w:eastAsia="宋体"/>
                <w:sz w:val="16"/>
              </w:rPr>
              <w:t>19.75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4AD07">
            <w:pPr>
              <w:jc w:val="center"/>
            </w:pPr>
            <w:r>
              <w:rPr>
                <w:rFonts w:ascii="宋体" w:hAnsi="宋体" w:eastAsia="宋体"/>
                <w:sz w:val="16"/>
              </w:rPr>
              <w:t>19.70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4AB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D9097">
            <w:pPr>
              <w:jc w:val="center"/>
            </w:pPr>
            <w:r>
              <w:rPr>
                <w:rFonts w:ascii="宋体" w:hAnsi="宋体" w:eastAsia="宋体"/>
                <w:sz w:val="16"/>
              </w:rPr>
              <w:t>99.7%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32272">
            <w:pPr>
              <w:jc w:val="center"/>
            </w:pPr>
            <w:r>
              <w:rPr>
                <w:rFonts w:ascii="宋体" w:hAnsi="宋体" w:eastAsia="宋体"/>
                <w:sz w:val="16"/>
              </w:rPr>
              <w:t>9.93分</w:t>
            </w:r>
          </w:p>
        </w:tc>
      </w:tr>
      <w:tr w14:paraId="7461F1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B81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C705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72CFB">
            <w:pPr>
              <w:jc w:val="center"/>
            </w:pPr>
            <w:r>
              <w:rPr>
                <w:rFonts w:ascii="宋体" w:hAnsi="宋体" w:eastAsia="宋体"/>
                <w:sz w:val="16"/>
              </w:rPr>
              <w:t>19.75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6B13D">
            <w:pPr>
              <w:jc w:val="center"/>
            </w:pPr>
            <w:r>
              <w:rPr>
                <w:rFonts w:ascii="宋体" w:hAnsi="宋体" w:eastAsia="宋体"/>
                <w:sz w:val="16"/>
              </w:rPr>
              <w:t>19.75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00B77">
            <w:pPr>
              <w:jc w:val="center"/>
            </w:pPr>
            <w:r>
              <w:rPr>
                <w:rFonts w:ascii="宋体" w:hAnsi="宋体" w:eastAsia="宋体"/>
                <w:sz w:val="16"/>
              </w:rPr>
              <w:t>19.70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23D2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4E5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B546A">
            <w:pPr>
              <w:jc w:val="center"/>
            </w:pPr>
            <w:r>
              <w:rPr>
                <w:rFonts w:ascii="宋体" w:hAnsi="宋体" w:eastAsia="宋体"/>
                <w:sz w:val="16"/>
              </w:rPr>
              <w:t>—</w:t>
            </w:r>
          </w:p>
        </w:tc>
      </w:tr>
      <w:tr w14:paraId="47A621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1A5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B2FE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16C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CCE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C15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269D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A04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071E2">
            <w:pPr>
              <w:jc w:val="center"/>
            </w:pPr>
            <w:r>
              <w:rPr>
                <w:rFonts w:ascii="宋体" w:hAnsi="宋体" w:eastAsia="宋体"/>
                <w:sz w:val="16"/>
              </w:rPr>
              <w:t>—</w:t>
            </w:r>
          </w:p>
        </w:tc>
      </w:tr>
      <w:tr w14:paraId="4D5C8C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16E61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44971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E2E920">
            <w:pPr>
              <w:jc w:val="center"/>
            </w:pPr>
            <w:r>
              <w:rPr>
                <w:rFonts w:ascii="宋体" w:hAnsi="宋体" w:eastAsia="宋体"/>
                <w:sz w:val="16"/>
              </w:rPr>
              <w:t>实际完成情况</w:t>
            </w:r>
          </w:p>
        </w:tc>
      </w:tr>
      <w:tr w14:paraId="495389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4E9F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4D8557">
            <w:pPr>
              <w:jc w:val="both"/>
            </w:pPr>
            <w:r>
              <w:rPr>
                <w:rFonts w:ascii="宋体" w:hAnsi="宋体" w:eastAsia="宋体"/>
                <w:sz w:val="16"/>
              </w:rPr>
              <w:t>用于单位水费，电费，网络费，燃气费，水道电路宿舍楼道消防设备电梯维修维护费，交通费等工作运行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2A1C1D">
            <w:pPr>
              <w:jc w:val="both"/>
            </w:pPr>
            <w:r>
              <w:rPr>
                <w:rFonts w:ascii="宋体" w:hAnsi="宋体" w:eastAsia="宋体"/>
                <w:sz w:val="16"/>
              </w:rPr>
              <w:t>该项目资金用于单位水费，电费，网络费，燃气费，水道电路宿舍楼道消防设备电梯维修维护费，交通费等，达到了工作正常运行的目的。</w:t>
            </w:r>
          </w:p>
        </w:tc>
      </w:tr>
      <w:tr w14:paraId="3DAB00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CB0C4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B1BB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98DF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95F7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006E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A31A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B9A2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16FF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EC98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97EF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FF13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C13F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58118">
            <w:pPr>
              <w:jc w:val="center"/>
            </w:pPr>
            <w:r>
              <w:rPr>
                <w:rFonts w:ascii="宋体" w:hAnsi="宋体" w:eastAsia="宋体"/>
                <w:sz w:val="16"/>
              </w:rPr>
              <w:t>偏差原因分析及改进措施</w:t>
            </w:r>
          </w:p>
        </w:tc>
      </w:tr>
      <w:tr w14:paraId="16BDDC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D2261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D2F86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4678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FD24A">
            <w:pPr>
              <w:jc w:val="center"/>
            </w:pPr>
            <w:r>
              <w:rPr>
                <w:rFonts w:ascii="宋体" w:hAnsi="宋体" w:eastAsia="宋体"/>
                <w:sz w:val="16"/>
              </w:rPr>
              <w:t>采购次数（次）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25872">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3B3C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838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9E26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C83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6CF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8E681">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C8DF2">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E279A">
            <w:pPr>
              <w:jc w:val="center"/>
            </w:pPr>
          </w:p>
        </w:tc>
      </w:tr>
      <w:tr w14:paraId="2F2776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67D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83D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D85D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660DD">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9B4F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3D4B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A69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E9CE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E07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0B3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9299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749A4">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F991F">
            <w:pPr>
              <w:jc w:val="center"/>
            </w:pPr>
          </w:p>
        </w:tc>
      </w:tr>
      <w:tr w14:paraId="2A264F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A04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810A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C243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68D62">
            <w:pPr>
              <w:jc w:val="center"/>
            </w:pPr>
            <w:r>
              <w:rPr>
                <w:rFonts w:ascii="宋体" w:hAnsi="宋体" w:eastAsia="宋体"/>
                <w:sz w:val="16"/>
              </w:rPr>
              <w:t>预算执行时限（月）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DC963">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E982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563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D35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D27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B41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C8F63">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0D2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E9093">
            <w:pPr>
              <w:jc w:val="center"/>
            </w:pPr>
          </w:p>
        </w:tc>
      </w:tr>
      <w:tr w14:paraId="6057CC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6D3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49A9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FB65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FAAF4">
            <w:pPr>
              <w:jc w:val="center"/>
            </w:pPr>
            <w:r>
              <w:rPr>
                <w:rFonts w:ascii="宋体" w:hAnsi="宋体" w:eastAsia="宋体"/>
                <w:sz w:val="16"/>
              </w:rPr>
              <w:t>运转经费（万元）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DA67C">
            <w:pPr>
              <w:jc w:val="center"/>
            </w:pPr>
            <w:r>
              <w:rPr>
                <w:rFonts w:ascii="宋体" w:hAnsi="宋体" w:eastAsia="宋体"/>
                <w:sz w:val="16"/>
              </w:rPr>
              <w:t>=19.75万元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732B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774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948C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298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7EE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18CC5">
            <w:pPr>
              <w:jc w:val="center"/>
            </w:pPr>
            <w:r>
              <w:rPr>
                <w:rFonts w:ascii="宋体" w:hAnsi="宋体" w:eastAsia="宋体"/>
                <w:sz w:val="16"/>
              </w:rPr>
              <w:t>=19.7万元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09619">
            <w:pPr>
              <w:jc w:val="center"/>
            </w:pPr>
            <w:r>
              <w:rPr>
                <w:rFonts w:ascii="宋体" w:hAnsi="宋体" w:eastAsia="宋体"/>
                <w:sz w:val="16"/>
              </w:rPr>
              <w:t>19.88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2B331">
            <w:pPr>
              <w:jc w:val="center"/>
            </w:pPr>
            <w:r>
              <w:rPr>
                <w:rFonts w:hint="eastAsia" w:ascii="宋体" w:hAnsi="宋体"/>
                <w:sz w:val="16"/>
                <w:lang w:eastAsia="zh-CN"/>
              </w:rPr>
              <w:t>厉行节约</w:t>
            </w:r>
            <w:r>
              <w:rPr>
                <w:rFonts w:ascii="宋体" w:hAnsi="宋体" w:eastAsia="宋体"/>
                <w:sz w:val="16"/>
              </w:rPr>
              <w:t>，减少经费</w:t>
            </w:r>
          </w:p>
        </w:tc>
      </w:tr>
      <w:tr w14:paraId="79728D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F35F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6D8AE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CCC96">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755FE">
            <w:pPr>
              <w:jc w:val="center"/>
            </w:pPr>
            <w:r>
              <w:rPr>
                <w:rFonts w:ascii="宋体" w:hAnsi="宋体" w:eastAsia="宋体"/>
                <w:sz w:val="16"/>
              </w:rPr>
              <w:t>有效保障困难人员生活需求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D7D0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8C9C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421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043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8AAF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218A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F467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7A7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4C799">
            <w:pPr>
              <w:jc w:val="center"/>
            </w:pPr>
          </w:p>
        </w:tc>
      </w:tr>
      <w:tr w14:paraId="1490F0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3832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663B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EF30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A3A9D">
            <w:pPr>
              <w:jc w:val="center"/>
            </w:pPr>
            <w:r>
              <w:rPr>
                <w:rFonts w:ascii="宋体" w:hAnsi="宋体" w:eastAsia="宋体"/>
                <w:sz w:val="16"/>
              </w:rPr>
              <w:t>有效改善困难人员生活条件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0AEC4">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9911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8B3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587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03F7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BB31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A4F2F">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80B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B2B4F">
            <w:pPr>
              <w:jc w:val="center"/>
            </w:pPr>
          </w:p>
        </w:tc>
      </w:tr>
      <w:tr w14:paraId="6B7403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F7F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A19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2596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64D28">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23D2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C95F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F86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C42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D2CF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9B05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3DE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F0A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5982B">
            <w:pPr>
              <w:jc w:val="center"/>
            </w:pPr>
          </w:p>
        </w:tc>
      </w:tr>
      <w:tr w14:paraId="463E04B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B5FA4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9634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720C7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EE1D5">
            <w:pPr>
              <w:jc w:val="center"/>
            </w:pPr>
            <w:r>
              <w:rPr>
                <w:rFonts w:ascii="宋体" w:hAnsi="宋体" w:eastAsia="宋体"/>
                <w:sz w:val="16"/>
              </w:rPr>
              <w:t>99.81分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30B9E0E"/>
        </w:tc>
      </w:tr>
    </w:tbl>
    <w:p w14:paraId="4F496BB0">
      <w:r>
        <w:br w:type="page"/>
      </w:r>
    </w:p>
    <w:p w14:paraId="394F12D9">
      <w:pPr>
        <w:spacing w:line="640" w:lineRule="exact"/>
        <w:ind w:firstLine="640"/>
        <w:jc w:val="both"/>
        <w:outlineLvl w:val="2"/>
      </w:pPr>
      <w:r>
        <w:rPr>
          <w:rFonts w:ascii="黑体" w:hAnsi="黑体" w:eastAsia="黑体"/>
          <w:sz w:val="32"/>
        </w:rPr>
        <w:t>十二、其他需说明的事项</w:t>
      </w:r>
    </w:p>
    <w:p w14:paraId="124F42F2">
      <w:pPr>
        <w:spacing w:line="580" w:lineRule="exact"/>
        <w:ind w:firstLine="640"/>
        <w:jc w:val="both"/>
      </w:pPr>
      <w:r>
        <w:rPr>
          <w:rFonts w:ascii="仿宋_GB2312" w:hAnsi="仿宋_GB2312" w:eastAsia="仿宋_GB2312"/>
          <w:b w:val="0"/>
          <w:sz w:val="32"/>
        </w:rPr>
        <w:t>本单位无其他需说明的事项。</w:t>
      </w:r>
    </w:p>
    <w:p w14:paraId="7FAB8590">
      <w:r>
        <w:br w:type="page"/>
      </w:r>
    </w:p>
    <w:p w14:paraId="5B28ACF1">
      <w:pPr>
        <w:spacing w:line="240" w:lineRule="auto"/>
        <w:jc w:val="center"/>
        <w:outlineLvl w:val="1"/>
      </w:pPr>
      <w:r>
        <w:rPr>
          <w:rFonts w:ascii="黑体" w:hAnsi="黑体" w:eastAsia="黑体"/>
          <w:sz w:val="32"/>
        </w:rPr>
        <w:t>第三部分 专业名词解释</w:t>
      </w:r>
    </w:p>
    <w:p w14:paraId="11B328A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017B46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D853D6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4C1840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8B3268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24E702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EC6A23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B67335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EE8788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1A8513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EEE132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8447A1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716121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083998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144873C">
      <w:r>
        <w:br w:type="page"/>
      </w:r>
    </w:p>
    <w:p w14:paraId="114F30E9">
      <w:pPr>
        <w:spacing w:line="240" w:lineRule="auto"/>
        <w:jc w:val="center"/>
        <w:outlineLvl w:val="1"/>
      </w:pPr>
      <w:r>
        <w:rPr>
          <w:rFonts w:ascii="黑体" w:hAnsi="黑体" w:eastAsia="黑体"/>
          <w:sz w:val="32"/>
        </w:rPr>
        <w:t>第四部分 部门决算报表（见附表）</w:t>
      </w:r>
    </w:p>
    <w:p w14:paraId="3F7C927E">
      <w:pPr>
        <w:spacing w:line="240" w:lineRule="auto"/>
        <w:ind w:firstLine="640"/>
        <w:jc w:val="both"/>
      </w:pPr>
      <w:r>
        <w:rPr>
          <w:rFonts w:ascii="仿宋_GB2312" w:hAnsi="仿宋_GB2312" w:eastAsia="仿宋_GB2312"/>
          <w:b w:val="0"/>
          <w:sz w:val="32"/>
        </w:rPr>
        <w:t>一、《收入支出决算总表》</w:t>
      </w:r>
    </w:p>
    <w:p w14:paraId="5EB79467">
      <w:pPr>
        <w:spacing w:line="240" w:lineRule="auto"/>
        <w:ind w:firstLine="640"/>
        <w:jc w:val="both"/>
      </w:pPr>
      <w:r>
        <w:rPr>
          <w:rFonts w:ascii="仿宋_GB2312" w:hAnsi="仿宋_GB2312" w:eastAsia="仿宋_GB2312"/>
          <w:b w:val="0"/>
          <w:sz w:val="32"/>
        </w:rPr>
        <w:t>二、《收入决算表》</w:t>
      </w:r>
    </w:p>
    <w:p w14:paraId="5D7515BF">
      <w:pPr>
        <w:spacing w:line="240" w:lineRule="auto"/>
        <w:ind w:firstLine="640"/>
        <w:jc w:val="both"/>
      </w:pPr>
      <w:r>
        <w:rPr>
          <w:rFonts w:ascii="仿宋_GB2312" w:hAnsi="仿宋_GB2312" w:eastAsia="仿宋_GB2312"/>
          <w:b w:val="0"/>
          <w:sz w:val="32"/>
        </w:rPr>
        <w:t>三、《支出决算表》</w:t>
      </w:r>
    </w:p>
    <w:p w14:paraId="34CB92CF">
      <w:pPr>
        <w:spacing w:line="240" w:lineRule="auto"/>
        <w:ind w:firstLine="640"/>
        <w:jc w:val="both"/>
      </w:pPr>
      <w:r>
        <w:rPr>
          <w:rFonts w:ascii="仿宋_GB2312" w:hAnsi="仿宋_GB2312" w:eastAsia="仿宋_GB2312"/>
          <w:b w:val="0"/>
          <w:sz w:val="32"/>
        </w:rPr>
        <w:t>四、《财政拨款收入支出决算总表》</w:t>
      </w:r>
    </w:p>
    <w:p w14:paraId="3BD7BA84">
      <w:pPr>
        <w:spacing w:line="240" w:lineRule="auto"/>
        <w:ind w:firstLine="640"/>
        <w:jc w:val="both"/>
      </w:pPr>
      <w:r>
        <w:rPr>
          <w:rFonts w:ascii="仿宋_GB2312" w:hAnsi="仿宋_GB2312" w:eastAsia="仿宋_GB2312"/>
          <w:b w:val="0"/>
          <w:sz w:val="32"/>
        </w:rPr>
        <w:t>五、《一般公共预算财政拨款支出决算表》</w:t>
      </w:r>
    </w:p>
    <w:p w14:paraId="62AD237A">
      <w:pPr>
        <w:spacing w:line="240" w:lineRule="auto"/>
        <w:ind w:firstLine="640"/>
        <w:jc w:val="both"/>
      </w:pPr>
      <w:r>
        <w:rPr>
          <w:rFonts w:ascii="仿宋_GB2312" w:hAnsi="仿宋_GB2312" w:eastAsia="仿宋_GB2312"/>
          <w:b w:val="0"/>
          <w:sz w:val="32"/>
        </w:rPr>
        <w:t>六、《一般公共预算财政拨款基本支出决算表》</w:t>
      </w:r>
    </w:p>
    <w:p w14:paraId="0EC38D2E">
      <w:pPr>
        <w:spacing w:line="240" w:lineRule="auto"/>
        <w:ind w:firstLine="640"/>
        <w:jc w:val="both"/>
      </w:pPr>
      <w:r>
        <w:rPr>
          <w:rFonts w:ascii="仿宋_GB2312" w:hAnsi="仿宋_GB2312" w:eastAsia="仿宋_GB2312"/>
          <w:b w:val="0"/>
          <w:sz w:val="32"/>
        </w:rPr>
        <w:t>七、《政府性基金预算财政拨款收入支出决算表》</w:t>
      </w:r>
    </w:p>
    <w:p w14:paraId="4E4296BB">
      <w:pPr>
        <w:spacing w:line="240" w:lineRule="auto"/>
        <w:ind w:firstLine="640"/>
        <w:jc w:val="both"/>
      </w:pPr>
      <w:r>
        <w:rPr>
          <w:rFonts w:ascii="仿宋_GB2312" w:hAnsi="仿宋_GB2312" w:eastAsia="仿宋_GB2312"/>
          <w:b w:val="0"/>
          <w:sz w:val="32"/>
        </w:rPr>
        <w:t>八、《国有资本经营预算财政拨款收入支出决算表》</w:t>
      </w:r>
    </w:p>
    <w:p w14:paraId="074A0C60">
      <w:pPr>
        <w:spacing w:line="240" w:lineRule="auto"/>
        <w:ind w:firstLine="640"/>
        <w:jc w:val="both"/>
      </w:pPr>
      <w:r>
        <w:rPr>
          <w:rFonts w:ascii="仿宋_GB2312" w:hAnsi="仿宋_GB2312" w:eastAsia="仿宋_GB2312"/>
          <w:b w:val="0"/>
          <w:sz w:val="32"/>
        </w:rPr>
        <w:t>九、《财政拨款“三公”经费支出决算表》</w:t>
      </w:r>
    </w:p>
    <w:p w14:paraId="59BFAAD9">
      <w:pPr>
        <w:spacing w:line="240" w:lineRule="auto"/>
        <w:ind w:firstLine="640"/>
        <w:jc w:val="both"/>
      </w:pPr>
    </w:p>
    <w:p w14:paraId="1F15867F">
      <w:pPr>
        <w:spacing w:line="240" w:lineRule="auto"/>
        <w:ind w:firstLine="640"/>
        <w:jc w:val="both"/>
      </w:pPr>
    </w:p>
    <w:p w14:paraId="7575986D">
      <w:pPr>
        <w:spacing w:line="240" w:lineRule="auto"/>
        <w:ind w:firstLine="640"/>
        <w:jc w:val="both"/>
      </w:pPr>
    </w:p>
    <w:p w14:paraId="3533725F">
      <w:pPr>
        <w:spacing w:line="240" w:lineRule="auto"/>
        <w:ind w:firstLine="640"/>
        <w:jc w:val="both"/>
      </w:pPr>
    </w:p>
    <w:p w14:paraId="17CEBFE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D5E6B9C"/>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D0938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5782</Words>
  <Characters>6649</Characters>
  <Lines>0</Lines>
  <Paragraphs>0</Paragraphs>
  <TotalTime>5</TotalTime>
  <ScaleCrop>false</ScaleCrop>
  <LinksUpToDate>false</LinksUpToDate>
  <CharactersWithSpaces>6657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2025-09-15T09:10:31Z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eyJoZGlkIjoiZTliZGUwNWM5NjQxODUyZjhjYWVlMWZjZWZmNTI5MzgiLCJ1c2VySWQiOiI0MzE2NzY3NzkifQ==</vt:lpwstr>
  </property>
</Properties>
</file>