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2024年车辆购置税补助地方（第一批，农村公路建设）项目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张中龙</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车辆购置税补助地方（第一批，农村公路建设）项目实施前期、过程及效果，评价财政预算资金使用的效率及效益。根据《关于下达阿克陶县本级2024年部门预算的通知》陶财预【2024】001号文件要求，该项目资金主要用于2024年车辆购置税补助地方（第一批，农村公路建设）项目新建桥梁五座；加固利用桥梁2座；采用四级公路标准对X396线道路进行提及改造全长2.47公里；采用三级公路标准对X401线道路进行提及改造全长8.123公里；采用四级公路标准对C096线道路安全设施及防护进行增加完善，通过该项目实施将有效填补阿克陶县公路的空白，并为后期的阿克陶县乡村群众出行提供便捷的通道，促进生产发展、提高农牧民生活质量，同时为群众经济发展做好交通先行的保障。</w:t>
        <w:br/>
        <w:t>2.主要内容及实施情况</w:t>
        <w:br/>
        <w:t>（1）主要内容</w:t>
        <w:br/>
        <w:t>该项目建设新建桥梁五座；加固利用桥梁2座；采用四级公路标准对X396线道路进行提及改造全长2.47公里；采用三级公路标准对X401线道路进行提及改造全长8.123公里；采用四级公路标准对C096线道路安全设施及防护进行增加完善。</w:t>
        <w:br/>
        <w:t>（2）实施情况</w:t>
        <w:br/>
        <w:t>截至2024年12月预算执行率为93.6%，资金按要求已全部支付55.16%。本级财政拨款2092.74万元，实际支出1154.43万元，预算执行率55.16%。</w:t>
        <w:br/>
        <w:t>3.项目实施主体</w:t>
        <w:br/>
        <w:t>该项目由阿克陶县交通运输局实施，资金用于2024年车辆购置税补助地方（第一批，农村公路建设）项目新建桥梁五座；加固利用桥梁2座；采用四级公路标准对X396线道路进行提及改造全长2.47公里；采用三级公路标准对X401线道路进行提及改造全长8.123公里；采用四级公路标准对C096线道路安全设施及防护进行增加完善，建设项目工程款的支出。</w:t>
        <w:br/>
        <w:t>4.资金投入和使用情况</w:t>
        <w:br/>
        <w:t>陶财预【2024】001号文件2024年度安排下达资金2092.74万元，为交通厅车购税专项资金，最终确定项目资金总数为2092.74万元。其中：中央财政拨款0万元，自治区财政拨款2092.74万元，本级财政拨款0万元，上年结余0万元。截至2024年12月31日，实际支出1154.43万元，预算执行率55.16%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主要2024年车辆购置税补助地方（第一批，农村公路建设）项目新建桥梁五座；加固利用桥梁2座；采用四级公路标准对X396线道路进行提及改造全长2.47公里；采用三级公路标准对X401线道路进行提及改造全长8.123公里；采用四级公路标准对C096线道路安全设施及防护进行增加完善，建设项目工程款的支出。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“道路建设项目数量（个）”指标，预期指标值为≥1个。</w:t>
        <w:br/>
        <w:t>②质量指标</w:t>
        <w:br/>
        <w:t>“资金使用合规率（%）”指标，预期指标值为=100%。</w:t>
        <w:br/>
        <w:t>③时效指标</w:t>
        <w:br/>
        <w:t>“资金拨付时效（月）”指标，预期指标值为=12月。</w:t>
        <w:br/>
        <w:t>（2）项目成本目标</w:t>
        <w:br/>
        <w:t>①经济成本指标</w:t>
        <w:br/>
        <w:t>“项目资金（万元）”指标，预期指标值为&lt;=2092.74万元。</w:t>
        <w:br/>
        <w:t>（3）项目效益目标</w:t>
        <w:br/>
        <w:t>①社会效益指标</w:t>
        <w:br/>
        <w:t>“业务保障能力提升”，预期指标值为提升。</w:t>
        <w:br/>
        <w:t>②生态环境指标</w:t>
        <w:br/>
        <w:t>“提升公路环境”，预期指标值为提升。</w:t>
        <w:br/>
        <w:t>（4）项目满意度目标</w:t>
        <w:br/>
        <w:t>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自治区残疾人事业发展补助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一级指标为：产出、效益、满意度。</w:t>
        <w:br/>
        <w:t>二级指标为：数量指标、质量指标、成本指标、社会效益指标、可持续影响指标、服务对象满意度指标。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李建文同志任评价组组长，职务为副局长，绩效评价工作职责为负责全盘工作。</w:t>
        <w:br/>
        <w:t>张中龙评价组副组长，绩效评价工作职责为对项目实施情况进行实地调查。</w:t>
        <w:br/>
        <w:t>吐尼沙姑·艾孜麦提、曾伟灵任评价组成员，绩效评价工作职责为负责资料审核等工作。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车辆购置税补助地方（第一批，农村公路建设）项目”项目绩效进行客观公正的评价，本项目总得分为70分，绩效评级属于“优”。其中，产出类指标得分40分，效益类指标得分20分，满意度指标10分。</w:t>
        <w:br/>
        <w:t>（二）综合评价结论</w:t>
        <w:br/>
        <w:t>经评价，本项目达到了年初设立的绩效目标，在实施过程中取得了良好的成效，具体表现在：该项目资金主要用于2024年车辆购置税补助地方（第一批，农村公路建设）项目新建桥梁五座；加固利用桥梁2座；采用四级公路标准对X396线道路进行提及改造全长2.47公里；采用三级公路标准对X401线道路进行提及改造全长8.123公里；采用四级公路标准对C096线道路安全设施及防护进行增加完善，通过该项目实施将有效填补阿克陶县公路的空白，并为后期的阿克陶县乡村群众出行提供便捷的通道，促进生产发展、提高农牧民生活质量，同时为群众经济发展做好交通先行的保障。</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项目决策类指标包括项目立项、绩效目标和资金投入三方面的内容，由7个三级指标构成，权重分为20分，实际得分20分，得分率为100%。</w:t>
        <w:br/>
        <w:t>（1）立项依据充分性：《关于下达阿克陶县本级2024年部门预算的通知》陶财预【2024】001号，并结合阿克陶县交通运输局组织实施。围绕阿克陶县交通运输局2024年度工作重点和工作计划制定经费预算，根据评分标准，该指标不扣分，得3分。</w:t>
        <w:br/>
        <w:t>（2）立项程序规范性：根据决策依据编制工作计划和经费预算，经过与阿克陶县交通运输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关于下达阿克陶县本级2024年部门预算的通知》陶财预【2024】001号文件金额下拨，实际完成内容与项目内容匹配，项目投资额与工作任务相匹配，根据评分标准，该指标不扣分，得5分。</w:t>
        <w:br/>
        <w:t>（6）资金分配合理性：资金分配按照根据关于《关于下达阿克陶县本级2024年部门预算的通知》陶财预【2024】001号要求，资金分配与实际相适应，根据评分标准，该指标不扣分，得5分。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项目过程类指标包括资金管理和组织实施两方面的内容，由7个三级指标构成，权重分为20分，实际得分18分，得分率为90%。</w:t>
        <w:br/>
        <w:t>（1）资金到位率：该项目总投资2092.74万元，阿克陶县财政局实际下达经费2092.74万元，其中当年财政拨款2092.74万元，上年结转资金0万元，财政资金足额拨付到位，根据评分标准，该指标不扣分，得5分。</w:t>
        <w:br/>
        <w:t>（2）预算执行率：本项目申请预算金额为2092.74万元，预算批复实际下达金额为2092.74万元，截至2024年12月31日，资金执行1154.43万元，资金执行率55.16%。项目资金支出总体能够按照预算执行，根据评分标准，该指标扣2分，得3分。</w:t>
        <w:br/>
        <w:t>（3）资金使用合规性：根据《关于下达阿克陶县本级2024年部门预算的通知》陶财预【2024】001号文件要求，符合预算批复规定用途，不存在截留、挤占、挪用、虚列支出等情况，未发现违规使用情况，根据评分标准，该指标不扣分，得5分。</w:t>
        <w:br/>
        <w:t>（4）管理制度健全性：该项目严格按照《阿克陶县残疾人联合会财务制度》及根据《关于下达阿克陶县本级2024年部门预算的通知》陶财预【2024】001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项目产出类指标包括产出数量、产出质量、产出时效、产出成本四方面的内容，由4个三级指标构成，权重分为40分，实际得分35分，得分率为87.5%。</w:t>
        <w:br/>
        <w:t>（1）对于“产出数量”</w:t>
        <w:br/>
        <w:t>道路建设项目数量1个，超过预期目标一致，根据评分标准，该指标不扣分，得10分。</w:t>
        <w:br/>
        <w:t>（2）对于“产出质量”：</w:t>
        <w:br/>
        <w:t>资金使用合规率100%，与预期目标一致，根据评分标准，该指标不扣分，得10分。</w:t>
        <w:br/>
        <w:t>（3）对于“产出时效”：</w:t>
        <w:br/>
        <w:t>资金拨付时效12月，与预期目标指标一致，根据评分标准，该指标不扣分，得10分。</w:t>
        <w:br/>
        <w:t>（4）对于“产出成本”：</w:t>
        <w:br/>
        <w:t>项目资金为1154.43万元，与预期目标指标一致，根据评分标准，该指标扣分，得5分。</w:t>
        <w:b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业务保障能力提升，与预期指标一致，根据评分标准，该指标不扣分，得5分。</w:t>
        <w:br/>
        <w:t>提升公路环境，与预期指标一致，根据评分标准，该指标不扣分，得5分。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