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C4D32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阿克陶县塔尔塔吉克民族乡中心小学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558C1E">
      <w:r>
        <w:br w:type="page"/>
      </w:r>
    </w:p>
    <w:p w14:paraId="79896484">
      <w:pPr>
        <w:spacing w:line="640" w:lineRule="exact"/>
        <w:jc w:val="center"/>
        <w:outlineLvl w:val="1"/>
      </w:pPr>
      <w:r>
        <w:rPr>
          <w:rFonts w:ascii="黑体" w:hAnsi="黑体" w:eastAsia="黑体"/>
          <w:sz w:val="32"/>
        </w:rPr>
        <w:t>第一部分 单位概况</w:t>
      </w:r>
    </w:p>
    <w:p w14:paraId="09C9FDBC">
      <w:pPr>
        <w:spacing w:line="640" w:lineRule="exact"/>
        <w:ind w:firstLine="640"/>
        <w:jc w:val="both"/>
        <w:outlineLvl w:val="2"/>
      </w:pPr>
      <w:r>
        <w:rPr>
          <w:rFonts w:ascii="黑体" w:hAnsi="黑体" w:eastAsia="黑体"/>
          <w:sz w:val="32"/>
        </w:rPr>
        <w:t>一、主要职能</w:t>
      </w:r>
    </w:p>
    <w:p w14:paraId="47A007F4">
      <w:pPr>
        <w:spacing w:line="580" w:lineRule="exact"/>
        <w:ind w:firstLine="640"/>
        <w:jc w:val="both"/>
      </w:pPr>
      <w:r>
        <w:rPr>
          <w:rFonts w:ascii="仿宋_GB2312" w:hAnsi="仿宋_GB2312" w:eastAsia="仿宋_GB2312"/>
          <w:sz w:val="32"/>
        </w:rPr>
        <w:t>阿克陶县塔尔塔吉克民族乡中心小学校小学是一所全日制义务教育学校，其宗旨和业务范围是“实施初等义务教育，促进基础教育发展，初等义务教育及相关社会服务”。培养目标为：培养具有良好道德素质、扎实基础理论、健康的心理素质、健全的人格素养、全面发展的社会主义现</w:t>
      </w:r>
      <w:r>
        <w:rPr>
          <w:rFonts w:hint="eastAsia" w:ascii="仿宋_GB2312" w:hAnsi="仿宋_GB2312" w:eastAsia="仿宋_GB2312"/>
          <w:sz w:val="32"/>
          <w:lang w:eastAsia="zh-CN"/>
        </w:rPr>
        <w:t>代化</w:t>
      </w:r>
      <w:r>
        <w:rPr>
          <w:rFonts w:ascii="仿宋_GB2312" w:hAnsi="仿宋_GB2312" w:eastAsia="仿宋_GB2312"/>
          <w:sz w:val="32"/>
        </w:rPr>
        <w:t>建设者和接班人。</w:t>
      </w:r>
    </w:p>
    <w:p w14:paraId="5601577B">
      <w:pPr>
        <w:spacing w:line="640" w:lineRule="exact"/>
        <w:ind w:firstLine="640"/>
        <w:jc w:val="both"/>
        <w:outlineLvl w:val="2"/>
      </w:pPr>
      <w:r>
        <w:rPr>
          <w:rFonts w:ascii="黑体" w:hAnsi="黑体" w:eastAsia="黑体"/>
          <w:sz w:val="32"/>
        </w:rPr>
        <w:t>二、机构设置及人员情况</w:t>
      </w:r>
    </w:p>
    <w:p w14:paraId="307FFBCA">
      <w:pPr>
        <w:spacing w:line="580" w:lineRule="exact"/>
        <w:ind w:firstLine="640"/>
        <w:jc w:val="both"/>
      </w:pPr>
      <w:r>
        <w:rPr>
          <w:rFonts w:ascii="仿宋_GB2312" w:hAnsi="仿宋_GB2312" w:eastAsia="仿宋_GB2312"/>
          <w:sz w:val="32"/>
        </w:rPr>
        <w:t>阿克陶县塔尔塔吉克民族乡中心小学2024年度，实有人数136人，其中：在职人员102人，增加0人；离休人员0人，增加0人；退休人员34人,减少1人。</w:t>
      </w:r>
    </w:p>
    <w:p w14:paraId="1D0BD86A">
      <w:pPr>
        <w:spacing w:line="580" w:lineRule="exact"/>
        <w:ind w:firstLine="640"/>
        <w:jc w:val="both"/>
      </w:pPr>
      <w:r>
        <w:rPr>
          <w:rFonts w:ascii="仿宋_GB2312" w:hAnsi="仿宋_GB2312" w:eastAsia="仿宋_GB2312"/>
          <w:sz w:val="32"/>
        </w:rPr>
        <w:t>阿克陶县塔尔塔吉克民族乡中心小学无下属预算单位，下设8个科室，分别是：党建办、校办、教务处、德育处、教研室、财务室、团委、图书</w:t>
      </w:r>
      <w:bookmarkStart w:id="0" w:name="_GoBack"/>
      <w:bookmarkEnd w:id="0"/>
      <w:r>
        <w:rPr>
          <w:rFonts w:ascii="仿宋_GB2312" w:hAnsi="仿宋_GB2312" w:eastAsia="仿宋_GB2312"/>
          <w:sz w:val="32"/>
        </w:rPr>
        <w:t>室。</w:t>
      </w:r>
    </w:p>
    <w:p w14:paraId="5D0B0530">
      <w:r>
        <w:br w:type="page"/>
      </w:r>
    </w:p>
    <w:p w14:paraId="7B7100FF">
      <w:pPr>
        <w:spacing w:line="240" w:lineRule="auto"/>
        <w:jc w:val="center"/>
        <w:outlineLvl w:val="1"/>
      </w:pPr>
      <w:r>
        <w:rPr>
          <w:rFonts w:ascii="黑体" w:hAnsi="黑体" w:eastAsia="黑体"/>
          <w:sz w:val="32"/>
        </w:rPr>
        <w:t>第二部分 部门决算情况说明</w:t>
      </w:r>
    </w:p>
    <w:p w14:paraId="2A5DD27F">
      <w:pPr>
        <w:spacing w:line="640" w:lineRule="exact"/>
        <w:ind w:firstLine="640"/>
        <w:jc w:val="both"/>
        <w:outlineLvl w:val="2"/>
      </w:pPr>
      <w:r>
        <w:rPr>
          <w:rFonts w:ascii="黑体" w:hAnsi="黑体" w:eastAsia="黑体"/>
          <w:sz w:val="32"/>
        </w:rPr>
        <w:t>一、收入支出决算总体情况说明</w:t>
      </w:r>
    </w:p>
    <w:p w14:paraId="7F801CAA">
      <w:pPr>
        <w:spacing w:line="580" w:lineRule="exact"/>
        <w:ind w:firstLine="640"/>
        <w:jc w:val="both"/>
      </w:pPr>
      <w:r>
        <w:rPr>
          <w:rFonts w:ascii="仿宋_GB2312" w:hAnsi="仿宋_GB2312" w:eastAsia="仿宋_GB2312"/>
          <w:b/>
          <w:sz w:val="32"/>
        </w:rPr>
        <w:t>2024年度收入总计2,339.43万元，</w:t>
      </w:r>
      <w:r>
        <w:rPr>
          <w:rFonts w:ascii="仿宋_GB2312" w:hAnsi="仿宋_GB2312" w:eastAsia="仿宋_GB2312"/>
          <w:b w:val="0"/>
          <w:sz w:val="32"/>
        </w:rPr>
        <w:t>其中：本年收入合计2,338.93万元，使用非财政拨款结余（含专用结余）0.00万元，年初结转和结余0.50万元。</w:t>
      </w:r>
    </w:p>
    <w:p w14:paraId="5A5D9980">
      <w:pPr>
        <w:spacing w:line="580" w:lineRule="exact"/>
        <w:ind w:firstLine="640"/>
        <w:jc w:val="both"/>
      </w:pPr>
      <w:r>
        <w:rPr>
          <w:rFonts w:ascii="仿宋_GB2312" w:hAnsi="仿宋_GB2312" w:eastAsia="仿宋_GB2312"/>
          <w:b/>
          <w:sz w:val="32"/>
        </w:rPr>
        <w:t>2024年度支出总计2,339.43万元，</w:t>
      </w:r>
      <w:r>
        <w:rPr>
          <w:rFonts w:ascii="仿宋_GB2312" w:hAnsi="仿宋_GB2312" w:eastAsia="仿宋_GB2312"/>
          <w:b w:val="0"/>
          <w:sz w:val="32"/>
        </w:rPr>
        <w:t>其中：本年支出合计2,339.39万元，结余分配0.00万元，年末结转和结余0.04万元。</w:t>
      </w:r>
    </w:p>
    <w:p w14:paraId="4553E5DE">
      <w:pPr>
        <w:spacing w:line="580" w:lineRule="exact"/>
        <w:ind w:firstLine="640"/>
        <w:jc w:val="both"/>
      </w:pPr>
      <w:r>
        <w:rPr>
          <w:rFonts w:ascii="仿宋_GB2312" w:hAnsi="仿宋_GB2312" w:eastAsia="仿宋_GB2312"/>
          <w:b w:val="0"/>
          <w:sz w:val="32"/>
        </w:rPr>
        <w:t>收入支出总体与上年相比，减少37.88万元，下降1.59%，主要原因是：本年学校学生人数减少，相关义务教育阶段保障资金较上年减少。</w:t>
      </w:r>
    </w:p>
    <w:p w14:paraId="0C598308">
      <w:pPr>
        <w:spacing w:line="640" w:lineRule="exact"/>
        <w:ind w:firstLine="640"/>
        <w:jc w:val="both"/>
        <w:outlineLvl w:val="2"/>
      </w:pPr>
      <w:r>
        <w:rPr>
          <w:rFonts w:ascii="黑体" w:hAnsi="黑体" w:eastAsia="黑体"/>
          <w:sz w:val="32"/>
        </w:rPr>
        <w:t>二、收入决算情况说明</w:t>
      </w:r>
    </w:p>
    <w:p w14:paraId="58E87AF5">
      <w:pPr>
        <w:spacing w:line="580" w:lineRule="exact"/>
        <w:ind w:firstLine="640"/>
        <w:jc w:val="both"/>
      </w:pPr>
      <w:r>
        <w:rPr>
          <w:rFonts w:ascii="仿宋_GB2312" w:hAnsi="仿宋_GB2312" w:eastAsia="仿宋_GB2312"/>
          <w:b/>
          <w:sz w:val="32"/>
        </w:rPr>
        <w:t>本年收入2,338.93万元，</w:t>
      </w:r>
      <w:r>
        <w:rPr>
          <w:rFonts w:ascii="仿宋_GB2312" w:hAnsi="仿宋_GB2312" w:eastAsia="仿宋_GB2312"/>
          <w:b w:val="0"/>
          <w:sz w:val="32"/>
        </w:rPr>
        <w:t>其中：财政拨款收入2,338.89万元，占100.00%；上级补助收入0.00万元，占0.00%；事业收入0.00万元，占0.00%；经营收入0.00万元，占0.00%；附属单位上缴收入0.00万元，占0.00%；其他收入0.04万元，占0.002%。</w:t>
      </w:r>
    </w:p>
    <w:p w14:paraId="44F437F6">
      <w:pPr>
        <w:spacing w:line="640" w:lineRule="exact"/>
        <w:ind w:firstLine="640"/>
        <w:jc w:val="both"/>
        <w:outlineLvl w:val="2"/>
      </w:pPr>
      <w:r>
        <w:rPr>
          <w:rFonts w:ascii="黑体" w:hAnsi="黑体" w:eastAsia="黑体"/>
          <w:sz w:val="32"/>
        </w:rPr>
        <w:t>三、支出决算情况说明</w:t>
      </w:r>
    </w:p>
    <w:p w14:paraId="36FAE727">
      <w:pPr>
        <w:spacing w:line="580" w:lineRule="exact"/>
        <w:ind w:firstLine="640"/>
        <w:jc w:val="both"/>
      </w:pPr>
      <w:r>
        <w:rPr>
          <w:rFonts w:ascii="仿宋_GB2312" w:hAnsi="仿宋_GB2312" w:eastAsia="仿宋_GB2312"/>
          <w:b/>
          <w:sz w:val="32"/>
        </w:rPr>
        <w:t>本年支出2,339.39万元，</w:t>
      </w:r>
      <w:r>
        <w:rPr>
          <w:rFonts w:ascii="仿宋_GB2312" w:hAnsi="仿宋_GB2312" w:eastAsia="仿宋_GB2312"/>
          <w:b w:val="0"/>
          <w:sz w:val="32"/>
        </w:rPr>
        <w:t>其中：基本支出2,292.69万元，占98.00%；项目支出46.70万元，占2.00%；上缴上级支出0.00万元，占0.00%；经营支出0.00万元，占0.00%；对附属单位补助支出0.00万元，占0.00%。</w:t>
      </w:r>
    </w:p>
    <w:p w14:paraId="7B57CBAB">
      <w:pPr>
        <w:spacing w:line="640" w:lineRule="exact"/>
        <w:ind w:firstLine="640"/>
        <w:jc w:val="both"/>
        <w:outlineLvl w:val="2"/>
      </w:pPr>
      <w:r>
        <w:rPr>
          <w:rFonts w:ascii="黑体" w:hAnsi="黑体" w:eastAsia="黑体"/>
          <w:sz w:val="32"/>
        </w:rPr>
        <w:t>四、财政拨款收入支出决算总体情况说明</w:t>
      </w:r>
    </w:p>
    <w:p w14:paraId="6A0F94BD">
      <w:pPr>
        <w:spacing w:line="580" w:lineRule="exact"/>
        <w:ind w:firstLine="640"/>
        <w:jc w:val="both"/>
      </w:pPr>
      <w:r>
        <w:rPr>
          <w:rFonts w:ascii="仿宋_GB2312" w:hAnsi="仿宋_GB2312" w:eastAsia="仿宋_GB2312"/>
          <w:b/>
          <w:sz w:val="32"/>
        </w:rPr>
        <w:t>2024年度财政拨款收入总计2,338.89万元，</w:t>
      </w:r>
      <w:r>
        <w:rPr>
          <w:rFonts w:ascii="仿宋_GB2312" w:hAnsi="仿宋_GB2312" w:eastAsia="仿宋_GB2312"/>
          <w:b w:val="0"/>
          <w:sz w:val="32"/>
        </w:rPr>
        <w:t>其中：年初财政拨款结转和结余0.00万元，本年财政拨款收入2,338.89万元。</w:t>
      </w:r>
      <w:r>
        <w:rPr>
          <w:rFonts w:ascii="仿宋_GB2312" w:hAnsi="仿宋_GB2312" w:eastAsia="仿宋_GB2312"/>
          <w:b/>
          <w:sz w:val="32"/>
        </w:rPr>
        <w:t>财政拨款支出总计2,338.89万元，</w:t>
      </w:r>
      <w:r>
        <w:rPr>
          <w:rFonts w:ascii="仿宋_GB2312" w:hAnsi="仿宋_GB2312" w:eastAsia="仿宋_GB2312"/>
          <w:b w:val="0"/>
          <w:sz w:val="32"/>
        </w:rPr>
        <w:t>其中：年末财政拨款结转和结余0.00万元，本年财政拨款支出2,338.89万元。</w:t>
      </w:r>
    </w:p>
    <w:p w14:paraId="7B867C1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减少37.38万元，下降1.57%，主要原因是：本年学校学生人数减少，相关义务教育阶段保障资金较上年减少。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2,278.81万元，决算数2,338.89万元，预决算差异率2.64%，主要原因是：年中追加人员工资、社保、公积金基数调增部分资金及中央城乡义务教育营养餐、中央城乡义务教育家庭经济困难生生活补助等，导致预决算存在差异。</w:t>
      </w:r>
    </w:p>
    <w:p w14:paraId="24E33833">
      <w:pPr>
        <w:spacing w:line="640" w:lineRule="exact"/>
        <w:ind w:firstLine="640"/>
        <w:jc w:val="both"/>
        <w:outlineLvl w:val="2"/>
      </w:pPr>
      <w:r>
        <w:rPr>
          <w:rFonts w:ascii="黑体" w:hAnsi="黑体" w:eastAsia="黑体"/>
          <w:sz w:val="32"/>
        </w:rPr>
        <w:t>五、一般公共预算财政拨款支出决算情况说明</w:t>
      </w:r>
    </w:p>
    <w:p w14:paraId="21715225">
      <w:pPr>
        <w:spacing w:line="640" w:lineRule="exact"/>
        <w:ind w:firstLine="640"/>
        <w:jc w:val="both"/>
        <w:outlineLvl w:val="3"/>
      </w:pPr>
      <w:r>
        <w:rPr>
          <w:rFonts w:ascii="楷体_GB2312" w:hAnsi="楷体_GB2312" w:eastAsia="楷体_GB2312"/>
          <w:b/>
          <w:sz w:val="32"/>
        </w:rPr>
        <w:t>（一）一般公共预算财政拨款支出决算总体情况</w:t>
      </w:r>
    </w:p>
    <w:p w14:paraId="6FBF5DA4">
      <w:pPr>
        <w:spacing w:line="580" w:lineRule="exact"/>
        <w:ind w:firstLine="640"/>
        <w:jc w:val="both"/>
      </w:pPr>
      <w:r>
        <w:rPr>
          <w:rFonts w:ascii="仿宋_GB2312" w:hAnsi="仿宋_GB2312" w:eastAsia="仿宋_GB2312"/>
          <w:b/>
          <w:sz w:val="32"/>
        </w:rPr>
        <w:t>2024年度一般公共预算财政拨款支出2,337.39万元，</w:t>
      </w:r>
      <w:r>
        <w:rPr>
          <w:rFonts w:ascii="仿宋_GB2312" w:hAnsi="仿宋_GB2312" w:eastAsia="仿宋_GB2312"/>
          <w:b w:val="0"/>
          <w:sz w:val="32"/>
        </w:rPr>
        <w:t>占本年支出合计的99.91%。</w:t>
      </w:r>
      <w:r>
        <w:rPr>
          <w:rFonts w:ascii="仿宋_GB2312" w:hAnsi="仿宋_GB2312" w:eastAsia="仿宋_GB2312"/>
          <w:b/>
          <w:sz w:val="32"/>
        </w:rPr>
        <w:t>与上年相比，</w:t>
      </w:r>
      <w:r>
        <w:rPr>
          <w:rFonts w:ascii="仿宋_GB2312" w:hAnsi="仿宋_GB2312" w:eastAsia="仿宋_GB2312"/>
          <w:b w:val="0"/>
          <w:sz w:val="32"/>
        </w:rPr>
        <w:t>减少35.88万元，下降1.51%，主要原因是：本年学校学生人数减少，相关义务教育阶段保障资金较上年减少。</w:t>
      </w:r>
      <w:r>
        <w:rPr>
          <w:rFonts w:ascii="仿宋_GB2312" w:hAnsi="仿宋_GB2312" w:eastAsia="仿宋_GB2312"/>
          <w:b/>
          <w:sz w:val="32"/>
        </w:rPr>
        <w:t>与年初预算相比,</w:t>
      </w:r>
      <w:r>
        <w:rPr>
          <w:rFonts w:ascii="仿宋_GB2312" w:hAnsi="仿宋_GB2312" w:eastAsia="仿宋_GB2312"/>
          <w:b w:val="0"/>
          <w:sz w:val="32"/>
        </w:rPr>
        <w:t>年初预算数2,278.81万元，决算数2,337.39万元，预决算差异率2.57%，主要原因是：年中追加人员工资、社保、公积金基数调增部分资金及中央城乡义务教育营养餐、中央城乡义务教育家庭经济困难生生活补助等，导致预决算存在差异。</w:t>
      </w:r>
    </w:p>
    <w:p w14:paraId="6E4D172C">
      <w:pPr>
        <w:spacing w:line="640" w:lineRule="exact"/>
        <w:ind w:firstLine="640"/>
        <w:jc w:val="both"/>
        <w:outlineLvl w:val="3"/>
      </w:pPr>
      <w:r>
        <w:rPr>
          <w:rFonts w:ascii="楷体_GB2312" w:hAnsi="楷体_GB2312" w:eastAsia="楷体_GB2312"/>
          <w:b/>
          <w:sz w:val="32"/>
        </w:rPr>
        <w:t>（二）一般公共预算财政拨款支出决算结构情况</w:t>
      </w:r>
    </w:p>
    <w:p w14:paraId="5B4A5B05">
      <w:pPr>
        <w:spacing w:line="580" w:lineRule="exact"/>
        <w:ind w:firstLine="640"/>
        <w:jc w:val="both"/>
      </w:pPr>
      <w:r>
        <w:rPr>
          <w:rFonts w:ascii="仿宋_GB2312" w:hAnsi="仿宋_GB2312" w:eastAsia="仿宋_GB2312"/>
          <w:b w:val="0"/>
          <w:sz w:val="32"/>
        </w:rPr>
        <w:t>1.教育支出(类)2,337.39万元,占100.00%。</w:t>
      </w:r>
    </w:p>
    <w:p w14:paraId="73CE0530">
      <w:pPr>
        <w:spacing w:line="640" w:lineRule="exact"/>
        <w:ind w:firstLine="640"/>
        <w:jc w:val="both"/>
        <w:outlineLvl w:val="3"/>
      </w:pPr>
      <w:r>
        <w:rPr>
          <w:rFonts w:ascii="楷体_GB2312" w:hAnsi="楷体_GB2312" w:eastAsia="楷体_GB2312"/>
          <w:b/>
          <w:sz w:val="32"/>
        </w:rPr>
        <w:t>（三）一般公共预算财政拨款支出决算具体情况</w:t>
      </w:r>
    </w:p>
    <w:p w14:paraId="7D4CF80E">
      <w:pPr>
        <w:spacing w:line="580" w:lineRule="exact"/>
        <w:ind w:firstLine="640"/>
        <w:jc w:val="both"/>
      </w:pPr>
      <w:r>
        <w:rPr>
          <w:rFonts w:ascii="仿宋_GB2312" w:hAnsi="仿宋_GB2312" w:eastAsia="仿宋_GB2312"/>
          <w:b w:val="0"/>
          <w:sz w:val="32"/>
        </w:rPr>
        <w:t>1.教育支出(类)普通教育(款)小学教育(项):支出决算数为2,337.39万元，比上年决算增加169.28万元，增长7.81%,主要原因是：本年在职人员工资调增，相关人员经费增加。本年功能科目调整，养老保险缴费上年度单独列支，本年调整至主科目列支，导致经费较上年增加。</w:t>
      </w:r>
    </w:p>
    <w:p w14:paraId="2AEF1A4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199.60万元，下降100.00%,主要原因是：本年功能科目调整，养老保险缴费上年度单独列支，本年调整至主科目列支，导致经费较上年减少。</w:t>
      </w:r>
    </w:p>
    <w:p w14:paraId="4F78B92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5.55万元，下降100.00%,主要原因是：本年无新增退休人员，职业年金缴费较上年减少。</w:t>
      </w:r>
    </w:p>
    <w:p w14:paraId="7010676E">
      <w:pPr>
        <w:spacing w:line="640" w:lineRule="exact"/>
        <w:ind w:firstLine="640"/>
        <w:jc w:val="both"/>
        <w:outlineLvl w:val="2"/>
      </w:pPr>
      <w:r>
        <w:rPr>
          <w:rFonts w:ascii="黑体" w:hAnsi="黑体" w:eastAsia="黑体"/>
          <w:sz w:val="32"/>
        </w:rPr>
        <w:t>六、一般公共预算财政拨款基本支出决算情况说明</w:t>
      </w:r>
    </w:p>
    <w:p w14:paraId="248A775F">
      <w:pPr>
        <w:spacing w:line="580" w:lineRule="exact"/>
        <w:ind w:firstLine="640"/>
        <w:jc w:val="both"/>
      </w:pPr>
      <w:r>
        <w:rPr>
          <w:rFonts w:ascii="仿宋_GB2312" w:hAnsi="仿宋_GB2312" w:eastAsia="仿宋_GB2312"/>
          <w:b w:val="0"/>
          <w:sz w:val="32"/>
        </w:rPr>
        <w:t>2024年度一般公共预算财政拨款基本支出2,292.69万元，其中：</w:t>
      </w:r>
      <w:r>
        <w:rPr>
          <w:rFonts w:ascii="仿宋_GB2312" w:hAnsi="仿宋_GB2312" w:eastAsia="仿宋_GB2312"/>
          <w:b/>
          <w:sz w:val="32"/>
        </w:rPr>
        <w:t>人员经费2,264.95万元，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包括：基本工资、津贴补贴、奖金、机关事业单位基本养老保险缴费、职工基本医疗保险缴费、其他社会保障缴费、住房公积金、退休费、生活补助、其他对个人和家庭的补助。</w:t>
      </w:r>
    </w:p>
    <w:p w14:paraId="374763AE">
      <w:pPr>
        <w:spacing w:line="580" w:lineRule="exact"/>
        <w:ind w:firstLine="640"/>
        <w:jc w:val="both"/>
      </w:pPr>
      <w:r>
        <w:rPr>
          <w:rFonts w:ascii="仿宋_GB2312" w:hAnsi="仿宋_GB2312" w:eastAsia="仿宋_GB2312"/>
          <w:b/>
          <w:sz w:val="32"/>
        </w:rPr>
        <w:t>公用经费27.75万元，</w:t>
      </w:r>
      <w:r>
        <w:rPr>
          <w:rFonts w:ascii="仿宋_GB2312" w:hAnsi="仿宋_GB2312" w:eastAsia="仿宋_GB2312"/>
          <w:b w:val="0"/>
          <w:sz w:val="32"/>
        </w:rPr>
        <w:t>包括：办公费、印刷费、水费、电费、邮电费、取暖费、维修（护）费、培训费、其他交通费用、其他商品和服务支出、办公设备购置。</w:t>
      </w:r>
    </w:p>
    <w:p w14:paraId="4E1326A4">
      <w:pPr>
        <w:spacing w:line="640" w:lineRule="exact"/>
        <w:ind w:firstLine="640"/>
        <w:jc w:val="both"/>
        <w:outlineLvl w:val="2"/>
      </w:pPr>
      <w:r>
        <w:rPr>
          <w:rFonts w:ascii="黑体" w:hAnsi="黑体" w:eastAsia="黑体"/>
          <w:sz w:val="32"/>
        </w:rPr>
        <w:t>七、政府性基金预算财政拨款收入支出决算情况说明</w:t>
      </w:r>
    </w:p>
    <w:p w14:paraId="6426AC16">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3FD8073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减少1.50万元，下降50.00%，主要原因是：本年少年宫活动经费减少。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追加少年宫活动经费。</w:t>
      </w:r>
    </w:p>
    <w:p w14:paraId="437F7BA0">
      <w:pPr>
        <w:spacing w:line="580" w:lineRule="exact"/>
        <w:ind w:firstLine="640"/>
        <w:jc w:val="both"/>
      </w:pPr>
      <w:r>
        <w:rPr>
          <w:rFonts w:ascii="仿宋_GB2312" w:hAnsi="仿宋_GB2312" w:eastAsia="仿宋_GB2312"/>
          <w:b w:val="0"/>
          <w:sz w:val="32"/>
        </w:rPr>
        <w:t>政府性基金预算财政拨款支出1.50万元。</w:t>
      </w:r>
    </w:p>
    <w:p w14:paraId="2336E9FE">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1.其他支出(类)彩票公益金安排的支出(款)用于教育事业的彩票公益金支出(项):支出决算数为1.50万元，比上年决算减少1.50万元，下降50.00%,主要原因是：本年减少少年宫活动经费。</w:t>
      </w:r>
    </w:p>
    <w:p w14:paraId="5D1EA7AE">
      <w:pPr>
        <w:spacing w:line="640" w:lineRule="exact"/>
        <w:ind w:firstLine="640"/>
        <w:jc w:val="both"/>
        <w:outlineLvl w:val="2"/>
      </w:pPr>
      <w:r>
        <w:rPr>
          <w:rFonts w:ascii="黑体" w:hAnsi="黑体" w:eastAsia="黑体"/>
          <w:sz w:val="32"/>
        </w:rPr>
        <w:t>八、国有资本经营预算财政拨款收入支出决算情况说明</w:t>
      </w:r>
    </w:p>
    <w:p w14:paraId="713343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9A10C8">
      <w:pPr>
        <w:spacing w:line="640" w:lineRule="exact"/>
        <w:ind w:firstLine="640"/>
        <w:jc w:val="both"/>
        <w:outlineLvl w:val="2"/>
      </w:pPr>
      <w:r>
        <w:rPr>
          <w:rFonts w:ascii="黑体" w:hAnsi="黑体" w:eastAsia="黑体"/>
          <w:sz w:val="32"/>
        </w:rPr>
        <w:t>九、财政拨款“三公”经费支出决算情况说明</w:t>
      </w:r>
    </w:p>
    <w:p w14:paraId="446EA2E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8094E4">
      <w:pPr>
        <w:spacing w:line="580" w:lineRule="exact"/>
        <w:ind w:firstLine="640"/>
        <w:jc w:val="both"/>
      </w:pPr>
      <w:r>
        <w:rPr>
          <w:rFonts w:ascii="仿宋_GB2312" w:hAnsi="仿宋_GB2312" w:eastAsia="仿宋_GB2312"/>
          <w:b/>
          <w:sz w:val="32"/>
        </w:rPr>
        <w:t>具体情况如下：</w:t>
      </w:r>
    </w:p>
    <w:p w14:paraId="71A7615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2895CC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F993EA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40214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B0FFB8C">
      <w:pPr>
        <w:spacing w:line="640" w:lineRule="exact"/>
        <w:ind w:firstLine="640"/>
        <w:jc w:val="both"/>
        <w:outlineLvl w:val="2"/>
      </w:pPr>
      <w:r>
        <w:rPr>
          <w:rFonts w:ascii="黑体" w:hAnsi="黑体" w:eastAsia="黑体"/>
          <w:sz w:val="32"/>
        </w:rPr>
        <w:t>十、其他重要事项的情况说明</w:t>
      </w:r>
    </w:p>
    <w:p w14:paraId="5C7CB65C">
      <w:pPr>
        <w:spacing w:line="640" w:lineRule="exact"/>
        <w:ind w:firstLine="640"/>
        <w:jc w:val="both"/>
        <w:outlineLvl w:val="3"/>
      </w:pPr>
      <w:r>
        <w:rPr>
          <w:rFonts w:ascii="楷体_GB2312" w:hAnsi="楷体_GB2312" w:eastAsia="楷体_GB2312"/>
          <w:b/>
          <w:sz w:val="32"/>
        </w:rPr>
        <w:t>（一）机关运行经费及公用经费支出情况</w:t>
      </w:r>
    </w:p>
    <w:p w14:paraId="39C0ABDF">
      <w:pPr>
        <w:spacing w:line="580" w:lineRule="exact"/>
        <w:ind w:firstLine="640"/>
        <w:jc w:val="both"/>
      </w:pPr>
      <w:r>
        <w:rPr>
          <w:rFonts w:ascii="仿宋_GB2312" w:hAnsi="仿宋_GB2312" w:eastAsia="仿宋_GB2312"/>
          <w:b w:val="0"/>
          <w:sz w:val="32"/>
        </w:rPr>
        <w:t>2024年度阿克陶县塔尔塔吉克民族乡中心小学（事业单位）公用经费支出27.75万元，比上年增加27.75万元，增长100.00%，主要原因是：本年增加办公费、电费、水费、邮电费、取暖费、维修费、培训费、其他交通费等经费，导致公用经费增加。</w:t>
      </w:r>
    </w:p>
    <w:p w14:paraId="38A7154E">
      <w:pPr>
        <w:spacing w:line="640" w:lineRule="exact"/>
        <w:ind w:firstLine="640"/>
        <w:jc w:val="both"/>
        <w:outlineLvl w:val="3"/>
      </w:pPr>
      <w:r>
        <w:rPr>
          <w:rFonts w:ascii="楷体_GB2312" w:hAnsi="楷体_GB2312" w:eastAsia="楷体_GB2312"/>
          <w:b/>
          <w:sz w:val="32"/>
        </w:rPr>
        <w:t>（二）政府采购情况</w:t>
      </w:r>
    </w:p>
    <w:p w14:paraId="5AC3AC46">
      <w:pPr>
        <w:spacing w:line="580" w:lineRule="exact"/>
        <w:ind w:firstLine="640"/>
        <w:jc w:val="both"/>
      </w:pPr>
      <w:r>
        <w:rPr>
          <w:rFonts w:ascii="仿宋_GB2312" w:hAnsi="仿宋_GB2312" w:eastAsia="仿宋_GB2312"/>
          <w:b w:val="0"/>
          <w:sz w:val="32"/>
        </w:rPr>
        <w:t>2024年度政府采购支出总额0.09万元，其中：政府采购货物支出0.06万元、政府采购工程支出0.00万元、政府采购服务支出0.04万元。</w:t>
      </w:r>
    </w:p>
    <w:p w14:paraId="24158A4E">
      <w:pPr>
        <w:spacing w:line="580" w:lineRule="exact"/>
        <w:ind w:firstLine="640"/>
        <w:jc w:val="both"/>
      </w:pPr>
      <w:r>
        <w:rPr>
          <w:rFonts w:ascii="仿宋_GB2312" w:hAnsi="仿宋_GB2312" w:eastAsia="仿宋_GB2312"/>
          <w:b w:val="0"/>
          <w:sz w:val="32"/>
        </w:rPr>
        <w:t>授予中小企业合同金额0.09万元，占政府采购支出总额的100.00%，其中：授予小微企业合同金额0.09万元，占政府采购支出总额的100.00%。</w:t>
      </w:r>
    </w:p>
    <w:p w14:paraId="07FEE31C">
      <w:pPr>
        <w:spacing w:line="640" w:lineRule="exact"/>
        <w:ind w:firstLine="640"/>
        <w:jc w:val="both"/>
        <w:outlineLvl w:val="3"/>
      </w:pPr>
      <w:r>
        <w:rPr>
          <w:rFonts w:ascii="楷体_GB2312" w:hAnsi="楷体_GB2312" w:eastAsia="楷体_GB2312"/>
          <w:b/>
          <w:sz w:val="32"/>
        </w:rPr>
        <w:t>（三）国有资产占用情况说明</w:t>
      </w:r>
    </w:p>
    <w:p w14:paraId="6E739279">
      <w:pPr>
        <w:spacing w:line="580" w:lineRule="exact"/>
        <w:ind w:firstLine="640"/>
        <w:jc w:val="both"/>
      </w:pPr>
      <w:r>
        <w:rPr>
          <w:rFonts w:ascii="仿宋_GB2312" w:hAnsi="仿宋_GB2312" w:eastAsia="仿宋_GB2312"/>
          <w:b w:val="0"/>
          <w:sz w:val="32"/>
        </w:rPr>
        <w:t>截至2024年12月31日，房屋5,224.54平方米，价值803.11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7E54E1B">
      <w:pPr>
        <w:spacing w:line="640" w:lineRule="exact"/>
        <w:ind w:firstLine="640"/>
        <w:jc w:val="both"/>
        <w:outlineLvl w:val="2"/>
      </w:pPr>
      <w:r>
        <w:rPr>
          <w:rFonts w:ascii="黑体" w:hAnsi="黑体" w:eastAsia="黑体"/>
          <w:sz w:val="32"/>
        </w:rPr>
        <w:t>十一、预算绩效的情况说明</w:t>
      </w:r>
    </w:p>
    <w:p w14:paraId="10D0F73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2,339.43万元，实际执行总额2,339.39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2CBB96E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2FAB563">
        <w:tblPrEx>
          <w:tblCellMar>
            <w:top w:w="0" w:type="dxa"/>
            <w:left w:w="108" w:type="dxa"/>
            <w:bottom w:w="0" w:type="dxa"/>
            <w:right w:w="108" w:type="dxa"/>
          </w:tblCellMar>
        </w:tblPrEx>
        <w:tc>
          <w:tcPr>
            <w:tcW w:w="8840" w:type="dxa"/>
            <w:gridSpan w:val="8"/>
            <w:vAlign w:val="center"/>
          </w:tcPr>
          <w:p w14:paraId="441797A3">
            <w:pPr>
              <w:jc w:val="center"/>
            </w:pPr>
            <w:r>
              <w:rPr>
                <w:rFonts w:ascii="宋体" w:hAnsi="宋体" w:eastAsia="宋体"/>
                <w:sz w:val="24"/>
              </w:rPr>
              <w:t>单位整体支出绩效自评表</w:t>
            </w:r>
          </w:p>
        </w:tc>
      </w:tr>
      <w:tr w14:paraId="7691EFD5">
        <w:tblPrEx>
          <w:tblCellMar>
            <w:top w:w="0" w:type="dxa"/>
            <w:left w:w="108" w:type="dxa"/>
            <w:bottom w:w="0" w:type="dxa"/>
            <w:right w:w="108" w:type="dxa"/>
          </w:tblCellMar>
        </w:tblPrEx>
        <w:tc>
          <w:tcPr>
            <w:tcW w:w="8840" w:type="dxa"/>
            <w:gridSpan w:val="8"/>
            <w:vAlign w:val="center"/>
          </w:tcPr>
          <w:p w14:paraId="02DF4466">
            <w:pPr>
              <w:jc w:val="center"/>
            </w:pPr>
            <w:r>
              <w:rPr>
                <w:rFonts w:ascii="宋体" w:hAnsi="宋体" w:eastAsia="宋体"/>
                <w:sz w:val="24"/>
              </w:rPr>
              <w:t>（2024年度）</w:t>
            </w:r>
          </w:p>
        </w:tc>
      </w:tr>
      <w:tr w14:paraId="51639D8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2949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4BC5F">
            <w:pPr>
              <w:jc w:val="center"/>
            </w:pPr>
            <w:r>
              <w:rPr>
                <w:rFonts w:ascii="宋体" w:hAnsi="宋体" w:eastAsia="宋体"/>
                <w:sz w:val="16"/>
              </w:rPr>
              <w:t>阿克陶县塔尔塔吉克民族乡中心小学</w:t>
            </w:r>
          </w:p>
        </w:tc>
      </w:tr>
      <w:tr w14:paraId="2BC642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4765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AF01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3281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0E86A">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73877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8244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3F3D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60291">
            <w:pPr>
              <w:jc w:val="center"/>
            </w:pPr>
            <w:r>
              <w:rPr>
                <w:rFonts w:ascii="宋体" w:hAnsi="宋体" w:eastAsia="宋体"/>
                <w:sz w:val="16"/>
              </w:rPr>
              <w:t>得分</w:t>
            </w:r>
          </w:p>
        </w:tc>
      </w:tr>
      <w:tr w14:paraId="2002CA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B01C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3284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27778">
            <w:pPr>
              <w:jc w:val="center"/>
            </w:pPr>
            <w:r>
              <w:rPr>
                <w:rFonts w:ascii="宋体" w:hAnsi="宋体" w:eastAsia="宋体"/>
                <w:sz w:val="16"/>
              </w:rPr>
              <w:t>2,265.49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2961D7">
            <w:pPr>
              <w:jc w:val="center"/>
            </w:pPr>
            <w:r>
              <w:rPr>
                <w:rFonts w:ascii="宋体" w:hAnsi="宋体" w:eastAsia="宋体"/>
                <w:sz w:val="16"/>
              </w:rPr>
              <w:t>2,339.43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BF44C">
            <w:pPr>
              <w:jc w:val="center"/>
            </w:pPr>
            <w:r>
              <w:rPr>
                <w:rFonts w:ascii="宋体" w:hAnsi="宋体" w:eastAsia="宋体"/>
                <w:sz w:val="16"/>
              </w:rPr>
              <w:t>2,339.39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0C5C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358D9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19223">
            <w:pPr>
              <w:jc w:val="center"/>
            </w:pPr>
            <w:r>
              <w:rPr>
                <w:rFonts w:ascii="宋体" w:hAnsi="宋体" w:eastAsia="宋体"/>
                <w:sz w:val="16"/>
              </w:rPr>
              <w:t>10</w:t>
            </w:r>
          </w:p>
        </w:tc>
      </w:tr>
      <w:tr w14:paraId="0203154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BA9B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4A17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E55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C0F9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D43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7175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929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DAB00">
            <w:pPr>
              <w:jc w:val="center"/>
            </w:pPr>
            <w:r>
              <w:rPr>
                <w:rFonts w:ascii="宋体" w:hAnsi="宋体" w:eastAsia="宋体"/>
                <w:sz w:val="16"/>
              </w:rPr>
              <w:t>—</w:t>
            </w:r>
          </w:p>
        </w:tc>
      </w:tr>
      <w:tr w14:paraId="405A4B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1E40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2B5B2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BBC59">
            <w:pPr>
              <w:jc w:val="center"/>
            </w:pPr>
            <w:r>
              <w:rPr>
                <w:rFonts w:ascii="宋体" w:hAnsi="宋体" w:eastAsia="宋体"/>
                <w:sz w:val="16"/>
              </w:rPr>
              <w:t>2,265.49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5DDA0">
            <w:pPr>
              <w:jc w:val="center"/>
            </w:pPr>
            <w:r>
              <w:rPr>
                <w:rFonts w:ascii="宋体" w:hAnsi="宋体" w:eastAsia="宋体"/>
                <w:sz w:val="16"/>
              </w:rPr>
              <w:t>2,339.43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5EF48">
            <w:pPr>
              <w:jc w:val="center"/>
            </w:pPr>
            <w:r>
              <w:rPr>
                <w:rFonts w:ascii="宋体" w:hAnsi="宋体" w:eastAsia="宋体"/>
                <w:sz w:val="16"/>
              </w:rPr>
              <w:t>2,339.39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40E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5C8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91602">
            <w:pPr>
              <w:jc w:val="center"/>
            </w:pPr>
            <w:r>
              <w:rPr>
                <w:rFonts w:ascii="宋体" w:hAnsi="宋体" w:eastAsia="宋体"/>
                <w:sz w:val="16"/>
              </w:rPr>
              <w:t>—</w:t>
            </w:r>
          </w:p>
        </w:tc>
      </w:tr>
      <w:tr w14:paraId="2E9929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F0E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C61D4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C18F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471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E41C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F4CD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075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226D9">
            <w:pPr>
              <w:jc w:val="center"/>
            </w:pPr>
            <w:r>
              <w:rPr>
                <w:rFonts w:ascii="宋体" w:hAnsi="宋体" w:eastAsia="宋体"/>
                <w:sz w:val="16"/>
              </w:rPr>
              <w:t>—</w:t>
            </w:r>
          </w:p>
        </w:tc>
      </w:tr>
      <w:tr w14:paraId="54E124F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57C2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2932A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E412E3C">
            <w:pPr>
              <w:jc w:val="center"/>
            </w:pPr>
            <w:r>
              <w:rPr>
                <w:rFonts w:ascii="宋体" w:hAnsi="宋体" w:eastAsia="宋体"/>
                <w:sz w:val="16"/>
              </w:rPr>
              <w:t>实际完成情况</w:t>
            </w:r>
          </w:p>
        </w:tc>
      </w:tr>
      <w:tr w14:paraId="3827CB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540DA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0AA293">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BF629A">
            <w:pPr>
              <w:jc w:val="both"/>
            </w:pPr>
            <w:r>
              <w:rPr>
                <w:rFonts w:ascii="宋体" w:hAnsi="宋体" w:eastAsia="宋体"/>
                <w:sz w:val="16"/>
              </w:rPr>
              <w:t>人员工资福利支出预算保障人数102人，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CBF71D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CEFE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012F9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7F93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FE3F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E0CCE">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5371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F12C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8A231">
            <w:pPr>
              <w:jc w:val="center"/>
            </w:pPr>
            <w:r>
              <w:rPr>
                <w:rFonts w:ascii="宋体" w:hAnsi="宋体" w:eastAsia="宋体"/>
                <w:sz w:val="16"/>
              </w:rPr>
              <w:t>得分</w:t>
            </w:r>
          </w:p>
        </w:tc>
      </w:tr>
      <w:tr w14:paraId="1C5C11D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D2B58">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8247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C96A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74FC0C">
            <w:pPr>
              <w:jc w:val="center"/>
            </w:pPr>
            <w:r>
              <w:rPr>
                <w:rFonts w:ascii="宋体" w:hAnsi="宋体" w:eastAsia="宋体"/>
                <w:sz w:val="16"/>
              </w:rPr>
              <w:t>&gt;=102人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F3C6D">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5FDD4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1C692">
            <w:pPr>
              <w:jc w:val="center"/>
            </w:pPr>
            <w:r>
              <w:rPr>
                <w:rFonts w:ascii="宋体" w:hAnsi="宋体" w:eastAsia="宋体"/>
                <w:sz w:val="16"/>
              </w:rPr>
              <w: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F5C2D">
            <w:pPr>
              <w:jc w:val="center"/>
            </w:pPr>
            <w:r>
              <w:rPr>
                <w:rFonts w:ascii="宋体" w:hAnsi="宋体" w:eastAsia="宋体"/>
                <w:sz w:val="16"/>
              </w:rPr>
              <w:t>10</w:t>
            </w:r>
          </w:p>
        </w:tc>
      </w:tr>
      <w:tr w14:paraId="6C3775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E89A8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57EC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6DD66">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36031">
            <w:pPr>
              <w:jc w:val="center"/>
            </w:pPr>
            <w:r>
              <w:rPr>
                <w:rFonts w:ascii="宋体" w:hAnsi="宋体" w:eastAsia="宋体"/>
                <w:sz w:val="16"/>
              </w:rPr>
              <w:t>&lt;=2238.55万元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0254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4FD7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8EF8E">
            <w:pPr>
              <w:jc w:val="center"/>
            </w:pPr>
            <w:r>
              <w:rPr>
                <w:rFonts w:ascii="宋体" w:hAnsi="宋体" w:eastAsia="宋体"/>
                <w:sz w:val="16"/>
              </w:rPr>
              <w:t>2264.95万元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E6C061">
            <w:pPr>
              <w:jc w:val="center"/>
            </w:pPr>
            <w:r>
              <w:rPr>
                <w:rFonts w:ascii="宋体" w:hAnsi="宋体" w:eastAsia="宋体"/>
                <w:sz w:val="16"/>
              </w:rPr>
              <w:t>9.88</w:t>
            </w:r>
          </w:p>
        </w:tc>
      </w:tr>
      <w:tr w14:paraId="3AF94D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296B3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6D883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1256D">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FE2CC">
            <w:pPr>
              <w:jc w:val="center"/>
            </w:pPr>
            <w:r>
              <w:rPr>
                <w:rFonts w:ascii="宋体" w:hAnsi="宋体" w:eastAsia="宋体"/>
                <w:sz w:val="16"/>
              </w:rPr>
              <w:t>&lt;=26.94万元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310EB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C0CB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E9014">
            <w:pPr>
              <w:jc w:val="center"/>
            </w:pPr>
            <w:r>
              <w:rPr>
                <w:rFonts w:ascii="宋体" w:hAnsi="宋体" w:eastAsia="宋体"/>
                <w:sz w:val="16"/>
              </w:rPr>
              <w:t>27.75万元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9ED5C">
            <w:pPr>
              <w:jc w:val="center"/>
            </w:pPr>
            <w:r>
              <w:rPr>
                <w:rFonts w:ascii="宋体" w:hAnsi="宋体" w:eastAsia="宋体"/>
                <w:sz w:val="16"/>
              </w:rPr>
              <w:t>9.71</w:t>
            </w:r>
          </w:p>
        </w:tc>
      </w:tr>
      <w:tr w14:paraId="50D8C05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138F5">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2F19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1ED3A">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69B7A">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90E49">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EE02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F92AE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920C7">
            <w:pPr>
              <w:jc w:val="center"/>
            </w:pPr>
            <w:r>
              <w:rPr>
                <w:rFonts w:ascii="宋体" w:hAnsi="宋体" w:eastAsia="宋体"/>
                <w:sz w:val="16"/>
              </w:rPr>
              <w:t>15</w:t>
            </w:r>
          </w:p>
        </w:tc>
      </w:tr>
      <w:tr w14:paraId="4AF95A4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0B0A5">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CF21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5B1CC">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B34A5">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5564B7">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48B24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4A2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0A91C">
            <w:pPr>
              <w:jc w:val="center"/>
            </w:pPr>
            <w:r>
              <w:rPr>
                <w:rFonts w:ascii="宋体" w:hAnsi="宋体" w:eastAsia="宋体"/>
                <w:sz w:val="16"/>
              </w:rPr>
              <w:t>15</w:t>
            </w:r>
          </w:p>
        </w:tc>
      </w:tr>
      <w:tr w14:paraId="6C0F28A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E3FAE">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B412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05A9D">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519004">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77C8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08FC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17A6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5CECE">
            <w:pPr>
              <w:jc w:val="center"/>
            </w:pPr>
            <w:r>
              <w:rPr>
                <w:rFonts w:ascii="宋体" w:hAnsi="宋体" w:eastAsia="宋体"/>
                <w:sz w:val="16"/>
              </w:rPr>
              <w:t>10</w:t>
            </w:r>
          </w:p>
        </w:tc>
      </w:tr>
      <w:tr w14:paraId="782DED8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FFF8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E2EC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ADE8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2C0D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7396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FC92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6787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DBFB7">
            <w:pPr>
              <w:jc w:val="center"/>
            </w:pPr>
            <w:r>
              <w:rPr>
                <w:rFonts w:ascii="宋体" w:hAnsi="宋体" w:eastAsia="宋体"/>
                <w:sz w:val="16"/>
              </w:rPr>
              <w:t>10</w:t>
            </w:r>
          </w:p>
        </w:tc>
      </w:tr>
      <w:tr w14:paraId="2FEB58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EF15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391E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9DFF3">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7AD9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BE5B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CED8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D825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D23AB">
            <w:pPr>
              <w:jc w:val="center"/>
            </w:pPr>
            <w:r>
              <w:rPr>
                <w:rFonts w:ascii="宋体" w:hAnsi="宋体" w:eastAsia="宋体"/>
                <w:sz w:val="16"/>
              </w:rPr>
              <w:t>10</w:t>
            </w:r>
          </w:p>
        </w:tc>
      </w:tr>
    </w:tbl>
    <w:p w14:paraId="1C30D657">
      <w:r>
        <w:br w:type="page"/>
      </w:r>
    </w:p>
    <w:p w14:paraId="01D4AB21">
      <w:pPr>
        <w:spacing w:line="640" w:lineRule="exact"/>
        <w:ind w:firstLine="640"/>
        <w:jc w:val="both"/>
        <w:outlineLvl w:val="2"/>
      </w:pPr>
      <w:r>
        <w:rPr>
          <w:rFonts w:ascii="黑体" w:hAnsi="黑体" w:eastAsia="黑体"/>
          <w:sz w:val="32"/>
        </w:rPr>
        <w:t>十二、其他需说明的事项</w:t>
      </w:r>
    </w:p>
    <w:p w14:paraId="7461BF9A">
      <w:pPr>
        <w:spacing w:line="580" w:lineRule="exact"/>
        <w:ind w:firstLine="640"/>
        <w:jc w:val="both"/>
      </w:pPr>
      <w:r>
        <w:rPr>
          <w:rFonts w:ascii="仿宋_GB2312" w:hAnsi="仿宋_GB2312" w:eastAsia="仿宋_GB2312"/>
          <w:b w:val="0"/>
          <w:sz w:val="32"/>
        </w:rPr>
        <w:t>本单位无其他需说明的事项。</w:t>
      </w:r>
    </w:p>
    <w:p w14:paraId="57189ADA">
      <w:r>
        <w:br w:type="page"/>
      </w:r>
    </w:p>
    <w:p w14:paraId="0FE46D73">
      <w:pPr>
        <w:spacing w:line="240" w:lineRule="auto"/>
        <w:jc w:val="center"/>
        <w:outlineLvl w:val="1"/>
      </w:pPr>
      <w:r>
        <w:rPr>
          <w:rFonts w:ascii="黑体" w:hAnsi="黑体" w:eastAsia="黑体"/>
          <w:sz w:val="32"/>
        </w:rPr>
        <w:t>第三部分 专业名词解释</w:t>
      </w:r>
    </w:p>
    <w:p w14:paraId="032E996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405235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8F171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73D8A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E167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A98560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8BA5C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1D6AF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8BFBA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6939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74759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54F71C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39DE1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60E9E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D20B353">
      <w:r>
        <w:br w:type="page"/>
      </w:r>
    </w:p>
    <w:p w14:paraId="5DBE67CB">
      <w:pPr>
        <w:spacing w:line="240" w:lineRule="auto"/>
        <w:jc w:val="center"/>
        <w:outlineLvl w:val="1"/>
      </w:pPr>
      <w:r>
        <w:rPr>
          <w:rFonts w:ascii="黑体" w:hAnsi="黑体" w:eastAsia="黑体"/>
          <w:sz w:val="32"/>
        </w:rPr>
        <w:t>第四部分 部门决算报表（见附表）</w:t>
      </w:r>
    </w:p>
    <w:p w14:paraId="368CE768">
      <w:pPr>
        <w:spacing w:line="240" w:lineRule="auto"/>
        <w:ind w:firstLine="640"/>
        <w:jc w:val="both"/>
      </w:pPr>
      <w:r>
        <w:rPr>
          <w:rFonts w:ascii="仿宋_GB2312" w:hAnsi="仿宋_GB2312" w:eastAsia="仿宋_GB2312"/>
          <w:b w:val="0"/>
          <w:sz w:val="32"/>
        </w:rPr>
        <w:t>一、《收入支出决算总表》</w:t>
      </w:r>
    </w:p>
    <w:p w14:paraId="67EA0B14">
      <w:pPr>
        <w:spacing w:line="240" w:lineRule="auto"/>
        <w:ind w:firstLine="640"/>
        <w:jc w:val="both"/>
      </w:pPr>
      <w:r>
        <w:rPr>
          <w:rFonts w:ascii="仿宋_GB2312" w:hAnsi="仿宋_GB2312" w:eastAsia="仿宋_GB2312"/>
          <w:b w:val="0"/>
          <w:sz w:val="32"/>
        </w:rPr>
        <w:t>二、《收入决算表》</w:t>
      </w:r>
    </w:p>
    <w:p w14:paraId="6D200A70">
      <w:pPr>
        <w:spacing w:line="240" w:lineRule="auto"/>
        <w:ind w:firstLine="640"/>
        <w:jc w:val="both"/>
      </w:pPr>
      <w:r>
        <w:rPr>
          <w:rFonts w:ascii="仿宋_GB2312" w:hAnsi="仿宋_GB2312" w:eastAsia="仿宋_GB2312"/>
          <w:b w:val="0"/>
          <w:sz w:val="32"/>
        </w:rPr>
        <w:t>三、《支出决算表》</w:t>
      </w:r>
    </w:p>
    <w:p w14:paraId="47B3A4DA">
      <w:pPr>
        <w:spacing w:line="240" w:lineRule="auto"/>
        <w:ind w:firstLine="640"/>
        <w:jc w:val="both"/>
      </w:pPr>
      <w:r>
        <w:rPr>
          <w:rFonts w:ascii="仿宋_GB2312" w:hAnsi="仿宋_GB2312" w:eastAsia="仿宋_GB2312"/>
          <w:b w:val="0"/>
          <w:sz w:val="32"/>
        </w:rPr>
        <w:t>四、《财政拨款收入支出决算总表》</w:t>
      </w:r>
    </w:p>
    <w:p w14:paraId="02D8E651">
      <w:pPr>
        <w:spacing w:line="240" w:lineRule="auto"/>
        <w:ind w:firstLine="640"/>
        <w:jc w:val="both"/>
      </w:pPr>
      <w:r>
        <w:rPr>
          <w:rFonts w:ascii="仿宋_GB2312" w:hAnsi="仿宋_GB2312" w:eastAsia="仿宋_GB2312"/>
          <w:b w:val="0"/>
          <w:sz w:val="32"/>
        </w:rPr>
        <w:t>五、《一般公共预算财政拨款支出决算表》</w:t>
      </w:r>
    </w:p>
    <w:p w14:paraId="49923A84">
      <w:pPr>
        <w:spacing w:line="240" w:lineRule="auto"/>
        <w:ind w:firstLine="640"/>
        <w:jc w:val="both"/>
      </w:pPr>
      <w:r>
        <w:rPr>
          <w:rFonts w:ascii="仿宋_GB2312" w:hAnsi="仿宋_GB2312" w:eastAsia="仿宋_GB2312"/>
          <w:b w:val="0"/>
          <w:sz w:val="32"/>
        </w:rPr>
        <w:t>六、《一般公共预算财政拨款基本支出决算表》</w:t>
      </w:r>
    </w:p>
    <w:p w14:paraId="630F7600">
      <w:pPr>
        <w:spacing w:line="240" w:lineRule="auto"/>
        <w:ind w:firstLine="640"/>
        <w:jc w:val="both"/>
      </w:pPr>
      <w:r>
        <w:rPr>
          <w:rFonts w:ascii="仿宋_GB2312" w:hAnsi="仿宋_GB2312" w:eastAsia="仿宋_GB2312"/>
          <w:b w:val="0"/>
          <w:sz w:val="32"/>
        </w:rPr>
        <w:t>七、《政府性基金预算财政拨款收入支出决算表》</w:t>
      </w:r>
    </w:p>
    <w:p w14:paraId="3D4BEC06">
      <w:pPr>
        <w:spacing w:line="240" w:lineRule="auto"/>
        <w:ind w:firstLine="640"/>
        <w:jc w:val="both"/>
      </w:pPr>
      <w:r>
        <w:rPr>
          <w:rFonts w:ascii="仿宋_GB2312" w:hAnsi="仿宋_GB2312" w:eastAsia="仿宋_GB2312"/>
          <w:b w:val="0"/>
          <w:sz w:val="32"/>
        </w:rPr>
        <w:t>八、《国有资本经营预算财政拨款收入支出决算表》</w:t>
      </w:r>
    </w:p>
    <w:p w14:paraId="760D3496">
      <w:pPr>
        <w:spacing w:line="240" w:lineRule="auto"/>
        <w:ind w:firstLine="640"/>
        <w:jc w:val="both"/>
      </w:pPr>
      <w:r>
        <w:rPr>
          <w:rFonts w:ascii="仿宋_GB2312" w:hAnsi="仿宋_GB2312" w:eastAsia="仿宋_GB2312"/>
          <w:b w:val="0"/>
          <w:sz w:val="32"/>
        </w:rPr>
        <w:t>九、《财政拨款“三公”经费支出决算表》</w:t>
      </w:r>
    </w:p>
    <w:p w14:paraId="484E0D40">
      <w:pPr>
        <w:spacing w:line="240" w:lineRule="auto"/>
        <w:ind w:firstLine="640"/>
        <w:jc w:val="both"/>
      </w:pPr>
    </w:p>
    <w:p w14:paraId="68FC5A0F">
      <w:pPr>
        <w:spacing w:line="240" w:lineRule="auto"/>
        <w:ind w:firstLine="640"/>
        <w:jc w:val="both"/>
      </w:pPr>
    </w:p>
    <w:p w14:paraId="5A986A7D">
      <w:pPr>
        <w:spacing w:line="240" w:lineRule="auto"/>
        <w:ind w:firstLine="640"/>
        <w:jc w:val="both"/>
      </w:pPr>
    </w:p>
    <w:p w14:paraId="388D8798">
      <w:pPr>
        <w:spacing w:line="240" w:lineRule="auto"/>
        <w:ind w:firstLine="640"/>
        <w:jc w:val="both"/>
      </w:pPr>
    </w:p>
    <w:p w14:paraId="1D7130B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607D5B-4774-4F83-95A0-D53D97FC29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A384D23-AA70-4F10-A824-D3432B37FFDF}"/>
  </w:font>
  <w:font w:name="仿宋_GB2312">
    <w:panose1 w:val="02010609030101010101"/>
    <w:charset w:val="86"/>
    <w:family w:val="modern"/>
    <w:pitch w:val="default"/>
    <w:sig w:usb0="00000001" w:usb1="080E0000" w:usb2="00000000" w:usb3="00000000" w:csb0="00040000" w:csb1="00000000"/>
    <w:embedRegular r:id="rId3" w:fontKey="{13E6C2E5-F647-4223-AA9C-C23735478DB0}"/>
  </w:font>
  <w:font w:name="楷体_GB2312">
    <w:panose1 w:val="02010609030101010101"/>
    <w:charset w:val="86"/>
    <w:family w:val="auto"/>
    <w:pitch w:val="default"/>
    <w:sig w:usb0="00000001" w:usb1="080E0000" w:usb2="00000000" w:usb3="00000000" w:csb0="00040000" w:csb1="00000000"/>
    <w:embedRegular r:id="rId4" w:fontKey="{241D391A-D048-492F-964E-AA2EE9099C3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A27DE4"/>
    <w:rsid w:val="31C63837"/>
    <w:rsid w:val="326F0A17"/>
    <w:rsid w:val="3277581B"/>
    <w:rsid w:val="36833EB2"/>
    <w:rsid w:val="38006E2C"/>
    <w:rsid w:val="3914510A"/>
    <w:rsid w:val="3B1220C9"/>
    <w:rsid w:val="3D5275AC"/>
    <w:rsid w:val="3DFF3A68"/>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5750</Words>
  <Characters>6562</Characters>
  <Lines>0</Lines>
  <Paragraphs>0</Paragraphs>
  <TotalTime>1</TotalTime>
  <ScaleCrop>false</ScaleCrop>
  <LinksUpToDate>false</LinksUpToDate>
  <CharactersWithSpaces>6572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2025-09-15T08:34:32Z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