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D984B2B">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新疆农业广播电视学校阿克陶县分校</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9641610">
      <w:r>
        <w:br w:type="page"/>
      </w:r>
    </w:p>
    <w:p w14:paraId="7C48D08E">
      <w:pPr>
        <w:spacing w:line="640" w:lineRule="exact"/>
        <w:jc w:val="center"/>
        <w:outlineLvl w:val="1"/>
      </w:pPr>
      <w:r>
        <w:rPr>
          <w:rFonts w:ascii="黑体" w:hAnsi="黑体" w:eastAsia="黑体"/>
          <w:sz w:val="32"/>
        </w:rPr>
        <w:t>第一部分 单位概况</w:t>
      </w:r>
    </w:p>
    <w:p w14:paraId="4AEA842C">
      <w:pPr>
        <w:spacing w:line="640" w:lineRule="exact"/>
        <w:ind w:firstLine="640"/>
        <w:jc w:val="both"/>
        <w:outlineLvl w:val="2"/>
      </w:pPr>
      <w:r>
        <w:rPr>
          <w:rFonts w:ascii="黑体" w:hAnsi="黑体" w:eastAsia="黑体"/>
          <w:sz w:val="32"/>
        </w:rPr>
        <w:t>一、主要职能</w:t>
      </w:r>
    </w:p>
    <w:p w14:paraId="15FB555B">
      <w:pPr>
        <w:spacing w:line="580" w:lineRule="exact"/>
        <w:ind w:firstLine="640"/>
        <w:jc w:val="both"/>
      </w:pPr>
      <w:r>
        <w:rPr>
          <w:rFonts w:ascii="仿宋_GB2312" w:hAnsi="仿宋_GB2312" w:eastAsia="仿宋_GB2312"/>
          <w:sz w:val="32"/>
        </w:rPr>
        <w:t>贯彻落实自治区农广校学籍、教务、考务、声像、教材管理办法。指导全县中专学历教育和农民科技教育培训工作、后继续教育、大专自考助学与合作高等教育工作，开展多层次、多形式的培训，管理、使用发放有关培训的音像制品及图书资料，并对培训工作进行督促、检查和规范管理。以及绿色证书教育培训、高素质农民培训、新型农民科技培训、创业培训、职业技能鉴定、各种实用技术培训和新闻宣传、信息服务、技术推广等任务、负责农民远程教育网的信息平台建设、远程教育的资源建设和远程教育服务管理工作。</w:t>
      </w:r>
    </w:p>
    <w:p w14:paraId="5CD6F7E3">
      <w:pPr>
        <w:spacing w:line="640" w:lineRule="exact"/>
        <w:ind w:firstLine="640"/>
        <w:jc w:val="both"/>
        <w:outlineLvl w:val="2"/>
      </w:pPr>
      <w:r>
        <w:rPr>
          <w:rFonts w:ascii="黑体" w:hAnsi="黑体" w:eastAsia="黑体"/>
          <w:sz w:val="32"/>
        </w:rPr>
        <w:t>二、机构设置及人员情况</w:t>
      </w:r>
    </w:p>
    <w:p w14:paraId="602A4BE5">
      <w:pPr>
        <w:spacing w:line="580" w:lineRule="exact"/>
        <w:ind w:firstLine="640"/>
        <w:jc w:val="both"/>
      </w:pPr>
      <w:r>
        <w:rPr>
          <w:rFonts w:ascii="仿宋_GB2312" w:hAnsi="仿宋_GB2312" w:eastAsia="仿宋_GB2312"/>
          <w:sz w:val="32"/>
        </w:rPr>
        <w:t>新疆农业广播电视学校阿克陶县分校2024年度，实有人数14人，其中：在职人员7人，增加0人；离休人员0人，增加0人；退休人员7人,增加0人。</w:t>
      </w:r>
    </w:p>
    <w:p w14:paraId="7B553A66">
      <w:pPr>
        <w:spacing w:line="580" w:lineRule="exact"/>
        <w:ind w:firstLine="640"/>
        <w:jc w:val="both"/>
      </w:pPr>
      <w:r>
        <w:rPr>
          <w:rFonts w:ascii="仿宋_GB2312" w:hAnsi="仿宋_GB2312" w:eastAsia="仿宋_GB2312"/>
          <w:sz w:val="32"/>
        </w:rPr>
        <w:t>新疆农业广播电视学校阿克陶县分校无下属预算单位，下设2个科室，分别是：办公室、财务室。</w:t>
      </w:r>
    </w:p>
    <w:p w14:paraId="06158627">
      <w:r>
        <w:br w:type="page"/>
      </w:r>
    </w:p>
    <w:p w14:paraId="36631BEA">
      <w:pPr>
        <w:spacing w:line="240" w:lineRule="auto"/>
        <w:jc w:val="center"/>
        <w:outlineLvl w:val="1"/>
      </w:pPr>
      <w:r>
        <w:rPr>
          <w:rFonts w:ascii="黑体" w:hAnsi="黑体" w:eastAsia="黑体"/>
          <w:sz w:val="32"/>
        </w:rPr>
        <w:t>第二部分 部门决算情况说明</w:t>
      </w:r>
    </w:p>
    <w:p w14:paraId="3815DD62">
      <w:pPr>
        <w:spacing w:line="640" w:lineRule="exact"/>
        <w:ind w:firstLine="640"/>
        <w:jc w:val="both"/>
        <w:outlineLvl w:val="2"/>
      </w:pPr>
      <w:r>
        <w:rPr>
          <w:rFonts w:ascii="黑体" w:hAnsi="黑体" w:eastAsia="黑体"/>
          <w:sz w:val="32"/>
        </w:rPr>
        <w:t>一、收入支出决算总体情况说明</w:t>
      </w:r>
    </w:p>
    <w:p w14:paraId="17ACA7F0">
      <w:pPr>
        <w:spacing w:line="580" w:lineRule="exact"/>
        <w:ind w:firstLine="640"/>
        <w:jc w:val="both"/>
      </w:pPr>
      <w:r>
        <w:rPr>
          <w:rFonts w:ascii="仿宋_GB2312" w:hAnsi="仿宋_GB2312" w:eastAsia="仿宋_GB2312"/>
          <w:b/>
          <w:sz w:val="32"/>
        </w:rPr>
        <w:t>2024年度收入总计380.27万元，</w:t>
      </w:r>
      <w:r>
        <w:rPr>
          <w:rFonts w:ascii="仿宋_GB2312" w:hAnsi="仿宋_GB2312" w:eastAsia="仿宋_GB2312"/>
          <w:b w:val="0"/>
          <w:sz w:val="32"/>
        </w:rPr>
        <w:t>其中：本年收入合计365.19万元，使用非财政拨款结余（含专用结余）0.00万元，年初结转和结余15.08万元。</w:t>
      </w:r>
    </w:p>
    <w:p w14:paraId="316C5E81">
      <w:pPr>
        <w:spacing w:line="580" w:lineRule="exact"/>
        <w:ind w:firstLine="640"/>
        <w:jc w:val="both"/>
      </w:pPr>
      <w:r>
        <w:rPr>
          <w:rFonts w:ascii="仿宋_GB2312" w:hAnsi="仿宋_GB2312" w:eastAsia="仿宋_GB2312"/>
          <w:b/>
          <w:sz w:val="32"/>
        </w:rPr>
        <w:t>2024年度支出总计380.27万元，</w:t>
      </w:r>
      <w:r>
        <w:rPr>
          <w:rFonts w:ascii="仿宋_GB2312" w:hAnsi="仿宋_GB2312" w:eastAsia="仿宋_GB2312"/>
          <w:b w:val="0"/>
          <w:sz w:val="32"/>
        </w:rPr>
        <w:t>其中：本年支出合计366.83万元，结余分配0.00万元，年末结转和结余13.44万元。</w:t>
      </w:r>
    </w:p>
    <w:p w14:paraId="33EF71E8">
      <w:pPr>
        <w:spacing w:line="580" w:lineRule="exact"/>
        <w:ind w:firstLine="640"/>
        <w:jc w:val="both"/>
      </w:pPr>
      <w:r>
        <w:rPr>
          <w:rFonts w:ascii="仿宋_GB2312" w:hAnsi="仿宋_GB2312" w:eastAsia="仿宋_GB2312"/>
          <w:b w:val="0"/>
          <w:sz w:val="32"/>
        </w:rPr>
        <w:t>收入支出总体与上年相比，减少136.51万元，下降26.42%，主要原因是：本年减少2022年自治区科技计划专项资金（第二批）、高素质农民培育等项目经费，导致相关经费减少</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本年</w:t>
      </w:r>
      <w:r>
        <w:rPr>
          <w:rFonts w:hint="eastAsia" w:ascii="仿宋_GB2312" w:hAnsi="仿宋_GB2312" w:eastAsia="仿宋_GB2312"/>
          <w:b w:val="0"/>
          <w:sz w:val="32"/>
          <w:lang w:eastAsia="zh-CN"/>
        </w:rPr>
        <w:t>农牧民机技术人员培训工作经费减少</w:t>
      </w:r>
      <w:r>
        <w:rPr>
          <w:rFonts w:ascii="仿宋_GB2312" w:hAnsi="仿宋_GB2312" w:eastAsia="仿宋_GB2312"/>
          <w:b w:val="0"/>
          <w:sz w:val="32"/>
        </w:rPr>
        <w:t>。</w:t>
      </w:r>
    </w:p>
    <w:p w14:paraId="6DBEDBE7">
      <w:pPr>
        <w:spacing w:line="640" w:lineRule="exact"/>
        <w:ind w:firstLine="640"/>
        <w:jc w:val="both"/>
        <w:outlineLvl w:val="2"/>
      </w:pPr>
      <w:r>
        <w:rPr>
          <w:rFonts w:ascii="黑体" w:hAnsi="黑体" w:eastAsia="黑体"/>
          <w:sz w:val="32"/>
        </w:rPr>
        <w:t>二、收入决算情况说明</w:t>
      </w:r>
    </w:p>
    <w:p w14:paraId="18D4CB98">
      <w:pPr>
        <w:spacing w:line="580" w:lineRule="exact"/>
        <w:ind w:firstLine="640"/>
        <w:jc w:val="both"/>
      </w:pPr>
      <w:r>
        <w:rPr>
          <w:rFonts w:ascii="仿宋_GB2312" w:hAnsi="仿宋_GB2312" w:eastAsia="仿宋_GB2312"/>
          <w:b/>
          <w:sz w:val="32"/>
        </w:rPr>
        <w:t>本年收入365.19万元，</w:t>
      </w:r>
      <w:r>
        <w:rPr>
          <w:rFonts w:ascii="仿宋_GB2312" w:hAnsi="仿宋_GB2312" w:eastAsia="仿宋_GB2312"/>
          <w:b w:val="0"/>
          <w:sz w:val="32"/>
        </w:rPr>
        <w:t>其中：财政拨款收入209.21万元，占57.29%；上级补助收入0.00万元，占0.00%；事业收入0.00万元，占0.00%；经营收入0.00万元，占0.00%；附属单位上缴收入0.00万元，占0.00%；其他收入155.97万元，占42.71%。</w:t>
      </w:r>
    </w:p>
    <w:p w14:paraId="34FA73A4">
      <w:pPr>
        <w:spacing w:line="640" w:lineRule="exact"/>
        <w:ind w:firstLine="640"/>
        <w:jc w:val="both"/>
        <w:outlineLvl w:val="2"/>
      </w:pPr>
      <w:r>
        <w:rPr>
          <w:rFonts w:ascii="黑体" w:hAnsi="黑体" w:eastAsia="黑体"/>
          <w:sz w:val="32"/>
        </w:rPr>
        <w:t>三、支出决算情况说明</w:t>
      </w:r>
    </w:p>
    <w:p w14:paraId="2E741497">
      <w:pPr>
        <w:spacing w:line="580" w:lineRule="exact"/>
        <w:ind w:firstLine="640"/>
        <w:jc w:val="both"/>
      </w:pPr>
      <w:r>
        <w:rPr>
          <w:rFonts w:ascii="仿宋_GB2312" w:hAnsi="仿宋_GB2312" w:eastAsia="仿宋_GB2312"/>
          <w:b/>
          <w:sz w:val="32"/>
        </w:rPr>
        <w:t>本年支出366.83万元，</w:t>
      </w:r>
      <w:r>
        <w:rPr>
          <w:rFonts w:ascii="仿宋_GB2312" w:hAnsi="仿宋_GB2312" w:eastAsia="仿宋_GB2312"/>
          <w:b w:val="0"/>
          <w:sz w:val="32"/>
        </w:rPr>
        <w:t>其中：基本支出182.28万元，占49.69%；项目支出184.55万元，占50.31%；上缴上级支出0.00万元，占0.00%；经营支出0.00万元，占0.00%；对附属单位补助支出0.00万元，占0.00%。</w:t>
      </w:r>
    </w:p>
    <w:p w14:paraId="08B7A1BE">
      <w:pPr>
        <w:spacing w:line="640" w:lineRule="exact"/>
        <w:ind w:firstLine="640"/>
        <w:jc w:val="both"/>
        <w:outlineLvl w:val="2"/>
      </w:pPr>
      <w:r>
        <w:rPr>
          <w:rFonts w:ascii="黑体" w:hAnsi="黑体" w:eastAsia="黑体"/>
          <w:sz w:val="32"/>
        </w:rPr>
        <w:t>四、财政拨款收入支出决算总体情况说明</w:t>
      </w:r>
    </w:p>
    <w:p w14:paraId="52CF9059">
      <w:pPr>
        <w:spacing w:line="580" w:lineRule="exact"/>
        <w:ind w:firstLine="640"/>
        <w:jc w:val="both"/>
      </w:pPr>
      <w:r>
        <w:rPr>
          <w:rFonts w:ascii="仿宋_GB2312" w:hAnsi="仿宋_GB2312" w:eastAsia="仿宋_GB2312"/>
          <w:b/>
          <w:sz w:val="32"/>
        </w:rPr>
        <w:t>2024年度财政拨款收入总计209.21万元，</w:t>
      </w:r>
      <w:r>
        <w:rPr>
          <w:rFonts w:ascii="仿宋_GB2312" w:hAnsi="仿宋_GB2312" w:eastAsia="仿宋_GB2312"/>
          <w:b w:val="0"/>
          <w:sz w:val="32"/>
        </w:rPr>
        <w:t>其中：年初财政拨款结转和结余0.00万元，本年财政拨款收入209.21万元。</w:t>
      </w:r>
      <w:r>
        <w:rPr>
          <w:rFonts w:ascii="仿宋_GB2312" w:hAnsi="仿宋_GB2312" w:eastAsia="仿宋_GB2312"/>
          <w:b/>
          <w:sz w:val="32"/>
        </w:rPr>
        <w:t>财政拨款支出总计209.21万元，</w:t>
      </w:r>
      <w:r>
        <w:rPr>
          <w:rFonts w:ascii="仿宋_GB2312" w:hAnsi="仿宋_GB2312" w:eastAsia="仿宋_GB2312"/>
          <w:b w:val="0"/>
          <w:sz w:val="32"/>
        </w:rPr>
        <w:t>其中：年末财政拨款结转和结余0.00万元，本年财政拨款支出209.21万元。</w:t>
      </w:r>
    </w:p>
    <w:p w14:paraId="7E0F5C6C">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减少92.79万元，下降30.73%，主要原因是：本年减少2022年自治区科技计划专项资金（第二批）、高素质农民培育等项目经费，导致相关经费减少。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年初预算数280.92万元，决算数209.21万元，预决算差异率-25.53%，主要原因是：年中调减高素质农民培育项目和自治区科技计划专项等项目经费，导致预决算差异。</w:t>
      </w:r>
    </w:p>
    <w:p w14:paraId="5BCE28DE">
      <w:pPr>
        <w:spacing w:line="640" w:lineRule="exact"/>
        <w:ind w:firstLine="640"/>
        <w:jc w:val="both"/>
        <w:outlineLvl w:val="2"/>
      </w:pPr>
      <w:r>
        <w:rPr>
          <w:rFonts w:ascii="黑体" w:hAnsi="黑体" w:eastAsia="黑体"/>
          <w:sz w:val="32"/>
        </w:rPr>
        <w:t>五、一般公共预算财政拨款支出决</w:t>
      </w:r>
      <w:bookmarkStart w:id="0" w:name="_GoBack"/>
      <w:bookmarkEnd w:id="0"/>
      <w:r>
        <w:rPr>
          <w:rFonts w:ascii="黑体" w:hAnsi="黑体" w:eastAsia="黑体"/>
          <w:sz w:val="32"/>
        </w:rPr>
        <w:t>算情况说明</w:t>
      </w:r>
    </w:p>
    <w:p w14:paraId="7E3A942C">
      <w:pPr>
        <w:spacing w:line="640" w:lineRule="exact"/>
        <w:ind w:firstLine="640"/>
        <w:jc w:val="both"/>
        <w:outlineLvl w:val="3"/>
      </w:pPr>
      <w:r>
        <w:rPr>
          <w:rFonts w:ascii="楷体_GB2312" w:hAnsi="楷体_GB2312" w:eastAsia="楷体_GB2312"/>
          <w:b/>
          <w:sz w:val="32"/>
        </w:rPr>
        <w:t>（一）一般公共预算财政拨款支出决算总体情况</w:t>
      </w:r>
    </w:p>
    <w:p w14:paraId="6C241416">
      <w:pPr>
        <w:spacing w:line="580" w:lineRule="exact"/>
        <w:ind w:firstLine="640"/>
        <w:jc w:val="both"/>
      </w:pPr>
      <w:r>
        <w:rPr>
          <w:rFonts w:ascii="仿宋_GB2312" w:hAnsi="仿宋_GB2312" w:eastAsia="仿宋_GB2312"/>
          <w:b/>
          <w:sz w:val="32"/>
        </w:rPr>
        <w:t>2024年度一般公共预算财政拨款支出209.21万元，</w:t>
      </w:r>
      <w:r>
        <w:rPr>
          <w:rFonts w:ascii="仿宋_GB2312" w:hAnsi="仿宋_GB2312" w:eastAsia="仿宋_GB2312"/>
          <w:b w:val="0"/>
          <w:sz w:val="32"/>
        </w:rPr>
        <w:t>占本年支出合计的57.03%。</w:t>
      </w:r>
      <w:r>
        <w:rPr>
          <w:rFonts w:ascii="仿宋_GB2312" w:hAnsi="仿宋_GB2312" w:eastAsia="仿宋_GB2312"/>
          <w:b/>
          <w:sz w:val="32"/>
        </w:rPr>
        <w:t>与上年相比，</w:t>
      </w:r>
      <w:r>
        <w:rPr>
          <w:rFonts w:ascii="仿宋_GB2312" w:hAnsi="仿宋_GB2312" w:eastAsia="仿宋_GB2312"/>
          <w:b w:val="0"/>
          <w:sz w:val="32"/>
        </w:rPr>
        <w:t>减少92.79万元，下降30.73%，主要原因是：本年减少2022年自治区科技计划专项资金（第二批）、高素质农民培育等项目经费，导致相关经费减少。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年初预算数280.92万元，决算数209.21万元，预决算差异率-25.53%，主要原因是：年中调减高素质农民培育项目和自治区科技计划专项等项目经费，导致预决算差异。</w:t>
      </w:r>
    </w:p>
    <w:p w14:paraId="17E7303B">
      <w:pPr>
        <w:spacing w:line="640" w:lineRule="exact"/>
        <w:ind w:firstLine="640"/>
        <w:jc w:val="both"/>
        <w:outlineLvl w:val="3"/>
      </w:pPr>
      <w:r>
        <w:rPr>
          <w:rFonts w:ascii="楷体_GB2312" w:hAnsi="楷体_GB2312" w:eastAsia="楷体_GB2312"/>
          <w:b/>
          <w:sz w:val="32"/>
        </w:rPr>
        <w:t>（二）一般公共预算财政拨款支出决算结构情况</w:t>
      </w:r>
    </w:p>
    <w:p w14:paraId="74D527C8">
      <w:pPr>
        <w:spacing w:line="580" w:lineRule="exact"/>
        <w:ind w:firstLine="640"/>
        <w:jc w:val="both"/>
      </w:pPr>
      <w:r>
        <w:rPr>
          <w:rFonts w:ascii="仿宋_GB2312" w:hAnsi="仿宋_GB2312" w:eastAsia="仿宋_GB2312"/>
          <w:b w:val="0"/>
          <w:sz w:val="32"/>
        </w:rPr>
        <w:t>1.科学技术支出(类)3.00万元,占1.43%。</w:t>
      </w:r>
    </w:p>
    <w:p w14:paraId="2059FAAA">
      <w:pPr>
        <w:spacing w:line="580" w:lineRule="exact"/>
        <w:ind w:firstLine="640"/>
        <w:jc w:val="both"/>
      </w:pPr>
      <w:r>
        <w:rPr>
          <w:rFonts w:ascii="仿宋_GB2312" w:hAnsi="仿宋_GB2312" w:eastAsia="仿宋_GB2312"/>
          <w:b w:val="0"/>
          <w:sz w:val="32"/>
        </w:rPr>
        <w:t>2.社会保障和就业支出(类)28.18万元,占13.47%。</w:t>
      </w:r>
    </w:p>
    <w:p w14:paraId="66EC40CF">
      <w:pPr>
        <w:spacing w:line="580" w:lineRule="exact"/>
        <w:ind w:firstLine="640"/>
        <w:jc w:val="both"/>
      </w:pPr>
      <w:r>
        <w:rPr>
          <w:rFonts w:ascii="仿宋_GB2312" w:hAnsi="仿宋_GB2312" w:eastAsia="仿宋_GB2312"/>
          <w:b w:val="0"/>
          <w:sz w:val="32"/>
        </w:rPr>
        <w:t>3.卫生健康支出(类)6.66万元,占3.18%。</w:t>
      </w:r>
    </w:p>
    <w:p w14:paraId="05417330">
      <w:pPr>
        <w:spacing w:line="580" w:lineRule="exact"/>
        <w:ind w:firstLine="640"/>
        <w:jc w:val="both"/>
      </w:pPr>
      <w:r>
        <w:rPr>
          <w:rFonts w:ascii="仿宋_GB2312" w:hAnsi="仿宋_GB2312" w:eastAsia="仿宋_GB2312"/>
          <w:b w:val="0"/>
          <w:sz w:val="32"/>
        </w:rPr>
        <w:t>4.农林水支出(类)156.07万元,占74.60%。</w:t>
      </w:r>
    </w:p>
    <w:p w14:paraId="43192766">
      <w:pPr>
        <w:spacing w:line="580" w:lineRule="exact"/>
        <w:ind w:firstLine="640"/>
        <w:jc w:val="both"/>
      </w:pPr>
      <w:r>
        <w:rPr>
          <w:rFonts w:ascii="仿宋_GB2312" w:hAnsi="仿宋_GB2312" w:eastAsia="仿宋_GB2312"/>
          <w:b w:val="0"/>
          <w:sz w:val="32"/>
        </w:rPr>
        <w:t>5.住房保障支出(类)15.30万元,占7.31%。</w:t>
      </w:r>
    </w:p>
    <w:p w14:paraId="5030AAF7">
      <w:pPr>
        <w:spacing w:line="640" w:lineRule="exact"/>
        <w:ind w:firstLine="640"/>
        <w:jc w:val="both"/>
        <w:outlineLvl w:val="3"/>
      </w:pPr>
      <w:r>
        <w:rPr>
          <w:rFonts w:ascii="楷体_GB2312" w:hAnsi="楷体_GB2312" w:eastAsia="楷体_GB2312"/>
          <w:b/>
          <w:sz w:val="32"/>
        </w:rPr>
        <w:t>（三）一般公共预算财政拨款支出决算具体情况</w:t>
      </w:r>
    </w:p>
    <w:p w14:paraId="676DBAC7">
      <w:pPr>
        <w:spacing w:line="580" w:lineRule="exact"/>
        <w:ind w:firstLine="640"/>
        <w:jc w:val="both"/>
      </w:pPr>
      <w:r>
        <w:rPr>
          <w:rFonts w:ascii="仿宋_GB2312" w:hAnsi="仿宋_GB2312" w:eastAsia="仿宋_GB2312"/>
          <w:b w:val="0"/>
          <w:sz w:val="32"/>
        </w:rPr>
        <w:t>1.科学技术支出(类)基础研究(款)科技人才队伍建设(项):支出决算数为1.50万元，比上年决算增加1.50万元，增长100.00%,主要原因是：本年增加自治区科技特派员经费，导致相关经费增加。</w:t>
      </w:r>
    </w:p>
    <w:p w14:paraId="48A0B5CE">
      <w:pPr>
        <w:spacing w:line="580" w:lineRule="exact"/>
        <w:ind w:firstLine="640"/>
        <w:jc w:val="both"/>
      </w:pPr>
      <w:r>
        <w:rPr>
          <w:rFonts w:ascii="仿宋_GB2312" w:hAnsi="仿宋_GB2312" w:eastAsia="仿宋_GB2312"/>
          <w:b w:val="0"/>
          <w:sz w:val="32"/>
        </w:rPr>
        <w:t>2.科学技术支出(类)科技条件与服务(款)其他科技条件与服务支出(项):支出决算数为1.50万元，比上年决算增加1.50万元，增长100.00%,主要原因是：本年增加自治区科技计划专项资金，导致相关经费增加。</w:t>
      </w:r>
    </w:p>
    <w:p w14:paraId="6B05DAE6">
      <w:pPr>
        <w:spacing w:line="580" w:lineRule="exact"/>
        <w:ind w:firstLine="640"/>
        <w:jc w:val="both"/>
      </w:pPr>
      <w:r>
        <w:rPr>
          <w:rFonts w:ascii="仿宋_GB2312" w:hAnsi="仿宋_GB2312" w:eastAsia="仿宋_GB2312"/>
          <w:b w:val="0"/>
          <w:sz w:val="32"/>
        </w:rPr>
        <w:t>3.科学技术支出(类)其他科学技术支出(款)其他科学技术支出(项):支出决算数为0.00万元，比上年决算减少6.00万元，下降100.00%,主要原因是：本年减少2022年自治区科技计划专项资金（第二批）项目经费，导致相关经费减少。</w:t>
      </w:r>
    </w:p>
    <w:p w14:paraId="6E5E82F2">
      <w:pPr>
        <w:spacing w:line="580" w:lineRule="exact"/>
        <w:ind w:firstLine="640"/>
        <w:jc w:val="both"/>
      </w:pPr>
      <w:r>
        <w:rPr>
          <w:rFonts w:ascii="仿宋_GB2312" w:hAnsi="仿宋_GB2312" w:eastAsia="仿宋_GB2312"/>
          <w:b w:val="0"/>
          <w:sz w:val="32"/>
        </w:rPr>
        <w:t>4.社会保障和就业支出(类)行政事业单位养老支出(款)事业单位离退休(项):支出决算数为9.17万元，比上年决算增加1.47万元，增长19.09%,主要原因是：本年增加退休人员基础绩效奖，退休费支出增加。</w:t>
      </w:r>
    </w:p>
    <w:p w14:paraId="62F305F4">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19.00万元，比上年决算增加5.07万元，增长36.40%,主要原因是：本年在职人员工资基数调增，养老缴费基数上涨，相应支出增加。</w:t>
      </w:r>
    </w:p>
    <w:p w14:paraId="59BCDF00">
      <w:pPr>
        <w:spacing w:line="580" w:lineRule="exact"/>
        <w:ind w:firstLine="640"/>
        <w:jc w:val="both"/>
      </w:pPr>
      <w:r>
        <w:rPr>
          <w:rFonts w:ascii="仿宋_GB2312" w:hAnsi="仿宋_GB2312" w:eastAsia="仿宋_GB2312"/>
          <w:b w:val="0"/>
          <w:sz w:val="32"/>
        </w:rPr>
        <w:t>6.卫生健康支出(类)行政事业单位医疗(款)事业单位医疗(项):支出决算数为6.66万元，比上年决算增加1.38万元，增长26.14%,主要原因是：本年在职人员工资基数调增，医疗缴费基数上涨，相应支出增加。</w:t>
      </w:r>
    </w:p>
    <w:p w14:paraId="2E8B9346">
      <w:pPr>
        <w:spacing w:line="580" w:lineRule="exact"/>
        <w:ind w:firstLine="640"/>
        <w:jc w:val="both"/>
      </w:pPr>
      <w:r>
        <w:rPr>
          <w:rFonts w:ascii="仿宋_GB2312" w:hAnsi="仿宋_GB2312" w:eastAsia="仿宋_GB2312"/>
          <w:b w:val="0"/>
          <w:sz w:val="32"/>
        </w:rPr>
        <w:t>7.农林水支出(类)农业农村(款)事业运行(项):支出决算数为132.13万元，比上年决算增加1.20万元，增长0.92%,主要原因是：本年在职人员工资调增，导致相关人员经费较上年有所增加。</w:t>
      </w:r>
    </w:p>
    <w:p w14:paraId="085B2BD7">
      <w:pPr>
        <w:spacing w:line="580" w:lineRule="exact"/>
        <w:ind w:firstLine="640"/>
        <w:jc w:val="both"/>
      </w:pPr>
      <w:r>
        <w:rPr>
          <w:rFonts w:ascii="仿宋_GB2312" w:hAnsi="仿宋_GB2312" w:eastAsia="仿宋_GB2312"/>
          <w:b w:val="0"/>
          <w:sz w:val="32"/>
        </w:rPr>
        <w:t>8.农林水支出(类)农业农村(款)农业生产发展(项):支出决算数为23.94万元，比上年决算减少102.94万元，下降81.13%,主要原因是：本年减少高素质农民培育项目经费，导致相关经费减少。</w:t>
      </w:r>
    </w:p>
    <w:p w14:paraId="1A731BA8">
      <w:pPr>
        <w:spacing w:line="580" w:lineRule="exact"/>
        <w:ind w:firstLine="640"/>
        <w:jc w:val="both"/>
      </w:pPr>
      <w:r>
        <w:rPr>
          <w:rFonts w:ascii="仿宋_GB2312" w:hAnsi="仿宋_GB2312" w:eastAsia="仿宋_GB2312"/>
          <w:b w:val="0"/>
          <w:sz w:val="32"/>
        </w:rPr>
        <w:t>9.住房保障支出(类)住房改革支出(款)住房公积金(项):支出决算数为15.30万元，比上年决算增加4.03万元，增长35.76%,主要原因是：本年在职人员工资基数调增，公积金缴费基数上涨，相应支出增加。</w:t>
      </w:r>
    </w:p>
    <w:p w14:paraId="76DCA666">
      <w:pPr>
        <w:spacing w:line="640" w:lineRule="exact"/>
        <w:ind w:firstLine="640"/>
        <w:jc w:val="both"/>
        <w:outlineLvl w:val="2"/>
      </w:pPr>
      <w:r>
        <w:rPr>
          <w:rFonts w:ascii="黑体" w:hAnsi="黑体" w:eastAsia="黑体"/>
          <w:sz w:val="32"/>
        </w:rPr>
        <w:t>六、一般公共预算财政拨款基本支出决算情况说明</w:t>
      </w:r>
    </w:p>
    <w:p w14:paraId="16915CEB">
      <w:pPr>
        <w:spacing w:line="580" w:lineRule="exact"/>
        <w:ind w:firstLine="640"/>
        <w:jc w:val="both"/>
      </w:pPr>
      <w:r>
        <w:rPr>
          <w:rFonts w:ascii="仿宋_GB2312" w:hAnsi="仿宋_GB2312" w:eastAsia="仿宋_GB2312"/>
          <w:b w:val="0"/>
          <w:sz w:val="32"/>
        </w:rPr>
        <w:t>2024年度一般公共预算财政拨款基本支出182.27万元，其中：</w:t>
      </w:r>
      <w:r>
        <w:rPr>
          <w:rFonts w:ascii="仿宋_GB2312" w:hAnsi="仿宋_GB2312" w:eastAsia="仿宋_GB2312"/>
          <w:b/>
          <w:sz w:val="32"/>
        </w:rPr>
        <w:t>人员经费179.03万元，</w:t>
      </w:r>
      <w:r>
        <w:rPr>
          <w:rFonts w:ascii="仿宋_GB2312" w:hAnsi="仿宋_GB2312" w:eastAsia="仿宋_GB2312"/>
          <w:b w:val="0"/>
          <w:sz w:val="32"/>
        </w:rPr>
        <w:t>包括：基本工资、津贴补贴、奖金、机关事业单位基本养老保险缴费、职工基本医疗保险缴费、其他社会保障缴费、住房公积金、退休费。</w:t>
      </w:r>
    </w:p>
    <w:p w14:paraId="7E29BCB9">
      <w:pPr>
        <w:spacing w:line="580" w:lineRule="exact"/>
        <w:ind w:firstLine="640"/>
        <w:jc w:val="both"/>
      </w:pPr>
      <w:r>
        <w:rPr>
          <w:rFonts w:ascii="仿宋_GB2312" w:hAnsi="仿宋_GB2312" w:eastAsia="仿宋_GB2312"/>
          <w:b/>
          <w:sz w:val="32"/>
        </w:rPr>
        <w:t>公用经费3.24万元，</w:t>
      </w:r>
      <w:r>
        <w:rPr>
          <w:rFonts w:ascii="仿宋_GB2312" w:hAnsi="仿宋_GB2312" w:eastAsia="仿宋_GB2312"/>
          <w:b w:val="0"/>
          <w:sz w:val="32"/>
        </w:rPr>
        <w:t>包括：办公费、公务用车运行维护费。</w:t>
      </w:r>
    </w:p>
    <w:p w14:paraId="7D00EEFA">
      <w:pPr>
        <w:spacing w:line="640" w:lineRule="exact"/>
        <w:ind w:firstLine="640"/>
        <w:jc w:val="both"/>
        <w:outlineLvl w:val="2"/>
      </w:pPr>
      <w:r>
        <w:rPr>
          <w:rFonts w:ascii="黑体" w:hAnsi="黑体" w:eastAsia="黑体"/>
          <w:sz w:val="32"/>
        </w:rPr>
        <w:t>七、政府性基金预算财政拨款收入支出决算情况说明</w:t>
      </w:r>
    </w:p>
    <w:p w14:paraId="3DC37476">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1CAF6672">
      <w:pPr>
        <w:spacing w:line="640" w:lineRule="exact"/>
        <w:ind w:firstLine="640"/>
        <w:jc w:val="both"/>
        <w:outlineLvl w:val="2"/>
      </w:pPr>
      <w:r>
        <w:rPr>
          <w:rFonts w:ascii="黑体" w:hAnsi="黑体" w:eastAsia="黑体"/>
          <w:sz w:val="32"/>
        </w:rPr>
        <w:t>八、国有资本经营预算财政拨款收入支出决算情况说明</w:t>
      </w:r>
    </w:p>
    <w:p w14:paraId="363B7929">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340C72B">
      <w:pPr>
        <w:spacing w:line="640" w:lineRule="exact"/>
        <w:ind w:firstLine="640"/>
        <w:jc w:val="both"/>
        <w:outlineLvl w:val="2"/>
      </w:pPr>
      <w:r>
        <w:rPr>
          <w:rFonts w:ascii="黑体" w:hAnsi="黑体" w:eastAsia="黑体"/>
          <w:sz w:val="32"/>
        </w:rPr>
        <w:t>九、财政拨款“三公”经费支出决算情况说明</w:t>
      </w:r>
    </w:p>
    <w:p w14:paraId="27567075">
      <w:pPr>
        <w:spacing w:line="580" w:lineRule="exact"/>
        <w:ind w:firstLine="640"/>
        <w:jc w:val="both"/>
      </w:pPr>
      <w:r>
        <w:rPr>
          <w:rFonts w:ascii="仿宋_GB2312" w:hAnsi="仿宋_GB2312" w:eastAsia="仿宋_GB2312"/>
          <w:b/>
          <w:sz w:val="32"/>
        </w:rPr>
        <w:t>2024年度财政拨款“三公”经费支出1.35万元，</w:t>
      </w:r>
      <w:r>
        <w:rPr>
          <w:rFonts w:ascii="仿宋_GB2312" w:hAnsi="仿宋_GB2312" w:eastAsia="仿宋_GB2312"/>
          <w:b w:val="0"/>
          <w:sz w:val="32"/>
        </w:rPr>
        <w:t>比上年增加0.61万元，增长82.43%，主要原因是：本单位公务用车日渐老化，维修维护成本增加，导致公务用车运行维护费较上年增加。其中：因公出国（境）费支出0.00万元，占0.00%，比上年增加0.00万元，增长0.00%，主要原因是：2023年与2024年均未安排因公出国（境）费支出。公务用车购置及运行维护费支出1.35万元，占100.00%，比上年增加0.61万元，增长82.43%，主要原因是：本单位公务用车日渐老化，维修维护成本增加，导致公务用车运行维护费较上年增加。公务接待费支出0.00万元，占0.00%，比上年增加0.00万元，增长0.00%，主要原因是：2023年与2024年均未安排公务接待费支出。</w:t>
      </w:r>
    </w:p>
    <w:p w14:paraId="1257E518">
      <w:pPr>
        <w:spacing w:line="580" w:lineRule="exact"/>
        <w:ind w:firstLine="640"/>
        <w:jc w:val="both"/>
      </w:pPr>
      <w:r>
        <w:rPr>
          <w:rFonts w:ascii="仿宋_GB2312" w:hAnsi="仿宋_GB2312" w:eastAsia="仿宋_GB2312"/>
          <w:b/>
          <w:sz w:val="32"/>
        </w:rPr>
        <w:t>具体情况如下：</w:t>
      </w:r>
    </w:p>
    <w:p w14:paraId="0FF6A13A">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4C7C5A0">
      <w:pPr>
        <w:spacing w:line="580" w:lineRule="exact"/>
        <w:ind w:firstLine="640"/>
        <w:jc w:val="both"/>
      </w:pPr>
      <w:r>
        <w:rPr>
          <w:rFonts w:ascii="仿宋_GB2312" w:hAnsi="仿宋_GB2312" w:eastAsia="仿宋_GB2312"/>
          <w:b w:val="0"/>
          <w:sz w:val="32"/>
        </w:rPr>
        <w:t>公务用车购置及运行维护费1.35万元，其中：公务用车购置费0.00万元，公务用车运行维护费1.35万元。公务用车运行维护费开支内容包括车辆加油费、维修费、保险费、审车费。公务用车购置数0辆，公务用车保有量2辆。国有资产占用情况中固定资产车辆2辆，与公务用车保有量差异原因是：本单位固定资产车辆与公务用车保有量一致无差异。</w:t>
      </w:r>
    </w:p>
    <w:p w14:paraId="6C020D31">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4C79156">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1.35万元，决算数1.35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1.35万元，决算数1.35万元，预决算差异率0.00%，主要原因是：严格按照预算执行，预决算无差异。公务接待费全年预算数0.00万元，决算数0.00万元，预决算差异率0.00%，主要原因是：本单位无公务接待费。</w:t>
      </w:r>
    </w:p>
    <w:p w14:paraId="4F8017C0">
      <w:pPr>
        <w:spacing w:line="640" w:lineRule="exact"/>
        <w:ind w:firstLine="640"/>
        <w:jc w:val="both"/>
        <w:outlineLvl w:val="2"/>
      </w:pPr>
      <w:r>
        <w:rPr>
          <w:rFonts w:ascii="黑体" w:hAnsi="黑体" w:eastAsia="黑体"/>
          <w:sz w:val="32"/>
        </w:rPr>
        <w:t>十、其他重要事项的情况说明</w:t>
      </w:r>
    </w:p>
    <w:p w14:paraId="2CC1064E">
      <w:pPr>
        <w:spacing w:line="640" w:lineRule="exact"/>
        <w:ind w:firstLine="640"/>
        <w:jc w:val="both"/>
        <w:outlineLvl w:val="3"/>
      </w:pPr>
      <w:r>
        <w:rPr>
          <w:rFonts w:ascii="楷体_GB2312" w:hAnsi="楷体_GB2312" w:eastAsia="楷体_GB2312"/>
          <w:b/>
          <w:sz w:val="32"/>
        </w:rPr>
        <w:t>（一）机关运行经费及公用经费支出情况</w:t>
      </w:r>
    </w:p>
    <w:p w14:paraId="23FC314E">
      <w:pPr>
        <w:spacing w:line="580" w:lineRule="exact"/>
        <w:ind w:firstLine="640"/>
        <w:jc w:val="both"/>
      </w:pPr>
      <w:r>
        <w:rPr>
          <w:rFonts w:ascii="仿宋_GB2312" w:hAnsi="仿宋_GB2312" w:eastAsia="仿宋_GB2312"/>
          <w:b w:val="0"/>
          <w:sz w:val="32"/>
        </w:rPr>
        <w:t>2024年度新疆农业广播电视学校阿克陶县分校（事业单位）公用经费支出3.24万元，比上年增加1.45万元，增长81.01%，主要原因是：本年业务量增加，公用经费增加。</w:t>
      </w:r>
    </w:p>
    <w:p w14:paraId="50725424">
      <w:pPr>
        <w:spacing w:line="640" w:lineRule="exact"/>
        <w:ind w:firstLine="640"/>
        <w:jc w:val="both"/>
        <w:outlineLvl w:val="3"/>
      </w:pPr>
      <w:r>
        <w:rPr>
          <w:rFonts w:ascii="楷体_GB2312" w:hAnsi="楷体_GB2312" w:eastAsia="楷体_GB2312"/>
          <w:b/>
          <w:sz w:val="32"/>
        </w:rPr>
        <w:t>（二）政府采购情况</w:t>
      </w:r>
    </w:p>
    <w:p w14:paraId="11E38BCC">
      <w:pPr>
        <w:spacing w:line="580" w:lineRule="exact"/>
        <w:ind w:firstLine="640"/>
        <w:jc w:val="both"/>
      </w:pPr>
      <w:r>
        <w:rPr>
          <w:rFonts w:ascii="仿宋_GB2312" w:hAnsi="仿宋_GB2312" w:eastAsia="仿宋_GB2312"/>
          <w:b w:val="0"/>
          <w:sz w:val="32"/>
        </w:rPr>
        <w:t>2024年度政府采购支出总额1.45万元，其中：政府采购货物支出0.27万元、政府采购工程支出0.00万元、政府采购服务支出1.18万元。</w:t>
      </w:r>
    </w:p>
    <w:p w14:paraId="6C59714C">
      <w:pPr>
        <w:spacing w:line="580" w:lineRule="exact"/>
        <w:ind w:firstLine="640"/>
        <w:jc w:val="both"/>
      </w:pPr>
      <w:r>
        <w:rPr>
          <w:rFonts w:ascii="仿宋_GB2312" w:hAnsi="仿宋_GB2312" w:eastAsia="仿宋_GB2312"/>
          <w:b w:val="0"/>
          <w:sz w:val="32"/>
        </w:rPr>
        <w:t>授予中小企业合同金额1.45万元，占政府采购支出总额的100.00%，其中：授予小微企业合同金额0.27万元，占政府采购支出总额的18.62%。</w:t>
      </w:r>
    </w:p>
    <w:p w14:paraId="65BF10BE">
      <w:pPr>
        <w:spacing w:line="640" w:lineRule="exact"/>
        <w:ind w:firstLine="640"/>
        <w:jc w:val="both"/>
        <w:outlineLvl w:val="3"/>
      </w:pPr>
      <w:r>
        <w:rPr>
          <w:rFonts w:ascii="楷体_GB2312" w:hAnsi="楷体_GB2312" w:eastAsia="楷体_GB2312"/>
          <w:b/>
          <w:sz w:val="32"/>
        </w:rPr>
        <w:t>（三）国有资产占用情况说明</w:t>
      </w:r>
    </w:p>
    <w:p w14:paraId="7099840D">
      <w:pPr>
        <w:spacing w:line="580" w:lineRule="exact"/>
        <w:ind w:firstLine="640"/>
        <w:jc w:val="both"/>
      </w:pPr>
      <w:r>
        <w:rPr>
          <w:rFonts w:ascii="仿宋_GB2312" w:hAnsi="仿宋_GB2312" w:eastAsia="仿宋_GB2312"/>
          <w:b w:val="0"/>
          <w:sz w:val="32"/>
        </w:rPr>
        <w:t>截至2024年12月31日，房屋0.00平方米，价值0.00万元。车辆2辆，价值30.50万元，其中：副部（省）级及以上领导用车0辆、主要负责人用车0辆、机要通信用车0辆、应急保障用车0辆、执法执勤用车0辆、特种专业技术用车0辆、离退休干部服务用车0辆、其他用车2辆，其他用车主要是：一般公务用车。单价100万元（含）以上设备（不含车辆）0台（套）。</w:t>
      </w:r>
    </w:p>
    <w:p w14:paraId="3EBFEC67">
      <w:pPr>
        <w:spacing w:line="640" w:lineRule="exact"/>
        <w:ind w:firstLine="640"/>
        <w:jc w:val="both"/>
        <w:outlineLvl w:val="2"/>
      </w:pPr>
      <w:r>
        <w:rPr>
          <w:rFonts w:ascii="黑体" w:hAnsi="黑体" w:eastAsia="黑体"/>
          <w:sz w:val="32"/>
        </w:rPr>
        <w:t>十一、预算绩效的情况说明</w:t>
      </w:r>
    </w:p>
    <w:p w14:paraId="6CFA7D01">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380.26万元，实际执行总额366.83万元；预算绩效评价项目0个，全年预算数0.00万元，全年执行数0.00万元。预算绩效管理取得的成效：本年本单位无项目支出绩效自评表。发现的问题及原因：本年本单位无项目支出绩效自评表。下一步改进措施：本年本单位无项目支出绩效自评表。具体附整体支出绩效自评表。</w:t>
      </w:r>
    </w:p>
    <w:p w14:paraId="07A297D9">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11C21C77">
        <w:tblPrEx>
          <w:tblCellMar>
            <w:top w:w="0" w:type="dxa"/>
            <w:left w:w="108" w:type="dxa"/>
            <w:bottom w:w="0" w:type="dxa"/>
            <w:right w:w="108" w:type="dxa"/>
          </w:tblCellMar>
        </w:tblPrEx>
        <w:tc>
          <w:tcPr>
            <w:tcW w:w="8840" w:type="dxa"/>
            <w:gridSpan w:val="8"/>
            <w:vAlign w:val="center"/>
          </w:tcPr>
          <w:p w14:paraId="7B433BE0">
            <w:pPr>
              <w:jc w:val="center"/>
            </w:pPr>
            <w:r>
              <w:rPr>
                <w:rFonts w:ascii="宋体" w:hAnsi="宋体" w:eastAsia="宋体"/>
                <w:sz w:val="24"/>
              </w:rPr>
              <w:t>单位整体支出绩效自评表</w:t>
            </w:r>
          </w:p>
        </w:tc>
      </w:tr>
      <w:tr w14:paraId="33F22146">
        <w:tblPrEx>
          <w:tblCellMar>
            <w:top w:w="0" w:type="dxa"/>
            <w:left w:w="108" w:type="dxa"/>
            <w:bottom w:w="0" w:type="dxa"/>
            <w:right w:w="108" w:type="dxa"/>
          </w:tblCellMar>
        </w:tblPrEx>
        <w:tc>
          <w:tcPr>
            <w:tcW w:w="8840" w:type="dxa"/>
            <w:gridSpan w:val="8"/>
            <w:vAlign w:val="center"/>
          </w:tcPr>
          <w:p w14:paraId="0D8AC75D">
            <w:pPr>
              <w:jc w:val="center"/>
            </w:pPr>
            <w:r>
              <w:rPr>
                <w:rFonts w:ascii="宋体" w:hAnsi="宋体" w:eastAsia="宋体"/>
                <w:sz w:val="24"/>
              </w:rPr>
              <w:t>（2024年度）</w:t>
            </w:r>
          </w:p>
        </w:tc>
      </w:tr>
      <w:tr w14:paraId="176F7938">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A2F15F">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BEA7A7">
            <w:pPr>
              <w:jc w:val="center"/>
            </w:pPr>
            <w:r>
              <w:rPr>
                <w:rFonts w:ascii="宋体" w:hAnsi="宋体" w:eastAsia="宋体"/>
                <w:sz w:val="16"/>
              </w:rPr>
              <w:t>新疆农业广播电视学校阿克陶县分校</w:t>
            </w:r>
          </w:p>
        </w:tc>
      </w:tr>
      <w:tr w14:paraId="6C1D36D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AEE5DB">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32C5CE">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CA5011">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B1D34D">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977AED">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91CA82">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F41541">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848E9F">
            <w:pPr>
              <w:jc w:val="center"/>
            </w:pPr>
            <w:r>
              <w:rPr>
                <w:rFonts w:ascii="宋体" w:hAnsi="宋体" w:eastAsia="宋体"/>
                <w:sz w:val="16"/>
              </w:rPr>
              <w:t>得分</w:t>
            </w:r>
          </w:p>
        </w:tc>
      </w:tr>
      <w:tr w14:paraId="714BA23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604524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504173">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ADEF1E">
            <w:pPr>
              <w:jc w:val="center"/>
            </w:pPr>
            <w:r>
              <w:rPr>
                <w:rFonts w:ascii="宋体" w:hAnsi="宋体" w:eastAsia="宋体"/>
                <w:sz w:val="16"/>
              </w:rPr>
              <w:t>279.42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99AB53">
            <w:pPr>
              <w:jc w:val="center"/>
            </w:pPr>
            <w:r>
              <w:rPr>
                <w:rFonts w:ascii="宋体" w:hAnsi="宋体" w:eastAsia="宋体"/>
                <w:sz w:val="16"/>
              </w:rPr>
              <w:t>380.26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56E99D">
            <w:pPr>
              <w:jc w:val="center"/>
            </w:pPr>
            <w:r>
              <w:rPr>
                <w:rFonts w:ascii="宋体" w:hAnsi="宋体" w:eastAsia="宋体"/>
                <w:sz w:val="16"/>
              </w:rPr>
              <w:t>366.83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F48ADB">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1D793C">
            <w:pPr>
              <w:jc w:val="center"/>
            </w:pPr>
            <w:r>
              <w:rPr>
                <w:rFonts w:ascii="宋体" w:hAnsi="宋体" w:eastAsia="宋体"/>
                <w:sz w:val="16"/>
              </w:rPr>
              <w:t>96.47%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177D4B">
            <w:pPr>
              <w:jc w:val="center"/>
            </w:pPr>
            <w:r>
              <w:rPr>
                <w:rFonts w:ascii="宋体" w:hAnsi="宋体" w:eastAsia="宋体"/>
                <w:sz w:val="16"/>
              </w:rPr>
              <w:t>9.65</w:t>
            </w:r>
          </w:p>
        </w:tc>
      </w:tr>
      <w:tr w14:paraId="63726B6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F41C41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5D9EBB">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758CB9">
            <w:pPr>
              <w:jc w:val="center"/>
            </w:pPr>
            <w:r>
              <w:rPr>
                <w:rFonts w:ascii="宋体" w:hAnsi="宋体" w:eastAsia="宋体"/>
                <w:sz w:val="16"/>
              </w:rPr>
              <w:t>100.00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CF235D">
            <w:pPr>
              <w:jc w:val="center"/>
            </w:pPr>
            <w:r>
              <w:rPr>
                <w:rFonts w:ascii="宋体" w:hAnsi="宋体" w:eastAsia="宋体"/>
                <w:sz w:val="16"/>
              </w:rPr>
              <w:t>100.00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37CFAD">
            <w:pPr>
              <w:jc w:val="center"/>
            </w:pPr>
            <w:r>
              <w:rPr>
                <w:rFonts w:ascii="宋体" w:hAnsi="宋体" w:eastAsia="宋体"/>
                <w:sz w:val="16"/>
              </w:rPr>
              <w:t>100.00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E06B3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58010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8BB01F">
            <w:pPr>
              <w:jc w:val="center"/>
            </w:pPr>
            <w:r>
              <w:rPr>
                <w:rFonts w:ascii="宋体" w:hAnsi="宋体" w:eastAsia="宋体"/>
                <w:sz w:val="16"/>
              </w:rPr>
              <w:t>—</w:t>
            </w:r>
          </w:p>
        </w:tc>
      </w:tr>
      <w:tr w14:paraId="189187E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58D0AB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09D599">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403F78">
            <w:pPr>
              <w:jc w:val="center"/>
            </w:pPr>
            <w:r>
              <w:rPr>
                <w:rFonts w:ascii="宋体" w:hAnsi="宋体" w:eastAsia="宋体"/>
                <w:sz w:val="16"/>
              </w:rPr>
              <w:t>179.42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FF4D77">
            <w:pPr>
              <w:jc w:val="center"/>
            </w:pPr>
            <w:r>
              <w:rPr>
                <w:rFonts w:ascii="宋体" w:hAnsi="宋体" w:eastAsia="宋体"/>
                <w:sz w:val="16"/>
              </w:rPr>
              <w:t>280.26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697D9F">
            <w:pPr>
              <w:jc w:val="center"/>
            </w:pPr>
            <w:r>
              <w:rPr>
                <w:rFonts w:ascii="宋体" w:hAnsi="宋体" w:eastAsia="宋体"/>
                <w:sz w:val="16"/>
              </w:rPr>
              <w:t>266.83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D35E9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775AC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F0E81A">
            <w:pPr>
              <w:jc w:val="center"/>
            </w:pPr>
            <w:r>
              <w:rPr>
                <w:rFonts w:ascii="宋体" w:hAnsi="宋体" w:eastAsia="宋体"/>
                <w:sz w:val="16"/>
              </w:rPr>
              <w:t>—</w:t>
            </w:r>
          </w:p>
        </w:tc>
      </w:tr>
      <w:tr w14:paraId="7EEC898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9EC0E4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F4BCEE">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D5E2C4">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8419DD">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D81554">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18069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3A448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7C7ACC">
            <w:pPr>
              <w:jc w:val="center"/>
            </w:pPr>
            <w:r>
              <w:rPr>
                <w:rFonts w:ascii="宋体" w:hAnsi="宋体" w:eastAsia="宋体"/>
                <w:sz w:val="16"/>
              </w:rPr>
              <w:t>—</w:t>
            </w:r>
          </w:p>
        </w:tc>
      </w:tr>
      <w:tr w14:paraId="737463E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EF6830">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5807855">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BBD2A6D">
            <w:pPr>
              <w:jc w:val="center"/>
            </w:pPr>
            <w:r>
              <w:rPr>
                <w:rFonts w:ascii="宋体" w:hAnsi="宋体" w:eastAsia="宋体"/>
                <w:sz w:val="16"/>
              </w:rPr>
              <w:t>实际完成情况</w:t>
            </w:r>
          </w:p>
        </w:tc>
      </w:tr>
      <w:tr w14:paraId="03A7091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B4B4520"/>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C84CCCF">
            <w:pPr>
              <w:jc w:val="both"/>
            </w:pPr>
            <w:r>
              <w:rPr>
                <w:rFonts w:ascii="宋体" w:hAnsi="宋体" w:eastAsia="宋体"/>
                <w:sz w:val="16"/>
              </w:rPr>
              <w:t>确保在职人员的工资、津贴、补贴、社保、医保、公积金等以及离退休人员的工资、医疗费，长期临聘人员生活补助等人员保障性经费能够依规、按时、足额发放或缴纳，提升部门人员工作积极性和服务质量；保障部门日常运转，为部门正常履职和开展综合性事务管理提供有效支撑，确保冬季取暖费、车辆维护费等公用保障性经费按照财政安排和相关工作要求及时支出；防范和化解政府债务风险是全市重要任务之一，为了转变全县经济发展方式，促进经济持续健康发展，本部门高度重视，进行全面、真实、准确的报送数据，确保本单位政府债务监测统计工作，充分利用现有资源，以最小的成本</w:t>
            </w:r>
            <w:r>
              <w:rPr>
                <w:rFonts w:hint="eastAsia" w:ascii="宋体" w:hAnsi="宋体"/>
                <w:sz w:val="16"/>
                <w:lang w:eastAsia="zh-CN"/>
              </w:rPr>
              <w:t>最大限度满足</w:t>
            </w:r>
            <w:r>
              <w:rPr>
                <w:rFonts w:ascii="宋体" w:hAnsi="宋体" w:eastAsia="宋体"/>
                <w:sz w:val="16"/>
              </w:rPr>
              <w:t>广大人民群众的救治需求。</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5B6719D">
            <w:pPr>
              <w:jc w:val="both"/>
            </w:pPr>
            <w:r>
              <w:rPr>
                <w:rFonts w:ascii="宋体" w:hAnsi="宋体" w:eastAsia="宋体"/>
                <w:sz w:val="16"/>
              </w:rPr>
              <w:t>确保了在职人员7人和退休人员6人的工资、津贴、补贴、社保、医保、公积金等人员保障性经费能够依规、按时、足额发放或缴纳，提升部门人员工作积极性和服务质量；加强单位的社会主义民主法制建设和精神文明建设；加强民族团结维护社会稳定。培训农民人数235人，培训技能类型4种，提高农民职业技能水平。</w:t>
            </w:r>
          </w:p>
        </w:tc>
      </w:tr>
      <w:tr w14:paraId="36C165B1">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C613A9">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6F238D">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33C09B">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AC6109">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A53F43">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A1A3AA">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EAF690">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2A6846">
            <w:pPr>
              <w:jc w:val="center"/>
            </w:pPr>
            <w:r>
              <w:rPr>
                <w:rFonts w:ascii="宋体" w:hAnsi="宋体" w:eastAsia="宋体"/>
                <w:sz w:val="16"/>
              </w:rPr>
              <w:t>得分</w:t>
            </w:r>
          </w:p>
        </w:tc>
      </w:tr>
      <w:tr w14:paraId="078DB93C">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6D68B6">
            <w:pPr>
              <w:jc w:val="center"/>
            </w:pPr>
            <w:r>
              <w:rPr>
                <w:rFonts w:ascii="宋体" w:hAnsi="宋体" w:eastAsia="宋体"/>
                <w:sz w:val="16"/>
              </w:rPr>
              <w:t>运行成本</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0C64DB">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0844DB">
            <w:pPr>
              <w:jc w:val="center"/>
            </w:pPr>
            <w:r>
              <w:rPr>
                <w:rFonts w:ascii="宋体" w:hAnsi="宋体" w:eastAsia="宋体"/>
                <w:sz w:val="16"/>
              </w:rPr>
              <w:t>在职人员工资福利支出预算保障人数（人）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CA0681">
            <w:pPr>
              <w:jc w:val="center"/>
            </w:pPr>
            <w:r>
              <w:rPr>
                <w:rFonts w:ascii="宋体" w:hAnsi="宋体" w:eastAsia="宋体"/>
                <w:sz w:val="16"/>
              </w:rPr>
              <w:t>&gt;=7人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13473A">
            <w:pPr>
              <w:jc w:val="center"/>
            </w:pPr>
            <w:r>
              <w:rPr>
                <w:rFonts w:ascii="宋体" w:hAnsi="宋体" w:eastAsia="宋体"/>
                <w:sz w:val="16"/>
              </w:rPr>
              <w:t>年度末工资册汇总表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C7D3DF">
            <w:pPr>
              <w:jc w:val="center"/>
            </w:pPr>
            <w:r>
              <w:rPr>
                <w:rFonts w:ascii="宋体" w:hAnsi="宋体" w:eastAsia="宋体"/>
                <w:sz w:val="16"/>
              </w:rPr>
              <w:t>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BBC878">
            <w:pPr>
              <w:jc w:val="center"/>
            </w:pPr>
            <w:r>
              <w:rPr>
                <w:rFonts w:ascii="宋体" w:hAnsi="宋体" w:eastAsia="宋体"/>
                <w:sz w:val="16"/>
              </w:rPr>
              <w:t>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34738E">
            <w:pPr>
              <w:jc w:val="center"/>
            </w:pPr>
            <w:r>
              <w:rPr>
                <w:rFonts w:ascii="宋体" w:hAnsi="宋体" w:eastAsia="宋体"/>
                <w:sz w:val="16"/>
              </w:rPr>
              <w:t>6</w:t>
            </w:r>
          </w:p>
        </w:tc>
      </w:tr>
      <w:tr w14:paraId="4D05950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BB6DBF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AE67E6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665377">
            <w:pPr>
              <w:jc w:val="center"/>
            </w:pPr>
            <w:r>
              <w:rPr>
                <w:rFonts w:ascii="宋体" w:hAnsi="宋体" w:eastAsia="宋体"/>
                <w:sz w:val="16"/>
              </w:rPr>
              <w:t>退休人员工资福利支出预算保障人数（人）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99AF70">
            <w:pPr>
              <w:jc w:val="center"/>
            </w:pPr>
            <w:r>
              <w:rPr>
                <w:rFonts w:ascii="宋体" w:hAnsi="宋体" w:eastAsia="宋体"/>
                <w:sz w:val="16"/>
              </w:rPr>
              <w:t>&gt;=7人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8CA7FF">
            <w:pPr>
              <w:jc w:val="center"/>
            </w:pPr>
            <w:r>
              <w:rPr>
                <w:rFonts w:ascii="宋体" w:hAnsi="宋体" w:eastAsia="宋体"/>
                <w:sz w:val="16"/>
              </w:rPr>
              <w:t>年度末工资册汇总表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7A4CA8">
            <w:pPr>
              <w:jc w:val="center"/>
            </w:pPr>
            <w:r>
              <w:rPr>
                <w:rFonts w:ascii="宋体" w:hAnsi="宋体" w:eastAsia="宋体"/>
                <w:sz w:val="16"/>
              </w:rPr>
              <w:t>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921E4F">
            <w:pPr>
              <w:jc w:val="center"/>
            </w:pPr>
            <w:r>
              <w:rPr>
                <w:rFonts w:ascii="宋体" w:hAnsi="宋体" w:eastAsia="宋体"/>
                <w:sz w:val="16"/>
              </w:rPr>
              <w:t>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6C685A">
            <w:pPr>
              <w:jc w:val="center"/>
            </w:pPr>
            <w:r>
              <w:rPr>
                <w:rFonts w:ascii="宋体" w:hAnsi="宋体" w:eastAsia="宋体"/>
                <w:sz w:val="16"/>
              </w:rPr>
              <w:t>5.14</w:t>
            </w:r>
          </w:p>
        </w:tc>
      </w:tr>
      <w:tr w14:paraId="11B5659F">
        <w:tblPrEx>
          <w:tblCellMar>
            <w:top w:w="0" w:type="dxa"/>
            <w:left w:w="108" w:type="dxa"/>
            <w:bottom w:w="0" w:type="dxa"/>
            <w:right w:w="108" w:type="dxa"/>
          </w:tblCellMar>
        </w:tblPrEx>
        <w:trPr>
          <w:trHeight w:val="1186" w:hRule="atLeast"/>
        </w:trPr>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4755D0A"/>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953C36">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D8C4AD">
            <w:pPr>
              <w:jc w:val="center"/>
            </w:pPr>
            <w:r>
              <w:rPr>
                <w:rFonts w:ascii="宋体" w:hAnsi="宋体" w:eastAsia="宋体"/>
                <w:sz w:val="16"/>
              </w:rPr>
              <w:t>人员保障性资金支出控制数（万元）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2D9FE1">
            <w:pPr>
              <w:jc w:val="center"/>
            </w:pPr>
            <w:r>
              <w:rPr>
                <w:rFonts w:ascii="宋体" w:hAnsi="宋体" w:eastAsia="宋体"/>
                <w:sz w:val="16"/>
              </w:rPr>
              <w:t>&lt;=171.81万元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F5653C">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CC85A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E67D67">
            <w:pPr>
              <w:jc w:val="center"/>
            </w:pPr>
            <w:r>
              <w:rPr>
                <w:rFonts w:ascii="宋体" w:hAnsi="宋体" w:eastAsia="宋体"/>
                <w:sz w:val="16"/>
              </w:rPr>
              <w:t>179.03万元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B69908">
            <w:pPr>
              <w:jc w:val="center"/>
            </w:pPr>
            <w:r>
              <w:rPr>
                <w:rFonts w:ascii="宋体" w:hAnsi="宋体" w:eastAsia="宋体"/>
                <w:sz w:val="16"/>
              </w:rPr>
              <w:t>9.6</w:t>
            </w:r>
          </w:p>
        </w:tc>
      </w:tr>
      <w:tr w14:paraId="11772A4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1AF444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32C3F1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9A90B1">
            <w:pPr>
              <w:jc w:val="center"/>
            </w:pPr>
            <w:r>
              <w:rPr>
                <w:rFonts w:ascii="宋体" w:hAnsi="宋体" w:eastAsia="宋体"/>
                <w:sz w:val="16"/>
              </w:rPr>
              <w:t>公用经费支出控制数（万元）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E25D50">
            <w:pPr>
              <w:jc w:val="center"/>
            </w:pPr>
            <w:r>
              <w:rPr>
                <w:rFonts w:ascii="宋体" w:hAnsi="宋体" w:eastAsia="宋体"/>
                <w:sz w:val="16"/>
              </w:rPr>
              <w:t>&lt;=7.60万元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F3CAB6">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4AA87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D30C4B">
            <w:pPr>
              <w:jc w:val="center"/>
            </w:pPr>
            <w:r>
              <w:rPr>
                <w:rFonts w:ascii="宋体" w:hAnsi="宋体" w:eastAsia="宋体"/>
                <w:sz w:val="16"/>
              </w:rPr>
              <w:t>3.25万元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DCFEFF">
            <w:pPr>
              <w:jc w:val="center"/>
            </w:pPr>
            <w:r>
              <w:rPr>
                <w:rFonts w:ascii="宋体" w:hAnsi="宋体" w:eastAsia="宋体"/>
                <w:sz w:val="16"/>
              </w:rPr>
              <w:t>4.28</w:t>
            </w:r>
          </w:p>
        </w:tc>
      </w:tr>
      <w:tr w14:paraId="2085803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C8D3C29"/>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5A0E3E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435B54">
            <w:pPr>
              <w:jc w:val="center"/>
            </w:pPr>
            <w:r>
              <w:rPr>
                <w:rFonts w:ascii="宋体" w:hAnsi="宋体" w:eastAsia="宋体"/>
                <w:sz w:val="16"/>
              </w:rPr>
              <w:t>项目年初预算控制数（万元）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8D5080">
            <w:pPr>
              <w:jc w:val="center"/>
            </w:pPr>
            <w:r>
              <w:rPr>
                <w:rFonts w:ascii="宋体" w:hAnsi="宋体" w:eastAsia="宋体"/>
                <w:sz w:val="16"/>
              </w:rPr>
              <w:t>&lt;=100万元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49B195">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10BE9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717509">
            <w:pPr>
              <w:jc w:val="center"/>
            </w:pPr>
            <w:r>
              <w:rPr>
                <w:rFonts w:ascii="宋体" w:hAnsi="宋体" w:eastAsia="宋体"/>
                <w:sz w:val="16"/>
              </w:rPr>
              <w:t>184.55万元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6D833A">
            <w:pPr>
              <w:jc w:val="center"/>
            </w:pPr>
            <w:r>
              <w:rPr>
                <w:rFonts w:ascii="宋体" w:hAnsi="宋体" w:eastAsia="宋体"/>
                <w:sz w:val="16"/>
              </w:rPr>
              <w:t>5.4</w:t>
            </w:r>
          </w:p>
        </w:tc>
      </w:tr>
      <w:tr w14:paraId="7944DE9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701129B"/>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3EBDD9">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C93782">
            <w:pPr>
              <w:jc w:val="center"/>
            </w:pPr>
            <w:r>
              <w:rPr>
                <w:rFonts w:ascii="宋体" w:hAnsi="宋体" w:eastAsia="宋体"/>
                <w:sz w:val="16"/>
              </w:rPr>
              <w:t>在职人员空置率（%）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0172FC">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7F39B1">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7A5889">
            <w:pPr>
              <w:jc w:val="center"/>
            </w:pPr>
            <w:r>
              <w:rPr>
                <w:rFonts w:ascii="宋体" w:hAnsi="宋体" w:eastAsia="宋体"/>
                <w:sz w:val="16"/>
              </w:rPr>
              <w:t>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FCC29E">
            <w:pPr>
              <w:jc w:val="center"/>
            </w:pPr>
            <w:r>
              <w:rPr>
                <w:rFonts w:ascii="宋体" w:hAnsi="宋体" w:eastAsia="宋体"/>
                <w:sz w:val="16"/>
              </w:rPr>
              <w:t>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F9E61E">
            <w:pPr>
              <w:jc w:val="center"/>
            </w:pPr>
            <w:r>
              <w:rPr>
                <w:rFonts w:ascii="宋体" w:hAnsi="宋体" w:eastAsia="宋体"/>
                <w:sz w:val="16"/>
              </w:rPr>
              <w:t>6</w:t>
            </w:r>
          </w:p>
        </w:tc>
      </w:tr>
      <w:tr w14:paraId="7FA46B1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F47FBC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2E4EBE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E6B25F">
            <w:pPr>
              <w:jc w:val="center"/>
            </w:pPr>
            <w:r>
              <w:rPr>
                <w:rFonts w:ascii="宋体" w:hAnsi="宋体" w:eastAsia="宋体"/>
                <w:sz w:val="16"/>
              </w:rPr>
              <w:t>资金使用合规率（%）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4FC09F">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161F6E">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24BF36">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7A4AC5">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079B7C">
            <w:pPr>
              <w:jc w:val="center"/>
            </w:pPr>
            <w:r>
              <w:rPr>
                <w:rFonts w:ascii="宋体" w:hAnsi="宋体" w:eastAsia="宋体"/>
                <w:sz w:val="16"/>
              </w:rPr>
              <w:t>5</w:t>
            </w:r>
          </w:p>
        </w:tc>
      </w:tr>
      <w:tr w14:paraId="68340E9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96B3DA">
            <w:pPr>
              <w:jc w:val="center"/>
            </w:pPr>
            <w:r>
              <w:rPr>
                <w:rFonts w:ascii="宋体" w:hAnsi="宋体" w:eastAsia="宋体"/>
                <w:sz w:val="16"/>
              </w:rPr>
              <w:t>管理效率</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DBD6A3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2B55DF">
            <w:pPr>
              <w:jc w:val="center"/>
            </w:pPr>
            <w:r>
              <w:rPr>
                <w:rFonts w:ascii="宋体" w:hAnsi="宋体" w:eastAsia="宋体"/>
                <w:sz w:val="16"/>
              </w:rPr>
              <w:t>培训农民人数（人）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188918">
            <w:pPr>
              <w:jc w:val="center"/>
            </w:pPr>
            <w:r>
              <w:rPr>
                <w:rFonts w:ascii="宋体" w:hAnsi="宋体" w:eastAsia="宋体"/>
                <w:sz w:val="16"/>
              </w:rPr>
              <w:t>&gt;=275人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FA58A2">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19686E">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79E58E">
            <w:pPr>
              <w:jc w:val="center"/>
            </w:pPr>
            <w:r>
              <w:rPr>
                <w:rFonts w:ascii="宋体" w:hAnsi="宋体" w:eastAsia="宋体"/>
                <w:sz w:val="16"/>
              </w:rPr>
              <w:t>235人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959663">
            <w:pPr>
              <w:jc w:val="center"/>
            </w:pPr>
            <w:r>
              <w:rPr>
                <w:rFonts w:ascii="宋体" w:hAnsi="宋体" w:eastAsia="宋体"/>
                <w:sz w:val="16"/>
              </w:rPr>
              <w:t>6.84</w:t>
            </w:r>
          </w:p>
        </w:tc>
      </w:tr>
      <w:tr w14:paraId="04C544D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88961B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3DBD69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B2FA37">
            <w:pPr>
              <w:jc w:val="center"/>
            </w:pPr>
            <w:r>
              <w:rPr>
                <w:rFonts w:ascii="宋体" w:hAnsi="宋体" w:eastAsia="宋体"/>
                <w:sz w:val="16"/>
              </w:rPr>
              <w:t>培训技能类型（种）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07796F">
            <w:pPr>
              <w:jc w:val="center"/>
            </w:pPr>
            <w:r>
              <w:rPr>
                <w:rFonts w:ascii="宋体" w:hAnsi="宋体" w:eastAsia="宋体"/>
                <w:sz w:val="16"/>
              </w:rPr>
              <w:t>=4种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F3207D">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D2C354">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906D33">
            <w:pPr>
              <w:jc w:val="center"/>
            </w:pPr>
            <w:r>
              <w:rPr>
                <w:rFonts w:ascii="宋体" w:hAnsi="宋体" w:eastAsia="宋体"/>
                <w:sz w:val="16"/>
              </w:rPr>
              <w:t>4种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B44D9E">
            <w:pPr>
              <w:jc w:val="center"/>
            </w:pPr>
            <w:r>
              <w:rPr>
                <w:rFonts w:ascii="宋体" w:hAnsi="宋体" w:eastAsia="宋体"/>
                <w:sz w:val="16"/>
              </w:rPr>
              <w:t>8</w:t>
            </w:r>
          </w:p>
        </w:tc>
      </w:tr>
      <w:tr w14:paraId="21612E2F">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FED256">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DC3B1A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EFBF5A">
            <w:pPr>
              <w:jc w:val="center"/>
            </w:pPr>
            <w:r>
              <w:rPr>
                <w:rFonts w:ascii="宋体" w:hAnsi="宋体" w:eastAsia="宋体"/>
                <w:sz w:val="16"/>
              </w:rPr>
              <w:t>提高农民职业技能水平</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49D4BA">
            <w:pPr>
              <w:jc w:val="center"/>
            </w:pPr>
            <w:r>
              <w:rPr>
                <w:rFonts w:ascii="宋体" w:hAnsi="宋体" w:eastAsia="宋体"/>
                <w:sz w:val="16"/>
              </w:rPr>
              <w:t>提高</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8F9FB9">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DE796F">
            <w:pPr>
              <w:jc w:val="center"/>
            </w:pPr>
            <w:r>
              <w:rPr>
                <w:rFonts w:ascii="宋体" w:hAnsi="宋体" w:eastAsia="宋体"/>
                <w:sz w:val="16"/>
              </w:rPr>
              <w:t>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901760">
            <w:pPr>
              <w:jc w:val="center"/>
            </w:pPr>
            <w:r>
              <w:rPr>
                <w:rFonts w:ascii="宋体" w:hAnsi="宋体" w:eastAsia="宋体"/>
                <w:sz w:val="16"/>
              </w:rPr>
              <w:t>提高</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48AA47">
            <w:pPr>
              <w:jc w:val="center"/>
            </w:pPr>
            <w:r>
              <w:rPr>
                <w:rFonts w:ascii="宋体" w:hAnsi="宋体" w:eastAsia="宋体"/>
                <w:sz w:val="16"/>
              </w:rPr>
              <w:t>6</w:t>
            </w:r>
          </w:p>
        </w:tc>
      </w:tr>
      <w:tr w14:paraId="17D9C023">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78AE5C">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0A9B62">
            <w:pPr>
              <w:jc w:val="center"/>
            </w:pPr>
            <w:r>
              <w:rPr>
                <w:rFonts w:ascii="宋体" w:hAnsi="宋体" w:eastAsia="宋体"/>
                <w:sz w:val="16"/>
              </w:rPr>
              <w:t>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704932">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C0407F">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837626">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021E14">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C3A255">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A9AD4C">
            <w:pPr>
              <w:jc w:val="center"/>
            </w:pPr>
            <w:r>
              <w:rPr>
                <w:rFonts w:ascii="宋体" w:hAnsi="宋体" w:eastAsia="宋体"/>
                <w:sz w:val="16"/>
              </w:rPr>
              <w:t>5</w:t>
            </w:r>
          </w:p>
        </w:tc>
      </w:tr>
      <w:tr w14:paraId="231D4548">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DACF1F">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5EDF92">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148FAA">
            <w:pPr>
              <w:jc w:val="center"/>
            </w:pPr>
            <w:r>
              <w:rPr>
                <w:rFonts w:ascii="宋体" w:hAnsi="宋体" w:eastAsia="宋体"/>
                <w:sz w:val="16"/>
              </w:rPr>
              <w:t>社会公众对本部门履职效果的满意度（%）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DAE6C0">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8F4AFD">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7A3061">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E6113C">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B0FCF5">
            <w:pPr>
              <w:jc w:val="center"/>
            </w:pPr>
            <w:r>
              <w:rPr>
                <w:rFonts w:ascii="宋体" w:hAnsi="宋体" w:eastAsia="宋体"/>
                <w:sz w:val="16"/>
              </w:rPr>
              <w:t>5</w:t>
            </w:r>
          </w:p>
        </w:tc>
      </w:tr>
      <w:tr w14:paraId="7E78C31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4005B85"/>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BB1179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F63BC4">
            <w:pPr>
              <w:jc w:val="center"/>
            </w:pPr>
            <w:r>
              <w:rPr>
                <w:rFonts w:ascii="宋体" w:hAnsi="宋体" w:eastAsia="宋体"/>
                <w:sz w:val="16"/>
              </w:rPr>
              <w:t>在职人员的满意度（%）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068FC6">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42E2AE">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69C50A">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69FED2">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645AC2">
            <w:pPr>
              <w:jc w:val="center"/>
            </w:pPr>
            <w:r>
              <w:rPr>
                <w:rFonts w:ascii="宋体" w:hAnsi="宋体" w:eastAsia="宋体"/>
                <w:sz w:val="16"/>
              </w:rPr>
              <w:t>5</w:t>
            </w:r>
          </w:p>
        </w:tc>
      </w:tr>
    </w:tbl>
    <w:p w14:paraId="55612F40">
      <w:r>
        <w:br w:type="page"/>
      </w:r>
    </w:p>
    <w:p w14:paraId="19AC47B7">
      <w:pPr>
        <w:spacing w:line="640" w:lineRule="exact"/>
        <w:ind w:firstLine="640"/>
        <w:jc w:val="both"/>
        <w:outlineLvl w:val="2"/>
      </w:pPr>
      <w:r>
        <w:rPr>
          <w:rFonts w:ascii="黑体" w:hAnsi="黑体" w:eastAsia="黑体"/>
          <w:sz w:val="32"/>
        </w:rPr>
        <w:t>十二、其他需说明的事项</w:t>
      </w:r>
    </w:p>
    <w:p w14:paraId="5B317D52">
      <w:pPr>
        <w:spacing w:line="580" w:lineRule="exact"/>
        <w:ind w:firstLine="640"/>
        <w:jc w:val="both"/>
      </w:pPr>
      <w:r>
        <w:rPr>
          <w:rFonts w:ascii="仿宋_GB2312" w:hAnsi="仿宋_GB2312" w:eastAsia="仿宋_GB2312"/>
          <w:b w:val="0"/>
          <w:sz w:val="32"/>
        </w:rPr>
        <w:t>本单位无其他需说明的事项。</w:t>
      </w:r>
    </w:p>
    <w:p w14:paraId="36501457">
      <w:r>
        <w:br w:type="page"/>
      </w:r>
    </w:p>
    <w:p w14:paraId="1991BA0F">
      <w:pPr>
        <w:spacing w:line="240" w:lineRule="auto"/>
        <w:jc w:val="center"/>
        <w:outlineLvl w:val="1"/>
      </w:pPr>
      <w:r>
        <w:rPr>
          <w:rFonts w:ascii="黑体" w:hAnsi="黑体" w:eastAsia="黑体"/>
          <w:sz w:val="32"/>
        </w:rPr>
        <w:t>第三部分 专业名词解释</w:t>
      </w:r>
    </w:p>
    <w:p w14:paraId="66113AE2">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55E3FCD">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2A62384">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8645E62">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75E8E4B">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FE462DD">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0DCBAE5">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8A2876F">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092AB0B">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9FA7F40">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4EB87B3">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88006D6">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DCC38C8">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FFC6012">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CAAB5DF">
      <w:r>
        <w:br w:type="page"/>
      </w:r>
    </w:p>
    <w:p w14:paraId="05C0D3BA">
      <w:pPr>
        <w:spacing w:line="240" w:lineRule="auto"/>
        <w:jc w:val="center"/>
        <w:outlineLvl w:val="1"/>
      </w:pPr>
      <w:r>
        <w:rPr>
          <w:rFonts w:ascii="黑体" w:hAnsi="黑体" w:eastAsia="黑体"/>
          <w:sz w:val="32"/>
        </w:rPr>
        <w:t>第四部分 部门决算报表（见附表）</w:t>
      </w:r>
    </w:p>
    <w:p w14:paraId="7A61CCA2">
      <w:pPr>
        <w:spacing w:line="240" w:lineRule="auto"/>
        <w:ind w:firstLine="640"/>
        <w:jc w:val="both"/>
      </w:pPr>
      <w:r>
        <w:rPr>
          <w:rFonts w:ascii="仿宋_GB2312" w:hAnsi="仿宋_GB2312" w:eastAsia="仿宋_GB2312"/>
          <w:b w:val="0"/>
          <w:sz w:val="32"/>
        </w:rPr>
        <w:t>一、《收入支出决算总表》</w:t>
      </w:r>
    </w:p>
    <w:p w14:paraId="68A4A1AC">
      <w:pPr>
        <w:spacing w:line="240" w:lineRule="auto"/>
        <w:ind w:firstLine="640"/>
        <w:jc w:val="both"/>
      </w:pPr>
      <w:r>
        <w:rPr>
          <w:rFonts w:ascii="仿宋_GB2312" w:hAnsi="仿宋_GB2312" w:eastAsia="仿宋_GB2312"/>
          <w:b w:val="0"/>
          <w:sz w:val="32"/>
        </w:rPr>
        <w:t>二、《收入决算表》</w:t>
      </w:r>
    </w:p>
    <w:p w14:paraId="6DE812EB">
      <w:pPr>
        <w:spacing w:line="240" w:lineRule="auto"/>
        <w:ind w:firstLine="640"/>
        <w:jc w:val="both"/>
      </w:pPr>
      <w:r>
        <w:rPr>
          <w:rFonts w:ascii="仿宋_GB2312" w:hAnsi="仿宋_GB2312" w:eastAsia="仿宋_GB2312"/>
          <w:b w:val="0"/>
          <w:sz w:val="32"/>
        </w:rPr>
        <w:t>三、《支出决算表》</w:t>
      </w:r>
    </w:p>
    <w:p w14:paraId="127B8E5A">
      <w:pPr>
        <w:spacing w:line="240" w:lineRule="auto"/>
        <w:ind w:firstLine="640"/>
        <w:jc w:val="both"/>
      </w:pPr>
      <w:r>
        <w:rPr>
          <w:rFonts w:ascii="仿宋_GB2312" w:hAnsi="仿宋_GB2312" w:eastAsia="仿宋_GB2312"/>
          <w:b w:val="0"/>
          <w:sz w:val="32"/>
        </w:rPr>
        <w:t>四、《财政拨款收入支出决算总表》</w:t>
      </w:r>
    </w:p>
    <w:p w14:paraId="6D8C1FE3">
      <w:pPr>
        <w:spacing w:line="240" w:lineRule="auto"/>
        <w:ind w:firstLine="640"/>
        <w:jc w:val="both"/>
      </w:pPr>
      <w:r>
        <w:rPr>
          <w:rFonts w:ascii="仿宋_GB2312" w:hAnsi="仿宋_GB2312" w:eastAsia="仿宋_GB2312"/>
          <w:b w:val="0"/>
          <w:sz w:val="32"/>
        </w:rPr>
        <w:t>五、《一般公共预算财政拨款支出决算表》</w:t>
      </w:r>
    </w:p>
    <w:p w14:paraId="1B5B2ADF">
      <w:pPr>
        <w:spacing w:line="240" w:lineRule="auto"/>
        <w:ind w:firstLine="640"/>
        <w:jc w:val="both"/>
      </w:pPr>
      <w:r>
        <w:rPr>
          <w:rFonts w:ascii="仿宋_GB2312" w:hAnsi="仿宋_GB2312" w:eastAsia="仿宋_GB2312"/>
          <w:b w:val="0"/>
          <w:sz w:val="32"/>
        </w:rPr>
        <w:t>六、《一般公共预算财政拨款基本支出决算表》</w:t>
      </w:r>
    </w:p>
    <w:p w14:paraId="4816ECE6">
      <w:pPr>
        <w:spacing w:line="240" w:lineRule="auto"/>
        <w:ind w:firstLine="640"/>
        <w:jc w:val="both"/>
      </w:pPr>
      <w:r>
        <w:rPr>
          <w:rFonts w:ascii="仿宋_GB2312" w:hAnsi="仿宋_GB2312" w:eastAsia="仿宋_GB2312"/>
          <w:b w:val="0"/>
          <w:sz w:val="32"/>
        </w:rPr>
        <w:t>七、《政府性基金预算财政拨款收入支出决算表》</w:t>
      </w:r>
    </w:p>
    <w:p w14:paraId="13C46FF3">
      <w:pPr>
        <w:spacing w:line="240" w:lineRule="auto"/>
        <w:ind w:firstLine="640"/>
        <w:jc w:val="both"/>
      </w:pPr>
      <w:r>
        <w:rPr>
          <w:rFonts w:ascii="仿宋_GB2312" w:hAnsi="仿宋_GB2312" w:eastAsia="仿宋_GB2312"/>
          <w:b w:val="0"/>
          <w:sz w:val="32"/>
        </w:rPr>
        <w:t>八、《国有资本经营预算财政拨款收入支出决算表》</w:t>
      </w:r>
    </w:p>
    <w:p w14:paraId="4BC9FAA0">
      <w:pPr>
        <w:spacing w:line="240" w:lineRule="auto"/>
        <w:ind w:firstLine="640"/>
        <w:jc w:val="both"/>
      </w:pPr>
      <w:r>
        <w:rPr>
          <w:rFonts w:ascii="仿宋_GB2312" w:hAnsi="仿宋_GB2312" w:eastAsia="仿宋_GB2312"/>
          <w:b w:val="0"/>
          <w:sz w:val="32"/>
        </w:rPr>
        <w:t>九、《财政拨款“三公”经费支出决算表》</w:t>
      </w:r>
    </w:p>
    <w:p w14:paraId="1D72128D">
      <w:pPr>
        <w:spacing w:line="240" w:lineRule="auto"/>
        <w:ind w:firstLine="640"/>
        <w:jc w:val="both"/>
      </w:pPr>
    </w:p>
    <w:p w14:paraId="3C526224">
      <w:pPr>
        <w:spacing w:line="240" w:lineRule="auto"/>
        <w:ind w:firstLine="640"/>
        <w:jc w:val="both"/>
      </w:pPr>
    </w:p>
    <w:p w14:paraId="0E673291">
      <w:pPr>
        <w:spacing w:line="240" w:lineRule="auto"/>
        <w:ind w:firstLine="640"/>
        <w:jc w:val="both"/>
      </w:pPr>
    </w:p>
    <w:p w14:paraId="40931D29">
      <w:pPr>
        <w:spacing w:line="240" w:lineRule="auto"/>
        <w:ind w:firstLine="640"/>
        <w:jc w:val="both"/>
      </w:pPr>
    </w:p>
    <w:p w14:paraId="144F20B7">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0A7706"/>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571C3A"/>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4377</Words>
  <Characters>5060</Characters>
  <Lines>0</Lines>
  <Paragraphs>0</Paragraphs>
  <TotalTime>2</TotalTime>
  <ScaleCrop>false</ScaleCrop>
  <LinksUpToDate>false</LinksUpToDate>
  <CharactersWithSpaces>5068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2025-09-15T08:17:12Z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