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阿克陶县皮拉勒乡中心幼儿园2024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E2EB3B">
      <w:r>
        <w:br w:type="page"/>
      </w:r>
    </w:p>
    <w:p w14:paraId="26E051FD">
      <w:pPr>
        <w:spacing w:line="640" w:lineRule="exact"/>
        <w:jc w:val="center"/>
        <w:outlineLvl w:val="1"/>
      </w:pPr>
      <w:r>
        <w:rPr>
          <w:rFonts w:ascii="黑体" w:hAnsi="黑体" w:eastAsia="黑体"/>
          <w:sz w:val="32"/>
        </w:rPr>
        <w:t>第一部分 单位概况</w:t>
      </w:r>
    </w:p>
    <w:p w14:paraId="19651E7B">
      <w:pPr>
        <w:spacing w:line="640" w:lineRule="exact"/>
        <w:ind w:firstLine="640"/>
        <w:jc w:val="both"/>
        <w:outlineLvl w:val="2"/>
      </w:pPr>
      <w:r>
        <w:rPr>
          <w:rFonts w:ascii="黑体" w:hAnsi="黑体" w:eastAsia="黑体"/>
          <w:sz w:val="32"/>
        </w:rPr>
        <w:t>一、主要职能</w:t>
      </w:r>
    </w:p>
    <w:p w14:paraId="65A5EE3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03285CD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6E5F537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2DED872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4A2B967B">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6FCAC3D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26D3B710">
      <w:pPr>
        <w:spacing w:line="640" w:lineRule="exact"/>
        <w:ind w:firstLine="640"/>
        <w:jc w:val="both"/>
        <w:outlineLvl w:val="2"/>
      </w:pPr>
      <w:r>
        <w:rPr>
          <w:rFonts w:ascii="黑体" w:hAnsi="黑体" w:eastAsia="黑体"/>
          <w:sz w:val="32"/>
        </w:rPr>
        <w:t>二、机构设置及人员情况</w:t>
      </w:r>
    </w:p>
    <w:p w14:paraId="1E193ECB">
      <w:pPr>
        <w:spacing w:line="580" w:lineRule="exact"/>
        <w:ind w:firstLine="640"/>
        <w:jc w:val="both"/>
      </w:pPr>
      <w:r>
        <w:rPr>
          <w:rFonts w:ascii="仿宋_GB2312" w:hAnsi="仿宋_GB2312" w:eastAsia="仿宋_GB2312"/>
          <w:sz w:val="32"/>
        </w:rPr>
        <w:t>阿克陶县皮拉勒乡中心幼儿园2024年度，实有人数268人，其中：在职人员263人，减少4人；离休人员0人，增加0人；退休人员5人,增加4人。</w:t>
      </w:r>
    </w:p>
    <w:p w14:paraId="1C521B26">
      <w:pPr>
        <w:spacing w:line="580" w:lineRule="exact"/>
        <w:ind w:firstLine="640"/>
        <w:jc w:val="both"/>
      </w:pPr>
      <w:r>
        <w:rPr>
          <w:rFonts w:ascii="仿宋_GB2312" w:hAnsi="仿宋_GB2312" w:eastAsia="仿宋_GB2312"/>
          <w:sz w:val="32"/>
        </w:rPr>
        <w:t>阿克陶县皮拉勒乡中心幼儿园无下属预算单位，下设7个科室，分别是：党建办、书记办公室、园长办公室、教务处、德育办公室、财务室、教师办公室。</w:t>
      </w:r>
    </w:p>
    <w:p w14:paraId="433B36ED">
      <w:r>
        <w:br w:type="page"/>
      </w:r>
    </w:p>
    <w:p w14:paraId="637A8569">
      <w:pPr>
        <w:spacing w:line="240" w:lineRule="auto"/>
        <w:jc w:val="center"/>
        <w:outlineLvl w:val="1"/>
      </w:pPr>
      <w:r>
        <w:rPr>
          <w:rFonts w:ascii="黑体" w:hAnsi="黑体" w:eastAsia="黑体"/>
          <w:sz w:val="32"/>
        </w:rPr>
        <w:t>第二部分 部门决算情况说明</w:t>
      </w:r>
    </w:p>
    <w:p w14:paraId="27B0CC93">
      <w:pPr>
        <w:spacing w:line="640" w:lineRule="exact"/>
        <w:ind w:firstLine="640"/>
        <w:jc w:val="both"/>
        <w:outlineLvl w:val="2"/>
      </w:pPr>
      <w:r>
        <w:rPr>
          <w:rFonts w:ascii="黑体" w:hAnsi="黑体" w:eastAsia="黑体"/>
          <w:sz w:val="32"/>
        </w:rPr>
        <w:t>一、收入支出决算总体情况说明</w:t>
      </w:r>
    </w:p>
    <w:p w14:paraId="6B6B7047">
      <w:pPr>
        <w:spacing w:line="580" w:lineRule="exact"/>
        <w:ind w:firstLine="640"/>
        <w:jc w:val="both"/>
      </w:pPr>
      <w:r>
        <w:rPr>
          <w:rFonts w:ascii="仿宋_GB2312" w:hAnsi="仿宋_GB2312" w:eastAsia="仿宋_GB2312"/>
          <w:b/>
          <w:sz w:val="32"/>
        </w:rPr>
        <w:t>2024年度收入总计5,517.58万元，</w:t>
      </w:r>
      <w:r>
        <w:rPr>
          <w:rFonts w:ascii="仿宋_GB2312" w:hAnsi="仿宋_GB2312" w:eastAsia="仿宋_GB2312"/>
          <w:b w:val="0"/>
          <w:sz w:val="32"/>
        </w:rPr>
        <w:t>其中：本年收入合计5,516.53万元，使用非财政拨款结余（含专用结余）0.00万元，年初结转和结余1.05万元。</w:t>
      </w:r>
    </w:p>
    <w:p w14:paraId="2F8DC272">
      <w:pPr>
        <w:spacing w:line="580" w:lineRule="exact"/>
        <w:ind w:firstLine="640"/>
        <w:jc w:val="both"/>
      </w:pPr>
      <w:r>
        <w:rPr>
          <w:rFonts w:ascii="仿宋_GB2312" w:hAnsi="仿宋_GB2312" w:eastAsia="仿宋_GB2312"/>
          <w:b/>
          <w:sz w:val="32"/>
        </w:rPr>
        <w:t>2024年度支出总计5,517.58万元，</w:t>
      </w:r>
      <w:r>
        <w:rPr>
          <w:rFonts w:ascii="仿宋_GB2312" w:hAnsi="仿宋_GB2312" w:eastAsia="仿宋_GB2312"/>
          <w:b w:val="0"/>
          <w:sz w:val="32"/>
        </w:rPr>
        <w:t>其中：本年支出合计5,516.53万元，结余分配0.00万元，年末结转和结余1.05万元。</w:t>
      </w:r>
    </w:p>
    <w:p w14:paraId="2EAC01A3">
      <w:pPr>
        <w:spacing w:line="580" w:lineRule="exact"/>
        <w:ind w:firstLine="640"/>
        <w:jc w:val="both"/>
      </w:pPr>
      <w:r>
        <w:rPr>
          <w:rFonts w:ascii="仿宋_GB2312" w:hAnsi="仿宋_GB2312" w:eastAsia="仿宋_GB2312"/>
          <w:b w:val="0"/>
          <w:sz w:val="32"/>
        </w:rPr>
        <w:t>收入支出总体与上年相比，减少134.51万元，下降2.38%，主要原因是：学生数量</w:t>
      </w:r>
      <w:r>
        <w:rPr>
          <w:rFonts w:hint="eastAsia" w:ascii="仿宋_GB2312" w:hAnsi="仿宋_GB2312" w:eastAsia="仿宋_GB2312"/>
          <w:b w:val="0"/>
          <w:sz w:val="32"/>
          <w:lang w:val="en-US" w:eastAsia="zh-CN"/>
        </w:rPr>
        <w:t>减少，</w:t>
      </w:r>
      <w:r>
        <w:rPr>
          <w:rFonts w:ascii="仿宋_GB2312" w:hAnsi="仿宋_GB2312" w:eastAsia="仿宋_GB2312"/>
          <w:b w:val="0"/>
          <w:sz w:val="32"/>
        </w:rPr>
        <w:t>导致本年减少取暖费及伙食费、公用经费。</w:t>
      </w:r>
    </w:p>
    <w:p w14:paraId="77A3E1CA">
      <w:pPr>
        <w:spacing w:line="640" w:lineRule="exact"/>
        <w:ind w:firstLine="640"/>
        <w:jc w:val="both"/>
        <w:outlineLvl w:val="2"/>
      </w:pPr>
      <w:r>
        <w:rPr>
          <w:rFonts w:ascii="黑体" w:hAnsi="黑体" w:eastAsia="黑体"/>
          <w:sz w:val="32"/>
        </w:rPr>
        <w:t>二、收入决算情况说明</w:t>
      </w:r>
    </w:p>
    <w:p w14:paraId="2C6922A2">
      <w:pPr>
        <w:spacing w:line="580" w:lineRule="exact"/>
        <w:ind w:firstLine="640"/>
        <w:jc w:val="both"/>
      </w:pPr>
      <w:r>
        <w:rPr>
          <w:rFonts w:ascii="仿宋_GB2312" w:hAnsi="仿宋_GB2312" w:eastAsia="仿宋_GB2312"/>
          <w:b/>
          <w:sz w:val="32"/>
        </w:rPr>
        <w:t>本年收入5,516.53万元，</w:t>
      </w:r>
      <w:r>
        <w:rPr>
          <w:rFonts w:ascii="仿宋_GB2312" w:hAnsi="仿宋_GB2312" w:eastAsia="仿宋_GB2312"/>
          <w:b w:val="0"/>
          <w:sz w:val="32"/>
        </w:rPr>
        <w:t>其中：财政拨款收入5,516.53万元，占100.00%；上级补助收入0.00万元，占0.00%；事业收入0.00万元，占0.00%；经营收入0.00万元，占0.00%；附属单位上缴收入0.00万元，占0.00%；其他收入0.00万元，占0.00%。</w:t>
      </w:r>
    </w:p>
    <w:p w14:paraId="108EB8D6">
      <w:pPr>
        <w:spacing w:line="640" w:lineRule="exact"/>
        <w:ind w:firstLine="640"/>
        <w:jc w:val="both"/>
        <w:outlineLvl w:val="2"/>
      </w:pPr>
      <w:r>
        <w:rPr>
          <w:rFonts w:ascii="黑体" w:hAnsi="黑体" w:eastAsia="黑体"/>
          <w:sz w:val="32"/>
        </w:rPr>
        <w:t>三、支出决算情况说明</w:t>
      </w:r>
    </w:p>
    <w:p w14:paraId="5B12E4EE">
      <w:pPr>
        <w:spacing w:line="580" w:lineRule="exact"/>
        <w:ind w:firstLine="640"/>
        <w:jc w:val="both"/>
      </w:pPr>
      <w:r>
        <w:rPr>
          <w:rFonts w:ascii="仿宋_GB2312" w:hAnsi="仿宋_GB2312" w:eastAsia="仿宋_GB2312"/>
          <w:b/>
          <w:sz w:val="32"/>
        </w:rPr>
        <w:t>本年支出5,516.53万元，</w:t>
      </w:r>
      <w:r>
        <w:rPr>
          <w:rFonts w:ascii="仿宋_GB2312" w:hAnsi="仿宋_GB2312" w:eastAsia="仿宋_GB2312"/>
          <w:b w:val="0"/>
          <w:sz w:val="32"/>
        </w:rPr>
        <w:t>其中：基本支出5,234.70万元，占94.89%；项目支出281.83万元，占5.11%；上缴上级支出0.00万元，占0.00%；经营支出0.00万元，占0.00%；对附属单位补助支出0.00万元，占0.00%。</w:t>
      </w:r>
    </w:p>
    <w:p w14:paraId="7C19E85B">
      <w:pPr>
        <w:spacing w:line="640" w:lineRule="exact"/>
        <w:ind w:firstLine="640"/>
        <w:jc w:val="both"/>
        <w:outlineLvl w:val="2"/>
      </w:pPr>
      <w:r>
        <w:rPr>
          <w:rFonts w:ascii="黑体" w:hAnsi="黑体" w:eastAsia="黑体"/>
          <w:sz w:val="32"/>
        </w:rPr>
        <w:t>四、财政拨款收入支出决算总体情况说明</w:t>
      </w:r>
    </w:p>
    <w:p w14:paraId="323B4750">
      <w:pPr>
        <w:spacing w:line="580" w:lineRule="exact"/>
        <w:ind w:firstLine="640"/>
        <w:jc w:val="both"/>
      </w:pPr>
      <w:r>
        <w:rPr>
          <w:rFonts w:ascii="仿宋_GB2312" w:hAnsi="仿宋_GB2312" w:eastAsia="仿宋_GB2312"/>
          <w:b/>
          <w:sz w:val="32"/>
        </w:rPr>
        <w:t>2024年度财政拨款收入总计5,516.53万元，</w:t>
      </w:r>
      <w:r>
        <w:rPr>
          <w:rFonts w:ascii="仿宋_GB2312" w:hAnsi="仿宋_GB2312" w:eastAsia="仿宋_GB2312"/>
          <w:b w:val="0"/>
          <w:sz w:val="32"/>
        </w:rPr>
        <w:t>其中：年初财政拨款结转和结余0.00万元，本年财政拨款收入5,516.53万元。</w:t>
      </w:r>
      <w:r>
        <w:rPr>
          <w:rFonts w:ascii="仿宋_GB2312" w:hAnsi="仿宋_GB2312" w:eastAsia="仿宋_GB2312"/>
          <w:b/>
          <w:sz w:val="32"/>
        </w:rPr>
        <w:t>财政拨款支出总计5,516.53万元，</w:t>
      </w:r>
      <w:r>
        <w:rPr>
          <w:rFonts w:ascii="仿宋_GB2312" w:hAnsi="仿宋_GB2312" w:eastAsia="仿宋_GB2312"/>
          <w:b w:val="0"/>
          <w:sz w:val="32"/>
        </w:rPr>
        <w:t>其中：年末财政拨款结转和结余0.00万元，本年财政拨款支出5,516.53万元。</w:t>
      </w:r>
    </w:p>
    <w:p w14:paraId="6212D8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减少133.01万元，下降2.35%，主要原因是：学生数量</w:t>
      </w:r>
      <w:r>
        <w:rPr>
          <w:rFonts w:hint="eastAsia" w:ascii="仿宋_GB2312" w:hAnsi="仿宋_GB2312" w:eastAsia="仿宋_GB2312"/>
          <w:b w:val="0"/>
          <w:sz w:val="32"/>
          <w:lang w:val="en-US" w:eastAsia="zh-CN"/>
        </w:rPr>
        <w:t>减少，</w:t>
      </w:r>
      <w:r>
        <w:rPr>
          <w:rFonts w:ascii="仿宋_GB2312" w:hAnsi="仿宋_GB2312" w:eastAsia="仿宋_GB2312"/>
          <w:b w:val="0"/>
          <w:sz w:val="32"/>
        </w:rPr>
        <w:t>导致本年减少取暖费及伙食费、公用经费。</w:t>
      </w:r>
      <w:r>
        <w:rPr>
          <w:rFonts w:ascii="仿宋_GB2312" w:hAnsi="仿宋_GB2312" w:eastAsia="仿宋_GB2312"/>
          <w:b/>
          <w:sz w:val="32"/>
        </w:rPr>
        <w:t>与年初预算相比，</w:t>
      </w:r>
      <w:r>
        <w:rPr>
          <w:rFonts w:ascii="仿宋_GB2312" w:hAnsi="仿宋_GB2312" w:eastAsia="仿宋_GB2312"/>
          <w:b w:val="0"/>
          <w:sz w:val="32"/>
        </w:rPr>
        <w:t>年初预算数5,417.88万元，决算数5,516.53万元，预决算差异率1.82%，主要原因是：年中追加人员工资、社保、公积金基数调增部分资金，导致预决算存在差异。</w:t>
      </w:r>
    </w:p>
    <w:p w14:paraId="59FB9180">
      <w:pPr>
        <w:spacing w:line="640" w:lineRule="exact"/>
        <w:ind w:firstLine="640"/>
        <w:jc w:val="both"/>
        <w:outlineLvl w:val="2"/>
      </w:pPr>
      <w:r>
        <w:rPr>
          <w:rFonts w:ascii="黑体" w:hAnsi="黑体" w:eastAsia="黑体"/>
          <w:sz w:val="32"/>
        </w:rPr>
        <w:t>五、一般公共预算财政拨款支出决算情况说明</w:t>
      </w:r>
    </w:p>
    <w:p w14:paraId="72B24A1F">
      <w:pPr>
        <w:spacing w:line="640" w:lineRule="exact"/>
        <w:ind w:firstLine="640"/>
        <w:jc w:val="both"/>
        <w:outlineLvl w:val="3"/>
      </w:pPr>
      <w:r>
        <w:rPr>
          <w:rFonts w:ascii="楷体_GB2312" w:hAnsi="楷体_GB2312" w:eastAsia="楷体_GB2312"/>
          <w:b/>
          <w:sz w:val="32"/>
        </w:rPr>
        <w:t>（一）一般公共预算财政拨款支出决算总体情况</w:t>
      </w:r>
    </w:p>
    <w:p w14:paraId="73DEB5F7">
      <w:pPr>
        <w:spacing w:line="580" w:lineRule="exact"/>
        <w:ind w:firstLine="640"/>
        <w:jc w:val="both"/>
      </w:pPr>
      <w:r>
        <w:rPr>
          <w:rFonts w:ascii="仿宋_GB2312" w:hAnsi="仿宋_GB2312" w:eastAsia="仿宋_GB2312"/>
          <w:b/>
          <w:sz w:val="32"/>
        </w:rPr>
        <w:t>2024年度一般公共预算财政拨款支出5,516.53万元，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减少133.01万元，下降2.35%，主要原因是：学生数量</w:t>
      </w:r>
      <w:r>
        <w:rPr>
          <w:rFonts w:hint="eastAsia" w:ascii="仿宋_GB2312" w:hAnsi="仿宋_GB2312" w:eastAsia="仿宋_GB2312"/>
          <w:b w:val="0"/>
          <w:sz w:val="32"/>
          <w:lang w:val="en-US" w:eastAsia="zh-CN"/>
        </w:rPr>
        <w:t>减少，</w:t>
      </w:r>
      <w:r>
        <w:rPr>
          <w:rFonts w:ascii="仿宋_GB2312" w:hAnsi="仿宋_GB2312" w:eastAsia="仿宋_GB2312"/>
          <w:b w:val="0"/>
          <w:sz w:val="32"/>
        </w:rPr>
        <w:t>导致本年减少取暖费及伙食费、公用经费。</w:t>
      </w:r>
      <w:r>
        <w:rPr>
          <w:rFonts w:ascii="仿宋_GB2312" w:hAnsi="仿宋_GB2312" w:eastAsia="仿宋_GB2312"/>
          <w:b/>
          <w:sz w:val="32"/>
        </w:rPr>
        <w:t>与年初预算相比,</w:t>
      </w:r>
      <w:r>
        <w:rPr>
          <w:rFonts w:ascii="仿宋_GB2312" w:hAnsi="仿宋_GB2312" w:eastAsia="仿宋_GB2312"/>
          <w:b w:val="0"/>
          <w:sz w:val="32"/>
        </w:rPr>
        <w:t>年初预算数5,417.88万元，决算数5,516.53万元，预决算差异率1.82%，主要原因是：年中追加人员工资、社保、公积金基数调增部分资金，导致预决算存在差异。</w:t>
      </w:r>
    </w:p>
    <w:p w14:paraId="7A18C9B5">
      <w:pPr>
        <w:spacing w:line="640" w:lineRule="exact"/>
        <w:ind w:firstLine="640"/>
        <w:jc w:val="both"/>
        <w:outlineLvl w:val="3"/>
      </w:pPr>
      <w:r>
        <w:rPr>
          <w:rFonts w:ascii="楷体_GB2312" w:hAnsi="楷体_GB2312" w:eastAsia="楷体_GB2312"/>
          <w:b/>
          <w:sz w:val="32"/>
        </w:rPr>
        <w:t>（二）一般公共预算财政拨款支出决算结构情况</w:t>
      </w:r>
    </w:p>
    <w:p w14:paraId="6BB0D7F1">
      <w:pPr>
        <w:spacing w:line="580" w:lineRule="exact"/>
        <w:ind w:firstLine="640"/>
        <w:jc w:val="both"/>
      </w:pPr>
      <w:r>
        <w:rPr>
          <w:rFonts w:ascii="仿宋_GB2312" w:hAnsi="仿宋_GB2312" w:eastAsia="仿宋_GB2312"/>
          <w:b w:val="0"/>
          <w:sz w:val="32"/>
        </w:rPr>
        <w:t>1.教育支出(类)5,516.53万元,占100.00%。</w:t>
      </w:r>
    </w:p>
    <w:p w14:paraId="6E29750A">
      <w:pPr>
        <w:spacing w:line="640" w:lineRule="exact"/>
        <w:ind w:firstLine="640"/>
        <w:jc w:val="both"/>
        <w:outlineLvl w:val="3"/>
      </w:pPr>
      <w:r>
        <w:rPr>
          <w:rFonts w:ascii="楷体_GB2312" w:hAnsi="楷体_GB2312" w:eastAsia="楷体_GB2312"/>
          <w:b/>
          <w:sz w:val="32"/>
        </w:rPr>
        <w:t>（三）一般公共预算财政拨款支出决算具体情况</w:t>
      </w:r>
    </w:p>
    <w:p w14:paraId="1EEC82EF">
      <w:pPr>
        <w:spacing w:line="580" w:lineRule="exact"/>
        <w:ind w:firstLine="640"/>
        <w:jc w:val="both"/>
      </w:pPr>
      <w:r>
        <w:rPr>
          <w:rFonts w:ascii="仿宋_GB2312" w:hAnsi="仿宋_GB2312" w:eastAsia="仿宋_GB2312"/>
          <w:b w:val="0"/>
          <w:sz w:val="32"/>
        </w:rPr>
        <w:t>1.教育支出(类)普通教育(款)学前教育(项):支出决算数为5,516.53万元，比上年决算增加345.33万元，增长6.68%,主要原因是：在职人员工资调增，相关人员经费增加；本年功能科目调整，养老保险缴费上年度单独列支，本年调整至主科目列支，导致经费较上年增加；本年增加2024年新疆西藏等地区学前三年保障经费。</w:t>
      </w:r>
    </w:p>
    <w:p w14:paraId="4144B80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478.34万元，下降100.00%,主要原因是：本年功能科目调整，养老保险缴费上年度单独列支，本年调整至主科目列支，导致经费较上年减少。</w:t>
      </w:r>
    </w:p>
    <w:p w14:paraId="73508911">
      <w:pPr>
        <w:spacing w:line="640" w:lineRule="exact"/>
        <w:ind w:firstLine="640"/>
        <w:jc w:val="both"/>
        <w:outlineLvl w:val="2"/>
      </w:pPr>
      <w:r>
        <w:rPr>
          <w:rFonts w:ascii="黑体" w:hAnsi="黑体" w:eastAsia="黑体"/>
          <w:sz w:val="32"/>
        </w:rPr>
        <w:t>六、一般公共预算财政拨款基本支出决算情况说明</w:t>
      </w:r>
    </w:p>
    <w:p w14:paraId="5F34E623">
      <w:pPr>
        <w:spacing w:line="580" w:lineRule="exact"/>
        <w:ind w:firstLine="640"/>
        <w:jc w:val="both"/>
      </w:pPr>
      <w:r>
        <w:rPr>
          <w:rFonts w:ascii="仿宋_GB2312" w:hAnsi="仿宋_GB2312" w:eastAsia="仿宋_GB2312"/>
          <w:b w:val="0"/>
          <w:sz w:val="32"/>
        </w:rPr>
        <w:t>2024年度一般公共预算财政拨款基本支出5,234.70万元，其中：</w:t>
      </w:r>
      <w:r>
        <w:rPr>
          <w:rFonts w:ascii="仿宋_GB2312" w:hAnsi="仿宋_GB2312" w:eastAsia="仿宋_GB2312"/>
          <w:b/>
          <w:sz w:val="32"/>
        </w:rPr>
        <w:t>人员经费5,234.70万元，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39EB140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D9550D3">
      <w:pPr>
        <w:spacing w:line="640" w:lineRule="exact"/>
        <w:ind w:firstLine="640"/>
        <w:jc w:val="both"/>
        <w:outlineLvl w:val="2"/>
      </w:pPr>
      <w:r>
        <w:rPr>
          <w:rFonts w:ascii="黑体" w:hAnsi="黑体" w:eastAsia="黑体"/>
          <w:sz w:val="32"/>
        </w:rPr>
        <w:t>七、政府性基金预算财政拨款收入支出决算情况说明</w:t>
      </w:r>
    </w:p>
    <w:p w14:paraId="49389F3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7385E3">
      <w:pPr>
        <w:spacing w:line="640" w:lineRule="exact"/>
        <w:ind w:firstLine="640"/>
        <w:jc w:val="both"/>
        <w:outlineLvl w:val="2"/>
      </w:pPr>
      <w:r>
        <w:rPr>
          <w:rFonts w:ascii="黑体" w:hAnsi="黑体" w:eastAsia="黑体"/>
          <w:sz w:val="32"/>
        </w:rPr>
        <w:t>八、国有资本经营预算财政拨款收入支出决算情况说明</w:t>
      </w:r>
    </w:p>
    <w:p w14:paraId="6DF76DE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C9C283">
      <w:pPr>
        <w:spacing w:line="640" w:lineRule="exact"/>
        <w:ind w:firstLine="640"/>
        <w:jc w:val="both"/>
        <w:outlineLvl w:val="2"/>
      </w:pPr>
      <w:r>
        <w:rPr>
          <w:rFonts w:ascii="黑体" w:hAnsi="黑体" w:eastAsia="黑体"/>
          <w:sz w:val="32"/>
        </w:rPr>
        <w:t>九、财政拨款“三公”经费支出决算情况说明</w:t>
      </w:r>
    </w:p>
    <w:p w14:paraId="11EBF80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64FB941">
      <w:pPr>
        <w:spacing w:line="580" w:lineRule="exact"/>
        <w:ind w:firstLine="640"/>
        <w:jc w:val="both"/>
      </w:pPr>
      <w:r>
        <w:rPr>
          <w:rFonts w:ascii="仿宋_GB2312" w:hAnsi="仿宋_GB2312" w:eastAsia="仿宋_GB2312"/>
          <w:b/>
          <w:sz w:val="32"/>
        </w:rPr>
        <w:t>具体情况如下：</w:t>
      </w:r>
    </w:p>
    <w:p w14:paraId="033B8E7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71ED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6B32F2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03F80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3045876">
      <w:pPr>
        <w:spacing w:line="640" w:lineRule="exact"/>
        <w:ind w:firstLine="640"/>
        <w:jc w:val="both"/>
        <w:outlineLvl w:val="2"/>
      </w:pPr>
      <w:r>
        <w:rPr>
          <w:rFonts w:ascii="黑体" w:hAnsi="黑体" w:eastAsia="黑体"/>
          <w:sz w:val="32"/>
        </w:rPr>
        <w:t>十、其他重要事项的情况说明</w:t>
      </w:r>
    </w:p>
    <w:p w14:paraId="27C99563">
      <w:pPr>
        <w:spacing w:line="640" w:lineRule="exact"/>
        <w:ind w:firstLine="640"/>
        <w:jc w:val="both"/>
        <w:outlineLvl w:val="3"/>
      </w:pPr>
      <w:r>
        <w:rPr>
          <w:rFonts w:ascii="楷体_GB2312" w:hAnsi="楷体_GB2312" w:eastAsia="楷体_GB2312"/>
          <w:b/>
          <w:sz w:val="32"/>
        </w:rPr>
        <w:t>（一）机关运行经费及公用经费支出情况</w:t>
      </w:r>
    </w:p>
    <w:p w14:paraId="4F62CC4D">
      <w:pPr>
        <w:spacing w:line="580" w:lineRule="exact"/>
        <w:ind w:firstLine="640"/>
        <w:jc w:val="both"/>
      </w:pPr>
      <w:r>
        <w:rPr>
          <w:rFonts w:ascii="仿宋_GB2312" w:hAnsi="仿宋_GB2312" w:eastAsia="仿宋_GB2312"/>
          <w:b w:val="0"/>
          <w:sz w:val="32"/>
        </w:rPr>
        <w:t>2024年度阿克陶县皮拉勒乡中心幼儿园（事业单位）公用经费支出0.00万元，比上年增加0.00万元，增长0.00%，主要原因是：2023年与2024年均未安排公用经费支出。</w:t>
      </w:r>
    </w:p>
    <w:p w14:paraId="40B2817E">
      <w:pPr>
        <w:spacing w:line="640" w:lineRule="exact"/>
        <w:ind w:firstLine="640"/>
        <w:jc w:val="both"/>
        <w:outlineLvl w:val="3"/>
      </w:pPr>
      <w:r>
        <w:rPr>
          <w:rFonts w:ascii="楷体_GB2312" w:hAnsi="楷体_GB2312" w:eastAsia="楷体_GB2312"/>
          <w:b/>
          <w:sz w:val="32"/>
        </w:rPr>
        <w:t>（二）政府采购情况</w:t>
      </w:r>
    </w:p>
    <w:p w14:paraId="7BA57871">
      <w:pPr>
        <w:spacing w:line="580" w:lineRule="exact"/>
        <w:ind w:firstLine="640"/>
        <w:jc w:val="both"/>
      </w:pPr>
      <w:r>
        <w:rPr>
          <w:rFonts w:ascii="仿宋_GB2312" w:hAnsi="仿宋_GB2312" w:eastAsia="仿宋_GB2312"/>
          <w:b w:val="0"/>
          <w:sz w:val="32"/>
        </w:rPr>
        <w:t>2024年度政府采购支出总额5.17万元，其中：政府采购货物支出1.63万元、政府采购工程支出0.00万元、政府采购服务支出3.55万元。</w:t>
      </w:r>
    </w:p>
    <w:p w14:paraId="35450628">
      <w:pPr>
        <w:spacing w:line="580" w:lineRule="exact"/>
        <w:ind w:firstLine="640"/>
        <w:jc w:val="both"/>
      </w:pPr>
      <w:r>
        <w:rPr>
          <w:rFonts w:ascii="仿宋_GB2312" w:hAnsi="仿宋_GB2312" w:eastAsia="仿宋_GB2312"/>
          <w:b w:val="0"/>
          <w:sz w:val="32"/>
        </w:rPr>
        <w:t>授予中小企业合同金额5.17万元，占政府采购支出总额的100.00%，其中：授予小微企业合同金额5.17万元，占政府采购支出总额的100.00%。</w:t>
      </w:r>
    </w:p>
    <w:p w14:paraId="0022FE17">
      <w:pPr>
        <w:spacing w:line="640" w:lineRule="exact"/>
        <w:ind w:firstLine="640"/>
        <w:jc w:val="both"/>
        <w:outlineLvl w:val="3"/>
      </w:pPr>
      <w:r>
        <w:rPr>
          <w:rFonts w:ascii="楷体_GB2312" w:hAnsi="楷体_GB2312" w:eastAsia="楷体_GB2312"/>
          <w:b/>
          <w:sz w:val="32"/>
        </w:rPr>
        <w:t>（三）国有资产占用情况说明</w:t>
      </w:r>
    </w:p>
    <w:p w14:paraId="34989990">
      <w:pPr>
        <w:spacing w:line="580" w:lineRule="exact"/>
        <w:ind w:firstLine="640"/>
        <w:jc w:val="both"/>
      </w:pPr>
      <w:r>
        <w:rPr>
          <w:rFonts w:ascii="仿宋_GB2312" w:hAnsi="仿宋_GB2312" w:eastAsia="仿宋_GB2312"/>
          <w:b w:val="0"/>
          <w:sz w:val="32"/>
        </w:rPr>
        <w:t>截至2024年12月31日，房屋33,827.81平方米，价值4,108.41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1E75719">
      <w:pPr>
        <w:spacing w:line="640" w:lineRule="exact"/>
        <w:ind w:firstLine="640"/>
        <w:jc w:val="both"/>
        <w:outlineLvl w:val="2"/>
      </w:pPr>
      <w:r>
        <w:rPr>
          <w:rFonts w:ascii="黑体" w:hAnsi="黑体" w:eastAsia="黑体"/>
          <w:sz w:val="32"/>
        </w:rPr>
        <w:t>十一、预算绩效的情况说明</w:t>
      </w:r>
    </w:p>
    <w:p w14:paraId="2C695A3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5,516.58万元，实际执行总额5,516.53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16377770">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1334"/>
        <w:gridCol w:w="774"/>
        <w:gridCol w:w="1613"/>
        <w:gridCol w:w="699"/>
        <w:gridCol w:w="1105"/>
        <w:gridCol w:w="1105"/>
      </w:tblGrid>
      <w:tr w14:paraId="2618F411">
        <w:tblPrEx>
          <w:tblCellMar>
            <w:top w:w="0" w:type="dxa"/>
            <w:left w:w="108" w:type="dxa"/>
            <w:bottom w:w="0" w:type="dxa"/>
            <w:right w:w="108" w:type="dxa"/>
          </w:tblCellMar>
        </w:tblPrEx>
        <w:tc>
          <w:tcPr>
            <w:tcW w:w="8840" w:type="dxa"/>
            <w:gridSpan w:val="8"/>
            <w:vAlign w:val="center"/>
          </w:tcPr>
          <w:p w14:paraId="4CA903F6">
            <w:pPr>
              <w:jc w:val="center"/>
            </w:pPr>
            <w:r>
              <w:rPr>
                <w:rFonts w:ascii="宋体" w:hAnsi="宋体" w:eastAsia="宋体"/>
                <w:sz w:val="24"/>
              </w:rPr>
              <w:t>单位整体支出绩效自评表</w:t>
            </w:r>
          </w:p>
        </w:tc>
      </w:tr>
      <w:tr w14:paraId="667B05BD">
        <w:tblPrEx>
          <w:tblCellMar>
            <w:top w:w="0" w:type="dxa"/>
            <w:left w:w="108" w:type="dxa"/>
            <w:bottom w:w="0" w:type="dxa"/>
            <w:right w:w="108" w:type="dxa"/>
          </w:tblCellMar>
        </w:tblPrEx>
        <w:tc>
          <w:tcPr>
            <w:tcW w:w="8840" w:type="dxa"/>
            <w:gridSpan w:val="8"/>
            <w:vAlign w:val="center"/>
          </w:tcPr>
          <w:p w14:paraId="6B621C64">
            <w:pPr>
              <w:jc w:val="center"/>
            </w:pPr>
            <w:r>
              <w:rPr>
                <w:rFonts w:ascii="宋体" w:hAnsi="宋体" w:eastAsia="宋体"/>
                <w:sz w:val="24"/>
              </w:rPr>
              <w:t>（2024年度）</w:t>
            </w:r>
          </w:p>
        </w:tc>
      </w:tr>
      <w:tr w14:paraId="043FB9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A635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DDD99">
            <w:pPr>
              <w:jc w:val="center"/>
            </w:pPr>
            <w:r>
              <w:rPr>
                <w:rFonts w:ascii="宋体" w:hAnsi="宋体" w:eastAsia="宋体"/>
                <w:sz w:val="16"/>
              </w:rPr>
              <w:t>阿克陶县皮拉勒乡中心幼儿园</w:t>
            </w:r>
          </w:p>
        </w:tc>
      </w:tr>
      <w:tr w14:paraId="2D6BC9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9F82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4A04D">
            <w:pPr>
              <w:jc w:val="center"/>
            </w:pPr>
            <w:r>
              <w:rPr>
                <w:rFonts w:ascii="宋体" w:hAnsi="宋体" w:eastAsia="宋体"/>
                <w:sz w:val="16"/>
              </w:rPr>
              <w:t>资金来源</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6064B4EE">
            <w:pPr>
              <w:jc w:val="center"/>
            </w:pPr>
            <w:r>
              <w:rPr>
                <w:rFonts w:ascii="宋体" w:hAnsi="宋体" w:eastAsia="宋体"/>
                <w:sz w:val="16"/>
              </w:rPr>
              <w:t>年初预算数</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5BB37FE">
            <w:pPr>
              <w:jc w:val="center"/>
            </w:pPr>
            <w:r>
              <w:rPr>
                <w:rFonts w:ascii="宋体" w:hAnsi="宋体" w:eastAsia="宋体"/>
                <w:sz w:val="16"/>
              </w:rPr>
              <w:t>预算数（调整后）</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56219E0A">
            <w:pPr>
              <w:jc w:val="center"/>
            </w:pPr>
            <w:r>
              <w:rPr>
                <w:rFonts w:ascii="宋体" w:hAnsi="宋体" w:eastAsia="宋体"/>
                <w:sz w:val="16"/>
              </w:rPr>
              <w:t>执行数</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7B6DB0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DFD0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AB105">
            <w:pPr>
              <w:jc w:val="center"/>
            </w:pPr>
            <w:r>
              <w:rPr>
                <w:rFonts w:ascii="宋体" w:hAnsi="宋体" w:eastAsia="宋体"/>
                <w:sz w:val="16"/>
              </w:rPr>
              <w:t>得分</w:t>
            </w:r>
          </w:p>
        </w:tc>
      </w:tr>
      <w:tr w14:paraId="0C8B7F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FFBC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6ACD4">
            <w:pPr>
              <w:jc w:val="center"/>
            </w:pPr>
            <w:r>
              <w:rPr>
                <w:rFonts w:ascii="宋体" w:hAnsi="宋体" w:eastAsia="宋体"/>
                <w:sz w:val="16"/>
              </w:rPr>
              <w:t>年度总资金：</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6C85BC63">
            <w:pPr>
              <w:jc w:val="center"/>
            </w:pPr>
            <w:r>
              <w:rPr>
                <w:rFonts w:ascii="宋体" w:hAnsi="宋体" w:eastAsia="宋体"/>
                <w:sz w:val="16"/>
              </w:rPr>
              <w:t>5,367.29</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D9C1849">
            <w:pPr>
              <w:jc w:val="center"/>
            </w:pPr>
            <w:r>
              <w:rPr>
                <w:rFonts w:ascii="宋体" w:hAnsi="宋体" w:eastAsia="宋体"/>
                <w:sz w:val="16"/>
              </w:rPr>
              <w:t>5,516.58</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2FF7200E">
            <w:pPr>
              <w:jc w:val="center"/>
            </w:pPr>
            <w:r>
              <w:rPr>
                <w:rFonts w:ascii="宋体" w:hAnsi="宋体" w:eastAsia="宋体"/>
                <w:sz w:val="16"/>
              </w:rPr>
              <w:t>5,516.53</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5AEF296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DEA17">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A998F">
            <w:pPr>
              <w:jc w:val="center"/>
            </w:pPr>
            <w:r>
              <w:rPr>
                <w:rFonts w:ascii="宋体" w:hAnsi="宋体" w:eastAsia="宋体"/>
                <w:sz w:val="16"/>
              </w:rPr>
              <w:t>10</w:t>
            </w:r>
          </w:p>
        </w:tc>
      </w:tr>
      <w:tr w14:paraId="64BF70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B8F8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45CF7">
            <w:pPr>
              <w:jc w:val="center"/>
            </w:pPr>
            <w:r>
              <w:rPr>
                <w:rFonts w:ascii="宋体" w:hAnsi="宋体" w:eastAsia="宋体"/>
                <w:sz w:val="16"/>
              </w:rPr>
              <w:t>上级资金：</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469916F4">
            <w:pPr>
              <w:jc w:val="center"/>
            </w:pPr>
            <w:r>
              <w:rPr>
                <w:rFonts w:ascii="宋体" w:hAnsi="宋体" w:eastAsia="宋体"/>
                <w:sz w:val="16"/>
              </w:rPr>
              <w:t>0.00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75656C0F">
            <w:pPr>
              <w:jc w:val="center"/>
            </w:pPr>
            <w:r>
              <w:rPr>
                <w:rFonts w:ascii="宋体" w:hAnsi="宋体" w:eastAsia="宋体"/>
                <w:sz w:val="16"/>
              </w:rPr>
              <w:t>0.00</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55574701">
            <w:pPr>
              <w:jc w:val="center"/>
            </w:pPr>
            <w:r>
              <w:rPr>
                <w:rFonts w:ascii="宋体" w:hAnsi="宋体" w:eastAsia="宋体"/>
                <w:sz w:val="16"/>
              </w:rPr>
              <w:t>0.00</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B9A0C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A59C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72802">
            <w:pPr>
              <w:jc w:val="center"/>
            </w:pPr>
            <w:r>
              <w:rPr>
                <w:rFonts w:ascii="宋体" w:hAnsi="宋体" w:eastAsia="宋体"/>
                <w:sz w:val="16"/>
              </w:rPr>
              <w:t>—</w:t>
            </w:r>
          </w:p>
        </w:tc>
      </w:tr>
      <w:tr w14:paraId="4EE331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F707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52CE2">
            <w:pPr>
              <w:jc w:val="center"/>
            </w:pPr>
            <w:r>
              <w:rPr>
                <w:rFonts w:ascii="宋体" w:hAnsi="宋体" w:eastAsia="宋体"/>
                <w:sz w:val="16"/>
              </w:rPr>
              <w:t>本级资金：</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038A586E">
            <w:pPr>
              <w:jc w:val="center"/>
            </w:pPr>
            <w:r>
              <w:rPr>
                <w:rFonts w:ascii="宋体" w:hAnsi="宋体" w:eastAsia="宋体"/>
                <w:sz w:val="16"/>
              </w:rPr>
              <w:t>5,367.29</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FC2F1B4">
            <w:pPr>
              <w:jc w:val="center"/>
            </w:pPr>
            <w:r>
              <w:rPr>
                <w:rFonts w:ascii="宋体" w:hAnsi="宋体" w:eastAsia="宋体"/>
                <w:sz w:val="16"/>
              </w:rPr>
              <w:t>5,516.58</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15885650">
            <w:pPr>
              <w:jc w:val="center"/>
            </w:pPr>
            <w:r>
              <w:rPr>
                <w:rFonts w:ascii="宋体" w:hAnsi="宋体" w:eastAsia="宋体"/>
                <w:sz w:val="16"/>
              </w:rPr>
              <w:t>5,516.53</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57787B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704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AC6C4">
            <w:pPr>
              <w:jc w:val="center"/>
            </w:pPr>
            <w:r>
              <w:rPr>
                <w:rFonts w:ascii="宋体" w:hAnsi="宋体" w:eastAsia="宋体"/>
                <w:sz w:val="16"/>
              </w:rPr>
              <w:t>—</w:t>
            </w:r>
          </w:p>
        </w:tc>
      </w:tr>
      <w:tr w14:paraId="5BA7C9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8126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74AAF">
            <w:pPr>
              <w:jc w:val="center"/>
            </w:pPr>
            <w:r>
              <w:rPr>
                <w:rFonts w:ascii="宋体" w:hAnsi="宋体" w:eastAsia="宋体"/>
                <w:sz w:val="16"/>
              </w:rPr>
              <w:t>其他资金：</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5E78F398">
            <w:pPr>
              <w:jc w:val="center"/>
            </w:pPr>
            <w:r>
              <w:rPr>
                <w:rFonts w:ascii="宋体" w:hAnsi="宋体" w:eastAsia="宋体"/>
                <w:sz w:val="16"/>
              </w:rPr>
              <w:t>0.00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AA407F2">
            <w:pPr>
              <w:jc w:val="center"/>
            </w:pPr>
            <w:r>
              <w:rPr>
                <w:rFonts w:ascii="宋体" w:hAnsi="宋体" w:eastAsia="宋体"/>
                <w:sz w:val="16"/>
              </w:rPr>
              <w:t>0.00</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5DDD8776">
            <w:pPr>
              <w:jc w:val="center"/>
            </w:pPr>
            <w:r>
              <w:rPr>
                <w:rFonts w:ascii="宋体" w:hAnsi="宋体" w:eastAsia="宋体"/>
                <w:sz w:val="16"/>
              </w:rPr>
              <w:t>0.00</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6EFBB4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828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8B23C">
            <w:pPr>
              <w:jc w:val="center"/>
            </w:pPr>
            <w:r>
              <w:rPr>
                <w:rFonts w:ascii="宋体" w:hAnsi="宋体" w:eastAsia="宋体"/>
                <w:sz w:val="16"/>
              </w:rPr>
              <w:t>—</w:t>
            </w:r>
          </w:p>
        </w:tc>
      </w:tr>
      <w:tr w14:paraId="472954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49D9B">
            <w:pPr>
              <w:jc w:val="center"/>
            </w:pPr>
            <w:r>
              <w:rPr>
                <w:rFonts w:ascii="宋体" w:hAnsi="宋体" w:eastAsia="宋体"/>
                <w:sz w:val="16"/>
              </w:rPr>
              <w:t>年度总体目标</w:t>
            </w:r>
          </w:p>
        </w:tc>
        <w:tc>
          <w:tcPr>
            <w:tcW w:w="321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ED4FFD">
            <w:pPr>
              <w:jc w:val="center"/>
            </w:pPr>
            <w:r>
              <w:rPr>
                <w:rFonts w:ascii="宋体" w:hAnsi="宋体" w:eastAsia="宋体"/>
                <w:sz w:val="16"/>
              </w:rPr>
              <w:t>预期目标</w:t>
            </w:r>
          </w:p>
        </w:tc>
        <w:tc>
          <w:tcPr>
            <w:tcW w:w="452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B2574A">
            <w:pPr>
              <w:jc w:val="center"/>
            </w:pPr>
            <w:r>
              <w:rPr>
                <w:rFonts w:ascii="宋体" w:hAnsi="宋体" w:eastAsia="宋体"/>
                <w:sz w:val="16"/>
              </w:rPr>
              <w:t>实际完成情况</w:t>
            </w:r>
          </w:p>
        </w:tc>
      </w:tr>
      <w:tr w14:paraId="795745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D083F1"/>
        </w:tc>
        <w:tc>
          <w:tcPr>
            <w:tcW w:w="321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DB6904">
            <w:pPr>
              <w:jc w:val="both"/>
            </w:pPr>
            <w:r>
              <w:rPr>
                <w:rFonts w:ascii="宋体" w:hAnsi="宋体" w:eastAsia="宋体"/>
                <w:sz w:val="16"/>
              </w:rPr>
              <w:t>确保在职人员的工资、津贴、补贴、社保、医保、公积金等以及离退休人员的工资、医疗费等人员保障性经费能够依规、按时、足额发放或缴纳，提升部门人员工作积极性和服务质量；保障部门日常运转，为部门正常履职和开展综合性事务管理提供有效支撑。确保冬季取暖费进一步提升我园保教水平，最大程度</w:t>
            </w:r>
            <w:r>
              <w:rPr>
                <w:rFonts w:hint="eastAsia" w:ascii="宋体" w:hAnsi="宋体"/>
                <w:sz w:val="16"/>
                <w:lang w:eastAsia="zh-CN"/>
              </w:rPr>
              <w:t>地</w:t>
            </w:r>
            <w:r>
              <w:rPr>
                <w:rFonts w:ascii="宋体" w:hAnsi="宋体" w:eastAsia="宋体"/>
                <w:sz w:val="16"/>
              </w:rPr>
              <w:t>提高职工专业水平；</w:t>
            </w:r>
          </w:p>
        </w:tc>
        <w:tc>
          <w:tcPr>
            <w:tcW w:w="452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442587">
            <w:pPr>
              <w:jc w:val="both"/>
            </w:pPr>
            <w:r>
              <w:rPr>
                <w:rFonts w:ascii="宋体" w:hAnsi="宋体" w:eastAsia="宋体"/>
                <w:sz w:val="16"/>
              </w:rPr>
              <w:t>确保了在职人员266人的津贴、补贴、社保、医保、公积金等以及医疗费，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449A8C7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5D7B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1DC87">
            <w:pPr>
              <w:jc w:val="center"/>
            </w:pPr>
            <w:r>
              <w:rPr>
                <w:rFonts w:ascii="宋体" w:hAnsi="宋体" w:eastAsia="宋体"/>
                <w:sz w:val="16"/>
              </w:rPr>
              <w:t>二级指标</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6B8E7882">
            <w:pPr>
              <w:jc w:val="center"/>
            </w:pPr>
            <w:r>
              <w:rPr>
                <w:rFonts w:ascii="宋体" w:hAnsi="宋体" w:eastAsia="宋体"/>
                <w:sz w:val="16"/>
              </w:rPr>
              <w:t>三级指标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425AC69">
            <w:pPr>
              <w:jc w:val="center"/>
            </w:pPr>
            <w:r>
              <w:rPr>
                <w:rFonts w:ascii="宋体" w:hAnsi="宋体" w:eastAsia="宋体"/>
                <w:sz w:val="16"/>
              </w:rPr>
              <w:t>指标值</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3FBD321D">
            <w:pPr>
              <w:jc w:val="center"/>
            </w:pPr>
            <w:r>
              <w:rPr>
                <w:rFonts w:ascii="宋体" w:hAnsi="宋体" w:eastAsia="宋体"/>
                <w:sz w:val="16"/>
              </w:rPr>
              <w:t>指标值设定依据</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1C704F8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711C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B6858">
            <w:pPr>
              <w:jc w:val="center"/>
            </w:pPr>
            <w:r>
              <w:rPr>
                <w:rFonts w:ascii="宋体" w:hAnsi="宋体" w:eastAsia="宋体"/>
                <w:sz w:val="16"/>
              </w:rPr>
              <w:t>得分</w:t>
            </w:r>
          </w:p>
        </w:tc>
      </w:tr>
      <w:tr w14:paraId="355E50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EB67A">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46EB1">
            <w:pPr>
              <w:jc w:val="center"/>
            </w:pPr>
            <w:r>
              <w:rPr>
                <w:rFonts w:ascii="宋体" w:hAnsi="宋体" w:eastAsia="宋体"/>
                <w:sz w:val="16"/>
              </w:rPr>
              <w:t>数量指标</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680E4775">
            <w:pPr>
              <w:jc w:val="center"/>
            </w:pPr>
            <w:r>
              <w:rPr>
                <w:rFonts w:ascii="宋体" w:hAnsi="宋体" w:eastAsia="宋体"/>
                <w:sz w:val="16"/>
              </w:rPr>
              <w:t>人员工资福利支出预算保障人数（人）</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9ABAC95">
            <w:pPr>
              <w:jc w:val="center"/>
            </w:pPr>
            <w:r>
              <w:rPr>
                <w:rFonts w:ascii="宋体" w:hAnsi="宋体" w:eastAsia="宋体"/>
                <w:sz w:val="16"/>
              </w:rPr>
              <w:t>&gt;=266人</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71A71641">
            <w:pPr>
              <w:jc w:val="center"/>
            </w:pPr>
            <w:r>
              <w:rPr>
                <w:rFonts w:ascii="宋体" w:hAnsi="宋体" w:eastAsia="宋体"/>
                <w:sz w:val="16"/>
              </w:rPr>
              <w:t>上年度末工资册汇总表\人员编制增减变动的批复文件</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0E7CB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D92AA">
            <w:pPr>
              <w:jc w:val="center"/>
            </w:pPr>
            <w:r>
              <w:rPr>
                <w:rFonts w:ascii="宋体" w:hAnsi="宋体" w:eastAsia="宋体"/>
                <w:sz w:val="16"/>
              </w:rPr>
              <w:t>266人</w:t>
            </w:r>
            <w:bookmarkStart w:id="0" w:name="_GoBack"/>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BD8ED">
            <w:pPr>
              <w:jc w:val="center"/>
            </w:pPr>
            <w:r>
              <w:rPr>
                <w:rFonts w:ascii="宋体" w:hAnsi="宋体" w:eastAsia="宋体"/>
                <w:sz w:val="16"/>
              </w:rPr>
              <w:t>10</w:t>
            </w:r>
          </w:p>
        </w:tc>
      </w:tr>
      <w:tr w14:paraId="7F456B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58952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21E7B">
            <w:pPr>
              <w:jc w:val="center"/>
            </w:pPr>
            <w:r>
              <w:rPr>
                <w:rFonts w:ascii="宋体" w:hAnsi="宋体" w:eastAsia="宋体"/>
                <w:sz w:val="16"/>
              </w:rPr>
              <w:t>成本指标</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5A07E1C2">
            <w:pPr>
              <w:jc w:val="center"/>
            </w:pPr>
            <w:r>
              <w:rPr>
                <w:rFonts w:ascii="宋体" w:hAnsi="宋体" w:eastAsia="宋体"/>
                <w:sz w:val="16"/>
              </w:rPr>
              <w:t>人员保障性资金支出控制数（万元）</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36FB400">
            <w:pPr>
              <w:jc w:val="center"/>
            </w:pPr>
            <w:r>
              <w:rPr>
                <w:rFonts w:ascii="宋体" w:hAnsi="宋体" w:eastAsia="宋体"/>
                <w:sz w:val="16"/>
              </w:rPr>
              <w:t>&lt;=5302.47万元</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630E6F37">
            <w:pPr>
              <w:jc w:val="center"/>
            </w:pPr>
            <w:r>
              <w:rPr>
                <w:rFonts w:ascii="宋体" w:hAnsi="宋体" w:eastAsia="宋体"/>
                <w:sz w:val="16"/>
              </w:rPr>
              <w:t>县委会议批复预算</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B8FDCB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82259">
            <w:pPr>
              <w:jc w:val="center"/>
            </w:pPr>
            <w:r>
              <w:rPr>
                <w:rFonts w:ascii="宋体" w:hAnsi="宋体" w:eastAsia="宋体"/>
                <w:sz w:val="16"/>
              </w:rPr>
              <w:t>5234.7万元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1218C">
            <w:pPr>
              <w:jc w:val="center"/>
            </w:pPr>
            <w:r>
              <w:rPr>
                <w:rFonts w:ascii="宋体" w:hAnsi="宋体" w:eastAsia="宋体"/>
                <w:sz w:val="16"/>
              </w:rPr>
              <w:t>14.8</w:t>
            </w:r>
          </w:p>
        </w:tc>
      </w:tr>
      <w:tr w14:paraId="542187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E1CA5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528F88"/>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246517D0">
            <w:pPr>
              <w:jc w:val="center"/>
            </w:pPr>
            <w:r>
              <w:rPr>
                <w:rFonts w:ascii="宋体" w:hAnsi="宋体" w:eastAsia="宋体"/>
                <w:sz w:val="16"/>
              </w:rPr>
              <w:t>公用经费支出控制数（万元）</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6A17A65">
            <w:pPr>
              <w:jc w:val="center"/>
            </w:pPr>
            <w:r>
              <w:rPr>
                <w:rFonts w:ascii="宋体" w:hAnsi="宋体" w:eastAsia="宋体"/>
                <w:sz w:val="16"/>
              </w:rPr>
              <w:t>&lt;=64.83万元</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31941006">
            <w:pPr>
              <w:jc w:val="center"/>
            </w:pPr>
            <w:r>
              <w:rPr>
                <w:rFonts w:ascii="宋体" w:hAnsi="宋体" w:eastAsia="宋体"/>
                <w:sz w:val="16"/>
              </w:rPr>
              <w:t>县委会议批复预算</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7938E1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C97BC">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D44FD">
            <w:pPr>
              <w:jc w:val="center"/>
            </w:pPr>
            <w:r>
              <w:rPr>
                <w:rFonts w:ascii="宋体" w:hAnsi="宋体" w:eastAsia="宋体"/>
                <w:sz w:val="16"/>
              </w:rPr>
              <w:t>0</w:t>
            </w:r>
          </w:p>
        </w:tc>
      </w:tr>
      <w:tr w14:paraId="669168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70A62">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81976">
            <w:pPr>
              <w:jc w:val="center"/>
            </w:pPr>
            <w:r>
              <w:rPr>
                <w:rFonts w:ascii="宋体" w:hAnsi="宋体" w:eastAsia="宋体"/>
                <w:sz w:val="16"/>
              </w:rPr>
              <w:t>质量指标</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12335FEF">
            <w:pPr>
              <w:jc w:val="center"/>
            </w:pPr>
            <w:r>
              <w:rPr>
                <w:rFonts w:ascii="宋体" w:hAnsi="宋体" w:eastAsia="宋体"/>
                <w:sz w:val="16"/>
              </w:rPr>
              <w:t>适龄儿童入学率（%）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2CFF08D">
            <w:pPr>
              <w:jc w:val="center"/>
            </w:pPr>
            <w:r>
              <w:rPr>
                <w:rFonts w:ascii="宋体" w:hAnsi="宋体" w:eastAsia="宋体"/>
                <w:sz w:val="16"/>
              </w:rPr>
              <w:t>&gt;=98%</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06521BA3">
            <w:pPr>
              <w:jc w:val="center"/>
            </w:pPr>
            <w:r>
              <w:rPr>
                <w:rFonts w:ascii="宋体" w:hAnsi="宋体" w:eastAsia="宋体"/>
                <w:sz w:val="16"/>
              </w:rPr>
              <w:t>地方财政部门文件要求</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121935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C56B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D7EA6">
            <w:pPr>
              <w:jc w:val="center"/>
            </w:pPr>
            <w:r>
              <w:rPr>
                <w:rFonts w:ascii="宋体" w:hAnsi="宋体" w:eastAsia="宋体"/>
                <w:sz w:val="16"/>
              </w:rPr>
              <w:t>10</w:t>
            </w:r>
          </w:p>
        </w:tc>
      </w:tr>
      <w:tr w14:paraId="5000E57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8ED3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71A09E"/>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21E04BCF">
            <w:pPr>
              <w:jc w:val="center"/>
            </w:pPr>
            <w:r>
              <w:rPr>
                <w:rFonts w:ascii="宋体" w:hAnsi="宋体" w:eastAsia="宋体"/>
                <w:sz w:val="16"/>
              </w:rPr>
              <w:t>保障学校升学率（%）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575FB6E9">
            <w:pPr>
              <w:jc w:val="center"/>
            </w:pPr>
            <w:r>
              <w:rPr>
                <w:rFonts w:ascii="宋体" w:hAnsi="宋体" w:eastAsia="宋体"/>
                <w:sz w:val="16"/>
              </w:rPr>
              <w:t>&gt;=98%</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5C90C472">
            <w:pPr>
              <w:jc w:val="center"/>
            </w:pPr>
            <w:r>
              <w:rPr>
                <w:rFonts w:ascii="宋体" w:hAnsi="宋体" w:eastAsia="宋体"/>
                <w:sz w:val="16"/>
              </w:rPr>
              <w:t>地方部门文件要求</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4FBB852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1CB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EA3B6">
            <w:pPr>
              <w:jc w:val="center"/>
            </w:pPr>
            <w:r>
              <w:rPr>
                <w:rFonts w:ascii="宋体" w:hAnsi="宋体" w:eastAsia="宋体"/>
                <w:sz w:val="16"/>
              </w:rPr>
              <w:t>10</w:t>
            </w:r>
          </w:p>
        </w:tc>
      </w:tr>
      <w:tr w14:paraId="6D1C649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1F1FB">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42977B"/>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5A0A9958">
            <w:pPr>
              <w:jc w:val="center"/>
            </w:pPr>
            <w:r>
              <w:rPr>
                <w:rFonts w:ascii="宋体" w:hAnsi="宋体" w:eastAsia="宋体"/>
                <w:sz w:val="16"/>
              </w:rPr>
              <w:t>保障部门单位正常履职和各项政策措施有效实施</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D011C8A">
            <w:pPr>
              <w:jc w:val="center"/>
            </w:pPr>
            <w:r>
              <w:rPr>
                <w:rFonts w:ascii="宋体" w:hAnsi="宋体" w:eastAsia="宋体"/>
                <w:sz w:val="16"/>
              </w:rPr>
              <w:t>保障</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0CD6F8F6">
            <w:pPr>
              <w:jc w:val="center"/>
            </w:pPr>
            <w:r>
              <w:rPr>
                <w:rFonts w:ascii="宋体" w:hAnsi="宋体" w:eastAsia="宋体"/>
                <w:sz w:val="16"/>
              </w:rPr>
              <w:t>中央要求</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1C1E612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4112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CAFE5">
            <w:pPr>
              <w:jc w:val="center"/>
            </w:pPr>
            <w:r>
              <w:rPr>
                <w:rFonts w:ascii="宋体" w:hAnsi="宋体" w:eastAsia="宋体"/>
                <w:sz w:val="16"/>
              </w:rPr>
              <w:t>10</w:t>
            </w:r>
          </w:p>
        </w:tc>
      </w:tr>
      <w:tr w14:paraId="13D34D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DB50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0CDF2">
            <w:pPr>
              <w:jc w:val="center"/>
            </w:pPr>
            <w:r>
              <w:rPr>
                <w:rFonts w:ascii="宋体" w:hAnsi="宋体" w:eastAsia="宋体"/>
                <w:sz w:val="16"/>
              </w:rPr>
              <w:t>满意度指标</w:t>
            </w:r>
          </w:p>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4C7EC2FB">
            <w:pPr>
              <w:jc w:val="center"/>
            </w:pPr>
            <w:r>
              <w:rPr>
                <w:rFonts w:ascii="宋体" w:hAnsi="宋体" w:eastAsia="宋体"/>
                <w:sz w:val="16"/>
              </w:rPr>
              <w:t>社会公众对本部门履职效果的满意度（%）</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3F1FFCC">
            <w:pPr>
              <w:jc w:val="center"/>
            </w:pPr>
            <w:r>
              <w:rPr>
                <w:rFonts w:ascii="宋体" w:hAnsi="宋体" w:eastAsia="宋体"/>
                <w:sz w:val="16"/>
              </w:rPr>
              <w:t>&gt;=95%</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544BA6FA">
            <w:pPr>
              <w:jc w:val="center"/>
            </w:pPr>
            <w:r>
              <w:rPr>
                <w:rFonts w:ascii="宋体" w:hAnsi="宋体" w:eastAsia="宋体"/>
                <w:sz w:val="16"/>
              </w:rPr>
              <w:t>“十四五”规划</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84556B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299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BAF56">
            <w:pPr>
              <w:jc w:val="center"/>
            </w:pPr>
            <w:r>
              <w:rPr>
                <w:rFonts w:ascii="宋体" w:hAnsi="宋体" w:eastAsia="宋体"/>
                <w:sz w:val="16"/>
              </w:rPr>
              <w:t>10</w:t>
            </w:r>
          </w:p>
        </w:tc>
      </w:tr>
      <w:tr w14:paraId="56C268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F9AF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021B28"/>
        </w:tc>
        <w:tc>
          <w:tcPr>
            <w:tcW w:w="1334" w:type="dxa"/>
            <w:tcBorders>
              <w:top w:val="single" w:color="auto" w:sz="10" w:space="0"/>
              <w:left w:val="single" w:color="auto" w:sz="10" w:space="0"/>
              <w:bottom w:val="single" w:color="auto" w:sz="10" w:space="0"/>
              <w:right w:val="single" w:color="auto" w:sz="10" w:space="0"/>
              <w:insideV w:val="single" w:sz="10" w:space="0"/>
            </w:tcBorders>
            <w:vAlign w:val="center"/>
          </w:tcPr>
          <w:p w14:paraId="5FE335DB">
            <w:pPr>
              <w:jc w:val="center"/>
            </w:pPr>
            <w:r>
              <w:rPr>
                <w:rFonts w:ascii="宋体" w:hAnsi="宋体" w:eastAsia="宋体"/>
                <w:sz w:val="16"/>
              </w:rPr>
              <w:t>在职人员满意度（%）</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E5ED5AB">
            <w:pPr>
              <w:jc w:val="center"/>
            </w:pPr>
            <w:r>
              <w:rPr>
                <w:rFonts w:ascii="宋体" w:hAnsi="宋体" w:eastAsia="宋体"/>
                <w:sz w:val="16"/>
              </w:rPr>
              <w:t>&gt;=95%</w:t>
            </w:r>
          </w:p>
        </w:tc>
        <w:tc>
          <w:tcPr>
            <w:tcW w:w="1613" w:type="dxa"/>
            <w:tcBorders>
              <w:top w:val="single" w:color="auto" w:sz="10" w:space="0"/>
              <w:left w:val="single" w:color="auto" w:sz="10" w:space="0"/>
              <w:bottom w:val="single" w:color="auto" w:sz="10" w:space="0"/>
              <w:right w:val="single" w:color="auto" w:sz="10" w:space="0"/>
              <w:insideV w:val="single" w:sz="10" w:space="0"/>
            </w:tcBorders>
            <w:vAlign w:val="center"/>
          </w:tcPr>
          <w:p w14:paraId="42384636">
            <w:pPr>
              <w:jc w:val="center"/>
            </w:pPr>
            <w:r>
              <w:rPr>
                <w:rFonts w:ascii="宋体" w:hAnsi="宋体" w:eastAsia="宋体"/>
                <w:sz w:val="16"/>
              </w:rPr>
              <w:t>“十四五”规划</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9675E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8D9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85F18">
            <w:pPr>
              <w:jc w:val="center"/>
            </w:pPr>
            <w:r>
              <w:rPr>
                <w:rFonts w:ascii="宋体" w:hAnsi="宋体" w:eastAsia="宋体"/>
                <w:sz w:val="16"/>
              </w:rPr>
              <w:t>10</w:t>
            </w:r>
          </w:p>
        </w:tc>
      </w:tr>
    </w:tbl>
    <w:p w14:paraId="04D98EF3">
      <w:r>
        <w:br w:type="page"/>
      </w:r>
    </w:p>
    <w:p w14:paraId="58D0DB98">
      <w:pPr>
        <w:spacing w:line="640" w:lineRule="exact"/>
        <w:ind w:firstLine="640"/>
        <w:jc w:val="both"/>
        <w:outlineLvl w:val="2"/>
      </w:pPr>
      <w:r>
        <w:rPr>
          <w:rFonts w:ascii="黑体" w:hAnsi="黑体" w:eastAsia="黑体"/>
          <w:sz w:val="32"/>
        </w:rPr>
        <w:t>十二、其他需说明的事项</w:t>
      </w:r>
    </w:p>
    <w:p w14:paraId="356EC23B">
      <w:pPr>
        <w:spacing w:line="580" w:lineRule="exact"/>
        <w:ind w:firstLine="640"/>
        <w:jc w:val="both"/>
      </w:pPr>
      <w:r>
        <w:rPr>
          <w:rFonts w:ascii="仿宋_GB2312" w:hAnsi="仿宋_GB2312" w:eastAsia="仿宋_GB2312"/>
          <w:b w:val="0"/>
          <w:sz w:val="32"/>
        </w:rPr>
        <w:t>本单位无其他需说明的事项。</w:t>
      </w:r>
    </w:p>
    <w:p w14:paraId="7FB1D33E">
      <w:r>
        <w:br w:type="page"/>
      </w:r>
    </w:p>
    <w:p w14:paraId="2814E6EE">
      <w:pPr>
        <w:spacing w:line="240" w:lineRule="auto"/>
        <w:jc w:val="center"/>
        <w:outlineLvl w:val="1"/>
      </w:pPr>
      <w:r>
        <w:rPr>
          <w:rFonts w:ascii="黑体" w:hAnsi="黑体" w:eastAsia="黑体"/>
          <w:sz w:val="32"/>
        </w:rPr>
        <w:t>第三部分 专业名词解释</w:t>
      </w:r>
    </w:p>
    <w:p w14:paraId="3AA27B2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D0F3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E4745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AE4842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FF46E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2A649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F472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93E20A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0535B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ED55B5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D19DA2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209B7E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471D0A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5E8C6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874F89">
      <w:r>
        <w:br w:type="page"/>
      </w:r>
    </w:p>
    <w:p w14:paraId="6D0D04FB">
      <w:pPr>
        <w:spacing w:line="240" w:lineRule="auto"/>
        <w:jc w:val="center"/>
        <w:outlineLvl w:val="1"/>
      </w:pPr>
      <w:r>
        <w:rPr>
          <w:rFonts w:ascii="黑体" w:hAnsi="黑体" w:eastAsia="黑体"/>
          <w:sz w:val="32"/>
        </w:rPr>
        <w:t>第四部分 部门决算报表（见附表）</w:t>
      </w:r>
    </w:p>
    <w:p w14:paraId="5D617486">
      <w:pPr>
        <w:spacing w:line="240" w:lineRule="auto"/>
        <w:ind w:firstLine="640"/>
        <w:jc w:val="both"/>
      </w:pPr>
      <w:r>
        <w:rPr>
          <w:rFonts w:ascii="仿宋_GB2312" w:hAnsi="仿宋_GB2312" w:eastAsia="仿宋_GB2312"/>
          <w:b w:val="0"/>
          <w:sz w:val="32"/>
        </w:rPr>
        <w:t>一、《收入支出决算总表》</w:t>
      </w:r>
    </w:p>
    <w:p w14:paraId="38083F48">
      <w:pPr>
        <w:spacing w:line="240" w:lineRule="auto"/>
        <w:ind w:firstLine="640"/>
        <w:jc w:val="both"/>
      </w:pPr>
      <w:r>
        <w:rPr>
          <w:rFonts w:ascii="仿宋_GB2312" w:hAnsi="仿宋_GB2312" w:eastAsia="仿宋_GB2312"/>
          <w:b w:val="0"/>
          <w:sz w:val="32"/>
        </w:rPr>
        <w:t>二、《收入决算表》</w:t>
      </w:r>
    </w:p>
    <w:p w14:paraId="470CA4C0">
      <w:pPr>
        <w:spacing w:line="240" w:lineRule="auto"/>
        <w:ind w:firstLine="640"/>
        <w:jc w:val="both"/>
      </w:pPr>
      <w:r>
        <w:rPr>
          <w:rFonts w:ascii="仿宋_GB2312" w:hAnsi="仿宋_GB2312" w:eastAsia="仿宋_GB2312"/>
          <w:b w:val="0"/>
          <w:sz w:val="32"/>
        </w:rPr>
        <w:t>三、《支出决算表》</w:t>
      </w:r>
    </w:p>
    <w:p w14:paraId="193DD7A8">
      <w:pPr>
        <w:spacing w:line="240" w:lineRule="auto"/>
        <w:ind w:firstLine="640"/>
        <w:jc w:val="both"/>
      </w:pPr>
      <w:r>
        <w:rPr>
          <w:rFonts w:ascii="仿宋_GB2312" w:hAnsi="仿宋_GB2312" w:eastAsia="仿宋_GB2312"/>
          <w:b w:val="0"/>
          <w:sz w:val="32"/>
        </w:rPr>
        <w:t>四、《财政拨款收入支出决算总表》</w:t>
      </w:r>
    </w:p>
    <w:p w14:paraId="697777E9">
      <w:pPr>
        <w:spacing w:line="240" w:lineRule="auto"/>
        <w:ind w:firstLine="640"/>
        <w:jc w:val="both"/>
      </w:pPr>
      <w:r>
        <w:rPr>
          <w:rFonts w:ascii="仿宋_GB2312" w:hAnsi="仿宋_GB2312" w:eastAsia="仿宋_GB2312"/>
          <w:b w:val="0"/>
          <w:sz w:val="32"/>
        </w:rPr>
        <w:t>五、《一般公共预算财政拨款支出决算表》</w:t>
      </w:r>
    </w:p>
    <w:p w14:paraId="2CDB3B4C">
      <w:pPr>
        <w:spacing w:line="240" w:lineRule="auto"/>
        <w:ind w:firstLine="640"/>
        <w:jc w:val="both"/>
      </w:pPr>
      <w:r>
        <w:rPr>
          <w:rFonts w:ascii="仿宋_GB2312" w:hAnsi="仿宋_GB2312" w:eastAsia="仿宋_GB2312"/>
          <w:b w:val="0"/>
          <w:sz w:val="32"/>
        </w:rPr>
        <w:t>六、《一般公共预算财政拨款基本支出决算表》</w:t>
      </w:r>
    </w:p>
    <w:p w14:paraId="4227254E">
      <w:pPr>
        <w:spacing w:line="240" w:lineRule="auto"/>
        <w:ind w:firstLine="640"/>
        <w:jc w:val="both"/>
      </w:pPr>
      <w:r>
        <w:rPr>
          <w:rFonts w:ascii="仿宋_GB2312" w:hAnsi="仿宋_GB2312" w:eastAsia="仿宋_GB2312"/>
          <w:b w:val="0"/>
          <w:sz w:val="32"/>
        </w:rPr>
        <w:t>七、《政府性基金预算财政拨款收入支出决算表》</w:t>
      </w:r>
    </w:p>
    <w:p w14:paraId="1F662BD4">
      <w:pPr>
        <w:spacing w:line="240" w:lineRule="auto"/>
        <w:ind w:firstLine="640"/>
        <w:jc w:val="both"/>
      </w:pPr>
      <w:r>
        <w:rPr>
          <w:rFonts w:ascii="仿宋_GB2312" w:hAnsi="仿宋_GB2312" w:eastAsia="仿宋_GB2312"/>
          <w:b w:val="0"/>
          <w:sz w:val="32"/>
        </w:rPr>
        <w:t>八、《国有资本经营预算财政拨款收入支出决算表》</w:t>
      </w:r>
    </w:p>
    <w:p w14:paraId="37BD4ECE">
      <w:pPr>
        <w:spacing w:line="240" w:lineRule="auto"/>
        <w:ind w:firstLine="640"/>
        <w:jc w:val="both"/>
      </w:pPr>
      <w:r>
        <w:rPr>
          <w:rFonts w:ascii="仿宋_GB2312" w:hAnsi="仿宋_GB2312" w:eastAsia="仿宋_GB2312"/>
          <w:b w:val="0"/>
          <w:sz w:val="32"/>
        </w:rPr>
        <w:t>九、《财政拨款“三公”经费支出决算表》</w:t>
      </w:r>
    </w:p>
    <w:p w14:paraId="29DCE325">
      <w:pPr>
        <w:spacing w:line="240" w:lineRule="auto"/>
        <w:ind w:firstLine="640"/>
        <w:jc w:val="both"/>
      </w:pPr>
    </w:p>
    <w:p w14:paraId="449C26B5">
      <w:pPr>
        <w:spacing w:line="240" w:lineRule="auto"/>
        <w:ind w:firstLine="640"/>
        <w:jc w:val="both"/>
      </w:pPr>
    </w:p>
    <w:p w14:paraId="006EC6C8">
      <w:pPr>
        <w:spacing w:line="240" w:lineRule="auto"/>
        <w:ind w:firstLine="640"/>
        <w:jc w:val="both"/>
      </w:pPr>
    </w:p>
    <w:p w14:paraId="1A83415F">
      <w:pPr>
        <w:spacing w:line="240" w:lineRule="auto"/>
        <w:ind w:firstLine="640"/>
        <w:jc w:val="both"/>
      </w:pPr>
    </w:p>
    <w:p w14:paraId="0A5346E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5E95C3-2127-4AE3-981C-A23B0BFDDA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83797802-5978-4ED4-A742-0B7B4B92992C}"/>
  </w:font>
  <w:font w:name="楷体_GB2312">
    <w:panose1 w:val="02010609030101010101"/>
    <w:charset w:val="86"/>
    <w:family w:val="auto"/>
    <w:pitch w:val="default"/>
    <w:sig w:usb0="00000001" w:usb1="080E0000" w:usb2="00000000" w:usb3="00000000" w:csb0="00040000" w:csb1="00000000"/>
    <w:embedRegular r:id="rId3" w:fontKey="{D985BDCB-E5B3-4A0D-8548-9C9B790237D2}"/>
  </w:font>
  <w:font w:name="方正小标宋_GBK">
    <w:panose1 w:val="02000000000000000000"/>
    <w:charset w:val="86"/>
    <w:family w:val="script"/>
    <w:pitch w:val="default"/>
    <w:sig w:usb0="A00002BF" w:usb1="38CF7CFA" w:usb2="00082016" w:usb3="00000000" w:csb0="00040001" w:csb1="00000000"/>
    <w:embedRegular r:id="rId4" w:fontKey="{EB79E45D-E5E1-456D-B8C6-4A747BFD342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AC7294"/>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4A1052"/>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5474</Words>
  <Characters>6223</Characters>
  <Lines>0</Lines>
  <Paragraphs>0</Paragraphs>
  <TotalTime>4</TotalTime>
  <ScaleCrop>false</ScaleCrop>
  <LinksUpToDate>false</LinksUpToDate>
  <CharactersWithSpaces>6233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