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阿克陶县恰尔隆镇卫生院2024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96F4231">
      <w:r>
        <w:br w:type="page"/>
      </w:r>
    </w:p>
    <w:p w14:paraId="0FBE53F9">
      <w:pPr>
        <w:spacing w:line="640" w:lineRule="exact"/>
        <w:jc w:val="center"/>
        <w:outlineLvl w:val="1"/>
      </w:pPr>
      <w:r>
        <w:rPr>
          <w:rFonts w:ascii="黑体" w:hAnsi="黑体" w:eastAsia="黑体"/>
          <w:sz w:val="32"/>
        </w:rPr>
        <w:t>第一部分 单位概况</w:t>
      </w:r>
    </w:p>
    <w:p w14:paraId="4AAD37C8">
      <w:pPr>
        <w:spacing w:line="640" w:lineRule="exact"/>
        <w:ind w:firstLine="640"/>
        <w:jc w:val="both"/>
        <w:outlineLvl w:val="2"/>
      </w:pPr>
      <w:r>
        <w:rPr>
          <w:rFonts w:ascii="黑体" w:hAnsi="黑体" w:eastAsia="黑体"/>
          <w:sz w:val="32"/>
        </w:rPr>
        <w:t>一、主要职能</w:t>
      </w:r>
    </w:p>
    <w:p w14:paraId="0D64173D">
      <w:pPr>
        <w:spacing w:line="580" w:lineRule="exact"/>
        <w:ind w:firstLine="640"/>
        <w:jc w:val="both"/>
      </w:pPr>
      <w:r>
        <w:rPr>
          <w:rFonts w:ascii="仿宋_GB2312" w:hAnsi="仿宋_GB2312" w:eastAsia="仿宋_GB2312"/>
          <w:sz w:val="32"/>
        </w:rPr>
        <w:t>1.承担本乡农村居民健康档案规范建档、管理及服务。</w:t>
      </w:r>
    </w:p>
    <w:p w14:paraId="5A64BC89">
      <w:pPr>
        <w:spacing w:line="580" w:lineRule="exact"/>
        <w:ind w:firstLine="640"/>
        <w:jc w:val="both"/>
      </w:pPr>
      <w:r>
        <w:rPr>
          <w:rFonts w:ascii="仿宋_GB2312" w:hAnsi="仿宋_GB2312" w:eastAsia="仿宋_GB2312"/>
          <w:sz w:val="32"/>
        </w:rPr>
        <w:t>2.普及卫生保健常识，在重点人群和重点场所开展健康教育，帮助居民形成有利于维护和增进健康的行为方式；指导开展爱国卫生工作。</w:t>
      </w:r>
    </w:p>
    <w:p w14:paraId="1CA1FDA5">
      <w:pPr>
        <w:spacing w:line="580" w:lineRule="exact"/>
        <w:ind w:firstLine="640"/>
        <w:jc w:val="both"/>
      </w:pPr>
      <w:r>
        <w:rPr>
          <w:rFonts w:ascii="仿宋_GB2312" w:hAnsi="仿宋_GB2312" w:eastAsia="仿宋_GB2312"/>
          <w:sz w:val="32"/>
        </w:rPr>
        <w:t>3.提供并组织实施本乡预防接种服务，落实国家免疫规划。</w:t>
      </w:r>
    </w:p>
    <w:p w14:paraId="6987BB91">
      <w:pPr>
        <w:spacing w:line="580" w:lineRule="exact"/>
        <w:ind w:firstLine="640"/>
        <w:jc w:val="both"/>
      </w:pPr>
      <w:r>
        <w:rPr>
          <w:rFonts w:ascii="仿宋_GB2312" w:hAnsi="仿宋_GB2312" w:eastAsia="仿宋_GB2312"/>
          <w:sz w:val="32"/>
        </w:rPr>
        <w:t>4.及时发现、登记并报告本乡内发现的传染病病例和疑似病例，参与现场疫情处理。</w:t>
      </w:r>
    </w:p>
    <w:p w14:paraId="5B26C8B7">
      <w:pPr>
        <w:spacing w:line="580" w:lineRule="exact"/>
        <w:ind w:firstLine="640"/>
        <w:jc w:val="both"/>
      </w:pPr>
      <w:r>
        <w:rPr>
          <w:rFonts w:ascii="仿宋_GB2312" w:hAnsi="仿宋_GB2312" w:eastAsia="仿宋_GB2312"/>
          <w:sz w:val="32"/>
        </w:rPr>
        <w:t>5.开展新生儿访视及儿童保健系统管理，进行体格检查和生长发育监测及评价，开展健康指导。</w:t>
      </w:r>
    </w:p>
    <w:p w14:paraId="34874E1A">
      <w:pPr>
        <w:spacing w:line="580" w:lineRule="exact"/>
        <w:ind w:firstLine="640"/>
        <w:jc w:val="both"/>
      </w:pPr>
      <w:r>
        <w:rPr>
          <w:rFonts w:ascii="仿宋_GB2312" w:hAnsi="仿宋_GB2312" w:eastAsia="仿宋_GB2312"/>
          <w:sz w:val="32"/>
        </w:rPr>
        <w:t>6.开展孕产妇保健系统管理和产后访视，进行一般体格检查及孕期营养、心理等健康指导。</w:t>
      </w:r>
    </w:p>
    <w:p w14:paraId="7B465760">
      <w:pPr>
        <w:spacing w:line="580" w:lineRule="exact"/>
        <w:ind w:firstLine="640"/>
        <w:jc w:val="both"/>
      </w:pPr>
      <w:r>
        <w:rPr>
          <w:rFonts w:ascii="仿宋_GB2312" w:hAnsi="仿宋_GB2312" w:eastAsia="仿宋_GB2312"/>
          <w:sz w:val="32"/>
        </w:rPr>
        <w:t>7.对本乡65岁及以上老年人进行登记管理，进行健康危险因素调查和一般体格检查，开展健康指导。</w:t>
      </w:r>
    </w:p>
    <w:p w14:paraId="6219FDEC">
      <w:pPr>
        <w:spacing w:line="580" w:lineRule="exact"/>
        <w:ind w:firstLine="640"/>
        <w:jc w:val="both"/>
      </w:pPr>
      <w:r>
        <w:rPr>
          <w:rFonts w:ascii="仿宋_GB2312" w:hAnsi="仿宋_GB2312" w:eastAsia="仿宋_GB2312"/>
          <w:sz w:val="32"/>
        </w:rPr>
        <w:t>8.对高血压、糖尿病等慢性病高危人群进行指导，对确诊高血压、糖尿病等慢性病病例进行登记管理、定期随访和健康指导。</w:t>
      </w:r>
    </w:p>
    <w:p w14:paraId="02078BA5">
      <w:pPr>
        <w:spacing w:line="580" w:lineRule="exact"/>
        <w:ind w:firstLine="640"/>
        <w:jc w:val="both"/>
      </w:pPr>
      <w:r>
        <w:rPr>
          <w:rFonts w:ascii="仿宋_GB2312" w:hAnsi="仿宋_GB2312" w:eastAsia="仿宋_GB2312"/>
          <w:sz w:val="32"/>
        </w:rPr>
        <w:t>9.对本乡重性精神疾病患者进行登记管理、治疗随访和康复指导。</w:t>
      </w:r>
    </w:p>
    <w:p w14:paraId="532C9566">
      <w:pPr>
        <w:spacing w:line="580" w:lineRule="exact"/>
        <w:ind w:firstLine="640"/>
        <w:jc w:val="both"/>
      </w:pPr>
      <w:r>
        <w:rPr>
          <w:rFonts w:ascii="仿宋_GB2312" w:hAnsi="仿宋_GB2312" w:eastAsia="仿宋_GB2312"/>
          <w:sz w:val="32"/>
        </w:rPr>
        <w:t>10.负责本乡内突发公共卫生事件的报告并协助处理。</w:t>
      </w:r>
    </w:p>
    <w:p w14:paraId="4D88BBE7">
      <w:pPr>
        <w:spacing w:line="580" w:lineRule="exact"/>
        <w:ind w:firstLine="640"/>
        <w:jc w:val="both"/>
      </w:pPr>
      <w:r>
        <w:rPr>
          <w:rFonts w:ascii="仿宋_GB2312" w:hAnsi="仿宋_GB2312" w:eastAsia="仿宋_GB2312"/>
          <w:sz w:val="32"/>
        </w:rPr>
        <w:t>11.做好卫生行政部门规定的其他公共卫生服务。在农村医疗卫生服务网络中发挥着重要的基础性作用。</w:t>
      </w:r>
    </w:p>
    <w:p w14:paraId="2DB8D4D9">
      <w:pPr>
        <w:spacing w:line="640" w:lineRule="exact"/>
        <w:ind w:firstLine="640"/>
        <w:jc w:val="both"/>
        <w:outlineLvl w:val="2"/>
      </w:pPr>
      <w:r>
        <w:rPr>
          <w:rFonts w:ascii="黑体" w:hAnsi="黑体" w:eastAsia="黑体"/>
          <w:sz w:val="32"/>
        </w:rPr>
        <w:t>二、机构设置及人员情况</w:t>
      </w:r>
    </w:p>
    <w:p w14:paraId="7CC32641">
      <w:pPr>
        <w:spacing w:line="580" w:lineRule="exact"/>
        <w:ind w:firstLine="640"/>
        <w:jc w:val="both"/>
      </w:pPr>
      <w:r>
        <w:rPr>
          <w:rFonts w:ascii="仿宋_GB2312" w:hAnsi="仿宋_GB2312" w:eastAsia="仿宋_GB2312"/>
          <w:sz w:val="32"/>
        </w:rPr>
        <w:t>阿克陶县恰尔隆镇卫生院2024年度，实有人数25人，其中：在职人员22人，增加4人；离休人员0人，增加0人；退休人员3人,增加0人。</w:t>
      </w:r>
    </w:p>
    <w:p w14:paraId="6E2360B7">
      <w:pPr>
        <w:spacing w:line="580" w:lineRule="exact"/>
        <w:ind w:firstLine="640"/>
        <w:jc w:val="both"/>
      </w:pPr>
      <w:r>
        <w:rPr>
          <w:rFonts w:ascii="仿宋_GB2312" w:hAnsi="仿宋_GB2312" w:eastAsia="仿宋_GB2312"/>
          <w:sz w:val="32"/>
        </w:rPr>
        <w:t>阿克陶县恰尔隆镇卫生院无下属预算单位，下设13个科室，分别是：健康档案室、体检办公室、内科、妇产科、防保科、儿科、B超、放射、心电图、检验科、中医科、财务科、办公室。</w:t>
      </w:r>
    </w:p>
    <w:p w14:paraId="34226462">
      <w:r>
        <w:br w:type="page"/>
      </w:r>
    </w:p>
    <w:p w14:paraId="7A3E08BE">
      <w:pPr>
        <w:spacing w:line="240" w:lineRule="auto"/>
        <w:jc w:val="center"/>
        <w:outlineLvl w:val="1"/>
      </w:pPr>
      <w:r>
        <w:rPr>
          <w:rFonts w:ascii="黑体" w:hAnsi="黑体" w:eastAsia="黑体"/>
          <w:sz w:val="32"/>
        </w:rPr>
        <w:t>第二部分 部门决算情况说明</w:t>
      </w:r>
    </w:p>
    <w:p w14:paraId="799CCE0C">
      <w:pPr>
        <w:spacing w:line="640" w:lineRule="exact"/>
        <w:ind w:firstLine="640"/>
        <w:jc w:val="both"/>
        <w:outlineLvl w:val="2"/>
      </w:pPr>
      <w:r>
        <w:rPr>
          <w:rFonts w:ascii="黑体" w:hAnsi="黑体" w:eastAsia="黑体"/>
          <w:sz w:val="32"/>
        </w:rPr>
        <w:t>一、收入支出决算总体情况说明</w:t>
      </w:r>
    </w:p>
    <w:p w14:paraId="1272779F">
      <w:pPr>
        <w:spacing w:line="580" w:lineRule="exact"/>
        <w:ind w:firstLine="640"/>
        <w:jc w:val="both"/>
      </w:pPr>
      <w:r>
        <w:rPr>
          <w:rFonts w:ascii="仿宋_GB2312" w:hAnsi="仿宋_GB2312" w:eastAsia="仿宋_GB2312"/>
          <w:b/>
          <w:sz w:val="32"/>
        </w:rPr>
        <w:t>2024年度收入总计760.12万元，</w:t>
      </w:r>
      <w:r>
        <w:rPr>
          <w:rFonts w:ascii="仿宋_GB2312" w:hAnsi="仿宋_GB2312" w:eastAsia="仿宋_GB2312"/>
          <w:b w:val="0"/>
          <w:sz w:val="32"/>
        </w:rPr>
        <w:t>其中：本年收入合计732.59万元，使用非财政拨款结余（含专用结余）0.00万元，年初结转和结余27.54万元。</w:t>
      </w:r>
    </w:p>
    <w:p w14:paraId="39BAC84C">
      <w:pPr>
        <w:spacing w:line="580" w:lineRule="exact"/>
        <w:ind w:firstLine="640"/>
        <w:jc w:val="both"/>
      </w:pPr>
      <w:r>
        <w:rPr>
          <w:rFonts w:ascii="仿宋_GB2312" w:hAnsi="仿宋_GB2312" w:eastAsia="仿宋_GB2312"/>
          <w:b/>
          <w:sz w:val="32"/>
        </w:rPr>
        <w:t>2024年度支出总计760.12万元，</w:t>
      </w:r>
      <w:r>
        <w:rPr>
          <w:rFonts w:ascii="仿宋_GB2312" w:hAnsi="仿宋_GB2312" w:eastAsia="仿宋_GB2312"/>
          <w:b w:val="0"/>
          <w:sz w:val="32"/>
        </w:rPr>
        <w:t>其中：本年支出合计719.40万元，结余分配0.00万元，年末结转和结余40.73万元。</w:t>
      </w:r>
    </w:p>
    <w:p w14:paraId="0CE7BE71">
      <w:pPr>
        <w:spacing w:line="580" w:lineRule="exact"/>
        <w:ind w:firstLine="640"/>
        <w:jc w:val="both"/>
      </w:pPr>
      <w:r>
        <w:rPr>
          <w:rFonts w:ascii="仿宋_GB2312" w:hAnsi="仿宋_GB2312" w:eastAsia="仿宋_GB2312"/>
          <w:b w:val="0"/>
          <w:sz w:val="32"/>
        </w:rPr>
        <w:t>收入支出总体与上年相比，增加47.79万元，增长6.71%，主要原因是：本年门诊人数增加，药品款增加，医疗收入</w:t>
      </w:r>
      <w:r>
        <w:rPr>
          <w:rFonts w:hint="eastAsia" w:ascii="仿宋_GB2312" w:hAnsi="仿宋_GB2312" w:eastAsia="仿宋_GB2312"/>
          <w:b w:val="0"/>
          <w:sz w:val="32"/>
          <w:lang w:val="en-US" w:eastAsia="zh-CN"/>
        </w:rPr>
        <w:t>支出</w:t>
      </w:r>
      <w:r>
        <w:rPr>
          <w:rFonts w:ascii="仿宋_GB2312" w:hAnsi="仿宋_GB2312" w:eastAsia="仿宋_GB2312"/>
          <w:b w:val="0"/>
          <w:sz w:val="32"/>
        </w:rPr>
        <w:t>增加。</w:t>
      </w:r>
    </w:p>
    <w:p w14:paraId="14BBA083">
      <w:pPr>
        <w:spacing w:line="640" w:lineRule="exact"/>
        <w:ind w:firstLine="640"/>
        <w:jc w:val="both"/>
        <w:outlineLvl w:val="2"/>
      </w:pPr>
      <w:r>
        <w:rPr>
          <w:rFonts w:ascii="黑体" w:hAnsi="黑体" w:eastAsia="黑体"/>
          <w:sz w:val="32"/>
        </w:rPr>
        <w:t>二、收入决算情况说明</w:t>
      </w:r>
    </w:p>
    <w:p w14:paraId="657D89D3">
      <w:pPr>
        <w:spacing w:line="580" w:lineRule="exact"/>
        <w:ind w:firstLine="640"/>
        <w:jc w:val="both"/>
      </w:pPr>
      <w:r>
        <w:rPr>
          <w:rFonts w:ascii="仿宋_GB2312" w:hAnsi="仿宋_GB2312" w:eastAsia="仿宋_GB2312"/>
          <w:b/>
          <w:sz w:val="32"/>
        </w:rPr>
        <w:t>本年收入732.59万元，</w:t>
      </w:r>
      <w:r>
        <w:rPr>
          <w:rFonts w:ascii="仿宋_GB2312" w:hAnsi="仿宋_GB2312" w:eastAsia="仿宋_GB2312"/>
          <w:b w:val="0"/>
          <w:sz w:val="32"/>
        </w:rPr>
        <w:t>其中：财政拨款收入523.97万元，占71.52%；上级补助收入0.00万元，占0.00%；事业收入208.57万元，占28.47%；经营收入0.00万元，占0.00%；附属单位上缴收入0.00万元，占0.00%；其他收入0.05万元，占0.007%。</w:t>
      </w:r>
    </w:p>
    <w:p w14:paraId="77BC2596">
      <w:pPr>
        <w:spacing w:line="640" w:lineRule="exact"/>
        <w:ind w:firstLine="640"/>
        <w:jc w:val="both"/>
        <w:outlineLvl w:val="2"/>
      </w:pPr>
      <w:r>
        <w:rPr>
          <w:rFonts w:ascii="黑体" w:hAnsi="黑体" w:eastAsia="黑体"/>
          <w:sz w:val="32"/>
        </w:rPr>
        <w:t>三、支出决算情况说明</w:t>
      </w:r>
    </w:p>
    <w:p w14:paraId="080A88BB">
      <w:pPr>
        <w:spacing w:line="580" w:lineRule="exact"/>
        <w:ind w:firstLine="640"/>
        <w:jc w:val="both"/>
      </w:pPr>
      <w:r>
        <w:rPr>
          <w:rFonts w:ascii="仿宋_GB2312" w:hAnsi="仿宋_GB2312" w:eastAsia="仿宋_GB2312"/>
          <w:b/>
          <w:sz w:val="32"/>
        </w:rPr>
        <w:t>本年支出719.40万元，</w:t>
      </w:r>
      <w:r>
        <w:rPr>
          <w:rFonts w:ascii="仿宋_GB2312" w:hAnsi="仿宋_GB2312" w:eastAsia="仿宋_GB2312"/>
          <w:b w:val="0"/>
          <w:sz w:val="32"/>
        </w:rPr>
        <w:t>其中：基本支出627.41万元，占87.21%；项目支出91.99万元，占12.79%；上缴上级支出0.00万元，占0.00%；经营支出0.00万元，占0.00%；对附属单位补助支出0.00万元，占0.00%。</w:t>
      </w:r>
    </w:p>
    <w:p w14:paraId="66F357D6">
      <w:pPr>
        <w:spacing w:line="640" w:lineRule="exact"/>
        <w:ind w:firstLine="640"/>
        <w:jc w:val="both"/>
        <w:outlineLvl w:val="2"/>
      </w:pPr>
      <w:r>
        <w:rPr>
          <w:rFonts w:ascii="黑体" w:hAnsi="黑体" w:eastAsia="黑体"/>
          <w:sz w:val="32"/>
        </w:rPr>
        <w:t>四、财政拨款收入支出决算总体情况说明</w:t>
      </w:r>
    </w:p>
    <w:p w14:paraId="76D1499D">
      <w:pPr>
        <w:spacing w:line="580" w:lineRule="exact"/>
        <w:ind w:firstLine="640"/>
        <w:jc w:val="both"/>
      </w:pPr>
      <w:r>
        <w:rPr>
          <w:rFonts w:ascii="仿宋_GB2312" w:hAnsi="仿宋_GB2312" w:eastAsia="仿宋_GB2312"/>
          <w:b/>
          <w:sz w:val="32"/>
        </w:rPr>
        <w:t>2024年度财政拨款收入总计523.97万元，</w:t>
      </w:r>
      <w:r>
        <w:rPr>
          <w:rFonts w:ascii="仿宋_GB2312" w:hAnsi="仿宋_GB2312" w:eastAsia="仿宋_GB2312"/>
          <w:b w:val="0"/>
          <w:sz w:val="32"/>
        </w:rPr>
        <w:t>其中：年初财政拨款结转和结余0.00万元，本年财政拨款收入523.97万元。</w:t>
      </w:r>
      <w:r>
        <w:rPr>
          <w:rFonts w:ascii="仿宋_GB2312" w:hAnsi="仿宋_GB2312" w:eastAsia="仿宋_GB2312"/>
          <w:b/>
          <w:sz w:val="32"/>
        </w:rPr>
        <w:t>财政拨款支出总计523.97万元，</w:t>
      </w:r>
      <w:r>
        <w:rPr>
          <w:rFonts w:ascii="仿宋_GB2312" w:hAnsi="仿宋_GB2312" w:eastAsia="仿宋_GB2312"/>
          <w:b w:val="0"/>
          <w:sz w:val="32"/>
        </w:rPr>
        <w:t>其中：年末财政拨款结转和结余0.00万元，本年财政拨款支出523.97万元。</w:t>
      </w:r>
    </w:p>
    <w:p w14:paraId="6CC77B92">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减少58.16万元，下降9.99%，主要原因是：本年减少公益性岗位村医，乡村医生资金较上年减少。</w:t>
      </w:r>
      <w:r>
        <w:rPr>
          <w:rFonts w:ascii="仿宋_GB2312" w:hAnsi="仿宋_GB2312" w:eastAsia="仿宋_GB2312"/>
          <w:b/>
          <w:sz w:val="32"/>
        </w:rPr>
        <w:t>与年初预算相比，</w:t>
      </w:r>
      <w:r>
        <w:rPr>
          <w:rFonts w:ascii="仿宋_GB2312" w:hAnsi="仿宋_GB2312" w:eastAsia="仿宋_GB2312"/>
          <w:b w:val="0"/>
          <w:sz w:val="32"/>
        </w:rPr>
        <w:t>年初预算数421.04万元，决算数523.97万元，预决算差异率24.45%，主要原因是：年中追加人员工资、社保、公积金基数调增部分资金及基本公共卫生补助项目资金，导致预决算存在差异。</w:t>
      </w:r>
    </w:p>
    <w:p w14:paraId="278D2F3C">
      <w:pPr>
        <w:spacing w:line="640" w:lineRule="exact"/>
        <w:ind w:firstLine="640"/>
        <w:jc w:val="both"/>
        <w:outlineLvl w:val="2"/>
      </w:pPr>
      <w:r>
        <w:rPr>
          <w:rFonts w:ascii="黑体" w:hAnsi="黑体" w:eastAsia="黑体"/>
          <w:sz w:val="32"/>
        </w:rPr>
        <w:t>五、一般公共预算财政拨款支出决算情况说明</w:t>
      </w:r>
    </w:p>
    <w:p w14:paraId="313EE41D">
      <w:pPr>
        <w:spacing w:line="640" w:lineRule="exact"/>
        <w:ind w:firstLine="640"/>
        <w:jc w:val="both"/>
        <w:outlineLvl w:val="3"/>
      </w:pPr>
      <w:r>
        <w:rPr>
          <w:rFonts w:ascii="楷体_GB2312" w:hAnsi="楷体_GB2312" w:eastAsia="楷体_GB2312"/>
          <w:b/>
          <w:sz w:val="32"/>
        </w:rPr>
        <w:t>（一）一般公共预算财政拨款支出决算总体情况</w:t>
      </w:r>
    </w:p>
    <w:p w14:paraId="6AF572ED">
      <w:pPr>
        <w:spacing w:line="580" w:lineRule="exact"/>
        <w:ind w:firstLine="640"/>
        <w:jc w:val="both"/>
      </w:pPr>
      <w:r>
        <w:rPr>
          <w:rFonts w:ascii="仿宋_GB2312" w:hAnsi="仿宋_GB2312" w:eastAsia="仿宋_GB2312"/>
          <w:b/>
          <w:sz w:val="32"/>
        </w:rPr>
        <w:t>2024年度一般公共预算财政拨款支出523.97万元，</w:t>
      </w:r>
      <w:r>
        <w:rPr>
          <w:rFonts w:ascii="仿宋_GB2312" w:hAnsi="仿宋_GB2312" w:eastAsia="仿宋_GB2312"/>
          <w:b w:val="0"/>
          <w:sz w:val="32"/>
        </w:rPr>
        <w:t>占本年支出合计的72.83%。</w:t>
      </w:r>
      <w:r>
        <w:rPr>
          <w:rFonts w:ascii="仿宋_GB2312" w:hAnsi="仿宋_GB2312" w:eastAsia="仿宋_GB2312"/>
          <w:b/>
          <w:sz w:val="32"/>
        </w:rPr>
        <w:t>与上年相比，</w:t>
      </w:r>
      <w:r>
        <w:rPr>
          <w:rFonts w:ascii="仿宋_GB2312" w:hAnsi="仿宋_GB2312" w:eastAsia="仿宋_GB2312"/>
          <w:b w:val="0"/>
          <w:sz w:val="32"/>
        </w:rPr>
        <w:t>减少58.16万元，下降9.99%，主要原因是：本年减少公益性岗位村医，乡村医生资金较上年减少。</w:t>
      </w:r>
      <w:r>
        <w:rPr>
          <w:rFonts w:ascii="仿宋_GB2312" w:hAnsi="仿宋_GB2312" w:eastAsia="仿宋_GB2312"/>
          <w:b/>
          <w:sz w:val="32"/>
        </w:rPr>
        <w:t>与年初预算相比,</w:t>
      </w:r>
      <w:r>
        <w:rPr>
          <w:rFonts w:ascii="仿宋_GB2312" w:hAnsi="仿宋_GB2312" w:eastAsia="仿宋_GB2312"/>
          <w:b w:val="0"/>
          <w:sz w:val="32"/>
        </w:rPr>
        <w:t>年初预算数421.04万元，决算数523.97万元，预决算差异率24.45%，主要原因是：年中追加人员工资、社保、公积金基数调增部分资金及基本公共卫生补助项目资金，导致预决算存在差异。</w:t>
      </w:r>
    </w:p>
    <w:p w14:paraId="31238DCB">
      <w:pPr>
        <w:spacing w:line="640" w:lineRule="exact"/>
        <w:ind w:firstLine="640"/>
        <w:jc w:val="both"/>
        <w:outlineLvl w:val="3"/>
      </w:pPr>
      <w:r>
        <w:rPr>
          <w:rFonts w:ascii="楷体_GB2312" w:hAnsi="楷体_GB2312" w:eastAsia="楷体_GB2312"/>
          <w:b/>
          <w:sz w:val="32"/>
        </w:rPr>
        <w:t>（二）一般公共预算财政拨款支出决算结构情况</w:t>
      </w:r>
    </w:p>
    <w:p w14:paraId="17493817">
      <w:pPr>
        <w:spacing w:line="580" w:lineRule="exact"/>
        <w:ind w:firstLine="640"/>
        <w:jc w:val="both"/>
      </w:pPr>
      <w:r>
        <w:rPr>
          <w:rFonts w:ascii="仿宋_GB2312" w:hAnsi="仿宋_GB2312" w:eastAsia="仿宋_GB2312"/>
          <w:b w:val="0"/>
          <w:sz w:val="32"/>
        </w:rPr>
        <w:t>1.社会保障和就业支出(类)47.27万元,占9.02%。</w:t>
      </w:r>
    </w:p>
    <w:p w14:paraId="031B195D">
      <w:pPr>
        <w:spacing w:line="580" w:lineRule="exact"/>
        <w:ind w:firstLine="640"/>
        <w:jc w:val="both"/>
      </w:pPr>
      <w:r>
        <w:rPr>
          <w:rFonts w:ascii="仿宋_GB2312" w:hAnsi="仿宋_GB2312" w:eastAsia="仿宋_GB2312"/>
          <w:b w:val="0"/>
          <w:sz w:val="32"/>
        </w:rPr>
        <w:t>2.卫生健康支出(类)442.84万元,占84.52%。</w:t>
      </w:r>
    </w:p>
    <w:p w14:paraId="53619E80">
      <w:pPr>
        <w:spacing w:line="580" w:lineRule="exact"/>
        <w:ind w:firstLine="640"/>
        <w:jc w:val="both"/>
      </w:pPr>
      <w:r>
        <w:rPr>
          <w:rFonts w:ascii="仿宋_GB2312" w:hAnsi="仿宋_GB2312" w:eastAsia="仿宋_GB2312"/>
          <w:b w:val="0"/>
          <w:sz w:val="32"/>
        </w:rPr>
        <w:t>3.住房保障支出(类)33.86万元,占6.46%。</w:t>
      </w:r>
    </w:p>
    <w:p w14:paraId="6BB4D727">
      <w:pPr>
        <w:spacing w:line="640" w:lineRule="exact"/>
        <w:ind w:firstLine="640"/>
        <w:jc w:val="both"/>
        <w:outlineLvl w:val="3"/>
      </w:pPr>
      <w:r>
        <w:rPr>
          <w:rFonts w:ascii="楷体_GB2312" w:hAnsi="楷体_GB2312" w:eastAsia="楷体_GB2312"/>
          <w:b/>
          <w:sz w:val="32"/>
        </w:rPr>
        <w:t>（三）一般公共预算财政拨款支出决算具体情况</w:t>
      </w:r>
    </w:p>
    <w:p w14:paraId="53C178CB">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1.社会保障和就业支出(类)行政事业单位养老支出(款)事业单位离退休(项):支出决算数为3.60万元，比上年决算增加0.63万元，增长21.21%,主要原因是：本年增加退休人员基础绩效奖，退休费支出增加。</w:t>
      </w:r>
    </w:p>
    <w:p w14:paraId="5B90E888">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43.67万元，比上年决算增加11.68万元，增长36.51%,主要原因是：本年在职人员增加，养老保险缴费较上年增加。</w:t>
      </w:r>
    </w:p>
    <w:p w14:paraId="3F6F1C5D">
      <w:pPr>
        <w:spacing w:line="580" w:lineRule="exact"/>
        <w:ind w:firstLine="640"/>
        <w:jc w:val="both"/>
      </w:pPr>
      <w:r>
        <w:rPr>
          <w:rFonts w:ascii="仿宋_GB2312" w:hAnsi="仿宋_GB2312" w:eastAsia="仿宋_GB2312"/>
          <w:b w:val="0"/>
          <w:sz w:val="32"/>
        </w:rPr>
        <w:t>3.卫生健康支出(类)基层医疗卫生机构(款)乡镇卫生院(项):支出决算数为335.39万元，比上年决算减少16.42万元，下降4.67%,主要原因是：</w:t>
      </w:r>
      <w:r>
        <w:rPr>
          <w:rFonts w:hint="eastAsia" w:ascii="仿宋_GB2312" w:hAnsi="仿宋_GB2312" w:eastAsia="仿宋_GB2312"/>
          <w:b w:val="0"/>
          <w:sz w:val="32"/>
          <w:lang w:val="en-US" w:eastAsia="zh-CN"/>
        </w:rPr>
        <w:t>本年减少聘用人员工资福利支出</w:t>
      </w:r>
      <w:r>
        <w:rPr>
          <w:rFonts w:ascii="仿宋_GB2312" w:hAnsi="仿宋_GB2312" w:eastAsia="仿宋_GB2312"/>
          <w:b w:val="0"/>
          <w:sz w:val="32"/>
        </w:rPr>
        <w:t>。</w:t>
      </w:r>
    </w:p>
    <w:p w14:paraId="507B24CC">
      <w:pPr>
        <w:spacing w:line="580" w:lineRule="exact"/>
        <w:ind w:firstLine="640"/>
        <w:jc w:val="both"/>
      </w:pPr>
      <w:r>
        <w:rPr>
          <w:rFonts w:ascii="仿宋_GB2312" w:hAnsi="仿宋_GB2312" w:eastAsia="仿宋_GB2312"/>
          <w:b w:val="0"/>
          <w:sz w:val="32"/>
        </w:rPr>
        <w:t>4.卫生健康支出(类)基层医疗卫生机构(款)其他基层医疗卫生机构支出(项):支出决算数为28.71万元，比上年决算增加14.28万元，增长98.96%,主要原因是：本年增加2024年中央基本药物补助项目。</w:t>
      </w:r>
    </w:p>
    <w:p w14:paraId="321C3BCA">
      <w:pPr>
        <w:spacing w:line="580" w:lineRule="exact"/>
        <w:ind w:firstLine="640"/>
        <w:jc w:val="both"/>
      </w:pPr>
      <w:r>
        <w:rPr>
          <w:rFonts w:ascii="仿宋_GB2312" w:hAnsi="仿宋_GB2312" w:eastAsia="仿宋_GB2312"/>
          <w:b w:val="0"/>
          <w:sz w:val="32"/>
        </w:rPr>
        <w:t>5.卫生健康支出(类)公共卫生(款)基本公共卫生服务(项):支出决算数为63.24万元，比上年决算减少29.56万元，下降31.85%,主要原因是：本年减少中央基本公共卫生服务补助项目。</w:t>
      </w:r>
    </w:p>
    <w:p w14:paraId="592F17F6">
      <w:pPr>
        <w:spacing w:line="580" w:lineRule="exact"/>
        <w:ind w:firstLine="640"/>
        <w:jc w:val="both"/>
      </w:pPr>
      <w:r>
        <w:rPr>
          <w:rFonts w:ascii="仿宋_GB2312" w:hAnsi="仿宋_GB2312" w:eastAsia="仿宋_GB2312"/>
          <w:b w:val="0"/>
          <w:sz w:val="32"/>
        </w:rPr>
        <w:t>6.卫生健康支出(类)公共卫生(款)重大公共卫生服务(项):支出决算数为0.04万元，比上年决算减少0.53万元，下降92.98%,主要原因是：本年减少中央重大传染病防控经费。</w:t>
      </w:r>
    </w:p>
    <w:p w14:paraId="6C81AF40">
      <w:pPr>
        <w:spacing w:line="580" w:lineRule="exact"/>
        <w:ind w:firstLine="640"/>
        <w:jc w:val="both"/>
      </w:pPr>
      <w:r>
        <w:rPr>
          <w:rFonts w:ascii="仿宋_GB2312" w:hAnsi="仿宋_GB2312" w:eastAsia="仿宋_GB2312"/>
          <w:b w:val="0"/>
          <w:sz w:val="32"/>
        </w:rPr>
        <w:t>7.卫生健康支出(类)公共卫生(款)其他公共卫生支出(项):支出决算数为0.00万元，比上年决算减少50.01万元，下降100.00%,主要原因是：本年基本公共卫生服务村医补助资金减少。</w:t>
      </w:r>
    </w:p>
    <w:p w14:paraId="7B4A9748">
      <w:pPr>
        <w:spacing w:line="580" w:lineRule="exact"/>
        <w:ind w:firstLine="640"/>
        <w:jc w:val="both"/>
      </w:pPr>
      <w:r>
        <w:rPr>
          <w:rFonts w:ascii="仿宋_GB2312" w:hAnsi="仿宋_GB2312" w:eastAsia="仿宋_GB2312"/>
          <w:b w:val="0"/>
          <w:sz w:val="32"/>
        </w:rPr>
        <w:t>8.卫生健康支出(类)行政事业单位医疗(款)事业单位医疗(项):支出决算数为15.45万元，比上年决算增加4.28万元，增长38.32%,主要原因是：本年在职人员工资基数调增，医疗缴费基数上涨，相应支出增加。</w:t>
      </w:r>
    </w:p>
    <w:p w14:paraId="5777300C">
      <w:pPr>
        <w:spacing w:line="580" w:lineRule="exact"/>
        <w:ind w:firstLine="640"/>
        <w:jc w:val="both"/>
      </w:pPr>
      <w:r>
        <w:rPr>
          <w:rFonts w:ascii="仿宋_GB2312" w:hAnsi="仿宋_GB2312" w:eastAsia="仿宋_GB2312"/>
          <w:b w:val="0"/>
          <w:sz w:val="32"/>
        </w:rPr>
        <w:t>9.住房保障支出(类)住房改革支出(款)住房公积金(项):支出决算数为33.86万元，比上年决算增加7.48万元，增长28.35%,主要原因是：本年在职人员增加，住房公积金支出较上年增加。</w:t>
      </w:r>
    </w:p>
    <w:p w14:paraId="59D25563">
      <w:pPr>
        <w:spacing w:line="640" w:lineRule="exact"/>
        <w:ind w:firstLine="640"/>
        <w:jc w:val="both"/>
        <w:outlineLvl w:val="2"/>
      </w:pPr>
      <w:r>
        <w:rPr>
          <w:rFonts w:ascii="黑体" w:hAnsi="黑体" w:eastAsia="黑体"/>
          <w:sz w:val="32"/>
        </w:rPr>
        <w:t>六、一般公共预算财政拨款基本支出决算情况说明</w:t>
      </w:r>
    </w:p>
    <w:p w14:paraId="1D47CCC5">
      <w:pPr>
        <w:spacing w:line="580" w:lineRule="exact"/>
        <w:ind w:firstLine="640"/>
        <w:jc w:val="both"/>
      </w:pPr>
      <w:r>
        <w:rPr>
          <w:rFonts w:ascii="仿宋_GB2312" w:hAnsi="仿宋_GB2312" w:eastAsia="仿宋_GB2312"/>
          <w:b w:val="0"/>
          <w:sz w:val="32"/>
        </w:rPr>
        <w:t>2024年度一般公共预算财政拨款基本支出431.97万元，其中：</w:t>
      </w:r>
      <w:r>
        <w:rPr>
          <w:rFonts w:ascii="仿宋_GB2312" w:hAnsi="仿宋_GB2312" w:eastAsia="仿宋_GB2312"/>
          <w:b/>
          <w:sz w:val="32"/>
        </w:rPr>
        <w:t>人员经费431.97万元，</w:t>
      </w:r>
      <w:r>
        <w:rPr>
          <w:rFonts w:ascii="仿宋_GB2312" w:hAnsi="仿宋_GB2312" w:eastAsia="仿宋_GB2312"/>
          <w:b w:val="0"/>
          <w:sz w:val="32"/>
        </w:rPr>
        <w:t>包括：基本工资、津贴补贴、奖金、机关事业单位基本养老保险缴费、职工基本医疗保险缴费、其他社会保障缴费、住房公积金、其他工资福利支出、退休费。</w:t>
      </w:r>
    </w:p>
    <w:p w14:paraId="2EA51432">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78BB1433">
      <w:pPr>
        <w:spacing w:line="640" w:lineRule="exact"/>
        <w:ind w:firstLine="640"/>
        <w:jc w:val="both"/>
        <w:outlineLvl w:val="2"/>
      </w:pPr>
      <w:r>
        <w:rPr>
          <w:rFonts w:ascii="黑体" w:hAnsi="黑体" w:eastAsia="黑体"/>
          <w:sz w:val="32"/>
        </w:rPr>
        <w:t>七、政府性基金预算财政拨款收入支出决算情况说明</w:t>
      </w:r>
    </w:p>
    <w:p w14:paraId="78B61721">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53DF96D">
      <w:pPr>
        <w:spacing w:line="640" w:lineRule="exact"/>
        <w:ind w:firstLine="640"/>
        <w:jc w:val="both"/>
        <w:outlineLvl w:val="2"/>
      </w:pPr>
      <w:r>
        <w:rPr>
          <w:rFonts w:ascii="黑体" w:hAnsi="黑体" w:eastAsia="黑体"/>
          <w:sz w:val="32"/>
        </w:rPr>
        <w:t>八、国有资本经营预算财政拨款收入支出决算情况说明</w:t>
      </w:r>
    </w:p>
    <w:p w14:paraId="737CD00C">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001C192">
      <w:pPr>
        <w:spacing w:line="640" w:lineRule="exact"/>
        <w:ind w:firstLine="640"/>
        <w:jc w:val="both"/>
        <w:outlineLvl w:val="2"/>
      </w:pPr>
      <w:r>
        <w:rPr>
          <w:rFonts w:ascii="黑体" w:hAnsi="黑体" w:eastAsia="黑体"/>
          <w:sz w:val="32"/>
        </w:rPr>
        <w:t>九、财政拨款“三公”经费支出决算情况说明</w:t>
      </w:r>
    </w:p>
    <w:p w14:paraId="06C28938">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66A03D9E">
      <w:pPr>
        <w:spacing w:line="580" w:lineRule="exact"/>
        <w:ind w:firstLine="640"/>
        <w:jc w:val="both"/>
      </w:pPr>
      <w:r>
        <w:rPr>
          <w:rFonts w:ascii="仿宋_GB2312" w:hAnsi="仿宋_GB2312" w:eastAsia="仿宋_GB2312"/>
          <w:b/>
          <w:sz w:val="32"/>
        </w:rPr>
        <w:t>具体情况如下：</w:t>
      </w:r>
    </w:p>
    <w:p w14:paraId="23441DC2">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15E7BB7">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单位业务用车，预算未安排公务用车运行维护费。</w:t>
      </w:r>
    </w:p>
    <w:p w14:paraId="543F7C8A">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54BE911">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319F5B38">
      <w:pPr>
        <w:spacing w:line="640" w:lineRule="exact"/>
        <w:ind w:firstLine="640"/>
        <w:jc w:val="both"/>
        <w:outlineLvl w:val="2"/>
      </w:pPr>
      <w:r>
        <w:rPr>
          <w:rFonts w:ascii="黑体" w:hAnsi="黑体" w:eastAsia="黑体"/>
          <w:sz w:val="32"/>
        </w:rPr>
        <w:t>十、其他重要事项的情况说明</w:t>
      </w:r>
    </w:p>
    <w:p w14:paraId="77CA6586">
      <w:pPr>
        <w:spacing w:line="640" w:lineRule="exact"/>
        <w:ind w:firstLine="640"/>
        <w:jc w:val="both"/>
        <w:outlineLvl w:val="3"/>
      </w:pPr>
      <w:r>
        <w:rPr>
          <w:rFonts w:ascii="楷体_GB2312" w:hAnsi="楷体_GB2312" w:eastAsia="楷体_GB2312"/>
          <w:b/>
          <w:sz w:val="32"/>
        </w:rPr>
        <w:t>（一）机关运行经费及公用经费支出情况</w:t>
      </w:r>
    </w:p>
    <w:p w14:paraId="53F82440">
      <w:pPr>
        <w:spacing w:line="580" w:lineRule="exact"/>
        <w:ind w:firstLine="640"/>
        <w:jc w:val="both"/>
      </w:pPr>
      <w:r>
        <w:rPr>
          <w:rFonts w:ascii="仿宋_GB2312" w:hAnsi="仿宋_GB2312" w:eastAsia="仿宋_GB2312"/>
          <w:b w:val="0"/>
          <w:sz w:val="32"/>
        </w:rPr>
        <w:t>2024年度阿克陶县恰尔隆镇卫生院（事业单位）公用经费支出0.00万元，比上年减少29.85万元，下降100.00%，主要原因是：2024年</w:t>
      </w:r>
      <w:r>
        <w:rPr>
          <w:rFonts w:hint="eastAsia" w:ascii="仿宋_GB2312" w:hAnsi="仿宋_GB2312" w:eastAsia="仿宋_GB2312"/>
          <w:b w:val="0"/>
          <w:sz w:val="32"/>
          <w:lang w:val="en-US" w:eastAsia="zh-CN"/>
        </w:rPr>
        <w:t>厉行节约，</w:t>
      </w:r>
      <w:bookmarkStart w:id="0" w:name="_GoBack"/>
      <w:bookmarkEnd w:id="0"/>
      <w:r>
        <w:rPr>
          <w:rFonts w:ascii="仿宋_GB2312" w:hAnsi="仿宋_GB2312" w:eastAsia="仿宋_GB2312"/>
          <w:b w:val="0"/>
          <w:sz w:val="32"/>
        </w:rPr>
        <w:t>未安排公用经费支出。</w:t>
      </w:r>
    </w:p>
    <w:p w14:paraId="114B42AC">
      <w:pPr>
        <w:spacing w:line="640" w:lineRule="exact"/>
        <w:ind w:firstLine="640"/>
        <w:jc w:val="both"/>
        <w:outlineLvl w:val="3"/>
      </w:pPr>
      <w:r>
        <w:rPr>
          <w:rFonts w:ascii="楷体_GB2312" w:hAnsi="楷体_GB2312" w:eastAsia="楷体_GB2312"/>
          <w:b/>
          <w:sz w:val="32"/>
        </w:rPr>
        <w:t>（二）政府采购情况</w:t>
      </w:r>
    </w:p>
    <w:p w14:paraId="212C4D0D">
      <w:pPr>
        <w:spacing w:line="580" w:lineRule="exact"/>
        <w:ind w:firstLine="640"/>
        <w:jc w:val="both"/>
      </w:pPr>
      <w:r>
        <w:rPr>
          <w:rFonts w:ascii="仿宋_GB2312" w:hAnsi="仿宋_GB2312" w:eastAsia="仿宋_GB2312"/>
          <w:b w:val="0"/>
          <w:sz w:val="32"/>
        </w:rPr>
        <w:t>2024年度政府采购支出总额12.23万元，其中：政府采购货物支出1.61万元、政府采购工程支出0.00万元、政府采购服务支出10.62万元。</w:t>
      </w:r>
    </w:p>
    <w:p w14:paraId="696DAC2F">
      <w:pPr>
        <w:spacing w:line="580" w:lineRule="exact"/>
        <w:ind w:firstLine="640"/>
        <w:jc w:val="both"/>
      </w:pPr>
      <w:r>
        <w:rPr>
          <w:rFonts w:ascii="仿宋_GB2312" w:hAnsi="仿宋_GB2312" w:eastAsia="仿宋_GB2312"/>
          <w:b w:val="0"/>
          <w:sz w:val="32"/>
        </w:rPr>
        <w:t>授予中小企业合同金额12.23万元，占政府采购支出总额的100.00%，其中：授予小微企业合同金额11.66万元，占政府采购支出总额的95.34%。</w:t>
      </w:r>
    </w:p>
    <w:p w14:paraId="46D81518">
      <w:pPr>
        <w:spacing w:line="640" w:lineRule="exact"/>
        <w:ind w:firstLine="640"/>
        <w:jc w:val="both"/>
        <w:outlineLvl w:val="3"/>
      </w:pPr>
      <w:r>
        <w:rPr>
          <w:rFonts w:ascii="楷体_GB2312" w:hAnsi="楷体_GB2312" w:eastAsia="楷体_GB2312"/>
          <w:b/>
          <w:sz w:val="32"/>
        </w:rPr>
        <w:t>（三）国有资产占用情况说明</w:t>
      </w:r>
    </w:p>
    <w:p w14:paraId="0F4911E3">
      <w:pPr>
        <w:spacing w:line="580" w:lineRule="exact"/>
        <w:ind w:firstLine="640"/>
        <w:jc w:val="both"/>
      </w:pPr>
      <w:r>
        <w:rPr>
          <w:rFonts w:ascii="仿宋_GB2312" w:hAnsi="仿宋_GB2312" w:eastAsia="仿宋_GB2312"/>
          <w:b w:val="0"/>
          <w:sz w:val="32"/>
        </w:rPr>
        <w:t>截至2024年12月31日，房屋6,007.40平方米，价值1,975.03万元。车辆1辆，价值17.32万元，其中：副部（省）级及以上领导用车0辆、主要负责人用车0辆、机要通信用车0辆、应急保障用车0辆、执法执勤用车0辆、特种专业技术用车0辆、离退休干部服务用车0辆、其他用车1辆，其他用车主要是：单位医疗救护车。单价100万元（含）以上设备（不含车辆）0台（套）。</w:t>
      </w:r>
    </w:p>
    <w:p w14:paraId="2F8FFF6C">
      <w:pPr>
        <w:spacing w:line="640" w:lineRule="exact"/>
        <w:ind w:firstLine="640"/>
        <w:jc w:val="both"/>
        <w:outlineLvl w:val="2"/>
      </w:pPr>
      <w:r>
        <w:rPr>
          <w:rFonts w:ascii="黑体" w:hAnsi="黑体" w:eastAsia="黑体"/>
          <w:sz w:val="32"/>
        </w:rPr>
        <w:t>十一、预算绩效的情况说明</w:t>
      </w:r>
    </w:p>
    <w:p w14:paraId="29176FFE">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760.12万元，实际执行总额719.40万元；预算绩效评价项目0个，全年预算数0.00万元，全年执行数0.00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无绩效自评项目。具体附整体支出绩效自评表。</w:t>
      </w:r>
    </w:p>
    <w:p w14:paraId="58987A97">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0A816216">
        <w:tblPrEx>
          <w:tblCellMar>
            <w:top w:w="0" w:type="dxa"/>
            <w:left w:w="108" w:type="dxa"/>
            <w:bottom w:w="0" w:type="dxa"/>
            <w:right w:w="108" w:type="dxa"/>
          </w:tblCellMar>
        </w:tblPrEx>
        <w:tc>
          <w:tcPr>
            <w:tcW w:w="8840" w:type="dxa"/>
            <w:gridSpan w:val="8"/>
            <w:vAlign w:val="center"/>
          </w:tcPr>
          <w:p w14:paraId="03010895">
            <w:pPr>
              <w:jc w:val="center"/>
            </w:pPr>
            <w:r>
              <w:rPr>
                <w:rFonts w:ascii="宋体" w:hAnsi="宋体" w:eastAsia="宋体"/>
                <w:sz w:val="24"/>
              </w:rPr>
              <w:t>单位整体支出绩效自评表</w:t>
            </w:r>
          </w:p>
        </w:tc>
      </w:tr>
      <w:tr w14:paraId="20E173F8">
        <w:tblPrEx>
          <w:tblCellMar>
            <w:top w:w="0" w:type="dxa"/>
            <w:left w:w="108" w:type="dxa"/>
            <w:bottom w:w="0" w:type="dxa"/>
            <w:right w:w="108" w:type="dxa"/>
          </w:tblCellMar>
        </w:tblPrEx>
        <w:tc>
          <w:tcPr>
            <w:tcW w:w="8840" w:type="dxa"/>
            <w:gridSpan w:val="8"/>
            <w:vAlign w:val="center"/>
          </w:tcPr>
          <w:p w14:paraId="17B8FC98">
            <w:pPr>
              <w:jc w:val="center"/>
            </w:pPr>
            <w:r>
              <w:rPr>
                <w:rFonts w:ascii="宋体" w:hAnsi="宋体" w:eastAsia="宋体"/>
                <w:sz w:val="24"/>
              </w:rPr>
              <w:t>（2024年度）</w:t>
            </w:r>
          </w:p>
        </w:tc>
      </w:tr>
      <w:tr w14:paraId="499B75D4">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07E996">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23DE5A">
            <w:pPr>
              <w:jc w:val="center"/>
            </w:pPr>
            <w:r>
              <w:rPr>
                <w:rFonts w:ascii="宋体" w:hAnsi="宋体" w:eastAsia="宋体"/>
                <w:sz w:val="16"/>
              </w:rPr>
              <w:t>阿克陶县恰尔隆镇卫生院</w:t>
            </w:r>
          </w:p>
        </w:tc>
      </w:tr>
      <w:tr w14:paraId="2A791BC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417E70">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9EB4A8">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40BC2F">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53DDDE">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7435C8">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7D47D7">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132D9E">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387B34">
            <w:pPr>
              <w:jc w:val="center"/>
            </w:pPr>
            <w:r>
              <w:rPr>
                <w:rFonts w:ascii="宋体" w:hAnsi="宋体" w:eastAsia="宋体"/>
                <w:sz w:val="16"/>
              </w:rPr>
              <w:t>得分</w:t>
            </w:r>
          </w:p>
        </w:tc>
      </w:tr>
      <w:tr w14:paraId="6D91BF5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AC1CFB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DFD103">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DB3A8C">
            <w:pPr>
              <w:jc w:val="center"/>
            </w:pPr>
            <w:r>
              <w:rPr>
                <w:rFonts w:ascii="宋体" w:hAnsi="宋体" w:eastAsia="宋体"/>
                <w:sz w:val="16"/>
              </w:rPr>
              <w:t>396.95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2D10AA">
            <w:pPr>
              <w:jc w:val="center"/>
            </w:pPr>
            <w:r>
              <w:rPr>
                <w:rFonts w:ascii="宋体" w:hAnsi="宋体" w:eastAsia="宋体"/>
                <w:sz w:val="16"/>
              </w:rPr>
              <w:t>760.12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2CA035">
            <w:pPr>
              <w:jc w:val="center"/>
            </w:pPr>
            <w:r>
              <w:rPr>
                <w:rFonts w:ascii="宋体" w:hAnsi="宋体" w:eastAsia="宋体"/>
                <w:sz w:val="16"/>
              </w:rPr>
              <w:t>719.40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DC766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117077">
            <w:pPr>
              <w:jc w:val="center"/>
            </w:pPr>
            <w:r>
              <w:rPr>
                <w:rFonts w:ascii="宋体" w:hAnsi="宋体" w:eastAsia="宋体"/>
                <w:sz w:val="16"/>
              </w:rPr>
              <w:t>94.64%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0E7AA4">
            <w:pPr>
              <w:jc w:val="center"/>
            </w:pPr>
            <w:r>
              <w:rPr>
                <w:rFonts w:ascii="宋体" w:hAnsi="宋体" w:eastAsia="宋体"/>
                <w:sz w:val="16"/>
              </w:rPr>
              <w:t>9.46</w:t>
            </w:r>
          </w:p>
        </w:tc>
      </w:tr>
      <w:tr w14:paraId="451257E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6B53C3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6AEF6E">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546021">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089C0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A139AB">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27D34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475A9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CB3536">
            <w:pPr>
              <w:jc w:val="center"/>
            </w:pPr>
            <w:r>
              <w:rPr>
                <w:rFonts w:ascii="宋体" w:hAnsi="宋体" w:eastAsia="宋体"/>
                <w:sz w:val="16"/>
              </w:rPr>
              <w:t>—</w:t>
            </w:r>
          </w:p>
        </w:tc>
      </w:tr>
      <w:tr w14:paraId="12E57D1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9BF413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191C1C">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87D9EB">
            <w:pPr>
              <w:jc w:val="center"/>
            </w:pPr>
            <w:r>
              <w:rPr>
                <w:rFonts w:ascii="宋体" w:hAnsi="宋体" w:eastAsia="宋体"/>
                <w:sz w:val="16"/>
              </w:rPr>
              <w:t>396.95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961DEF">
            <w:pPr>
              <w:jc w:val="center"/>
            </w:pPr>
            <w:r>
              <w:rPr>
                <w:rFonts w:ascii="宋体" w:hAnsi="宋体" w:eastAsia="宋体"/>
                <w:sz w:val="16"/>
              </w:rPr>
              <w:t>760.12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E89712">
            <w:pPr>
              <w:jc w:val="center"/>
            </w:pPr>
            <w:r>
              <w:rPr>
                <w:rFonts w:ascii="宋体" w:hAnsi="宋体" w:eastAsia="宋体"/>
                <w:sz w:val="16"/>
              </w:rPr>
              <w:t>719.40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15AE8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8C61A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63E6D3">
            <w:pPr>
              <w:jc w:val="center"/>
            </w:pPr>
            <w:r>
              <w:rPr>
                <w:rFonts w:ascii="宋体" w:hAnsi="宋体" w:eastAsia="宋体"/>
                <w:sz w:val="16"/>
              </w:rPr>
              <w:t>—</w:t>
            </w:r>
          </w:p>
        </w:tc>
      </w:tr>
      <w:tr w14:paraId="16FEE12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2FD1B8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771469">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F9B7B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24F5B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119D31">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7A5D9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5391A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EE613D">
            <w:pPr>
              <w:jc w:val="center"/>
            </w:pPr>
            <w:r>
              <w:rPr>
                <w:rFonts w:ascii="宋体" w:hAnsi="宋体" w:eastAsia="宋体"/>
                <w:sz w:val="16"/>
              </w:rPr>
              <w:t>—</w:t>
            </w:r>
          </w:p>
        </w:tc>
      </w:tr>
      <w:tr w14:paraId="5DA1740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64165F">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7E35736">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CC9E5C8">
            <w:pPr>
              <w:jc w:val="center"/>
            </w:pPr>
            <w:r>
              <w:rPr>
                <w:rFonts w:ascii="宋体" w:hAnsi="宋体" w:eastAsia="宋体"/>
                <w:sz w:val="16"/>
              </w:rPr>
              <w:t>实际完成情况</w:t>
            </w:r>
          </w:p>
        </w:tc>
      </w:tr>
      <w:tr w14:paraId="32458CD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260F1F9"/>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BFA7FEC">
            <w:pPr>
              <w:jc w:val="both"/>
            </w:pPr>
            <w:r>
              <w:rPr>
                <w:rFonts w:ascii="宋体" w:hAnsi="宋体" w:eastAsia="宋体"/>
                <w:sz w:val="16"/>
              </w:rPr>
              <w:t>确保在职人员的工资、津贴、补贴、社保、医保、公积金等以及离退休人员的工资、医疗费，长期临聘人员生活补助等人员保障性经费能够依规、按时、足额发放或缴纳，提升部门人员工作积极性和服务质量；保障部门日常运转，为部门正常履职和开展综合性事务管理提供有效支撑，确保冬季取暖费、车辆维护费等公用保障性经费按照财政安排和相关工作要求及时支出；防范和化解政府债务风险是全县重要任务之一，为了转变全县经济发展方式，促进经济持续健康发展，本部门高度重视，进行全面、真实、准确的报送数据，确保本单位政府债务监测统计工作，充分利用现有资源，以最小的成本</w:t>
            </w:r>
            <w:r>
              <w:rPr>
                <w:rFonts w:hint="eastAsia" w:ascii="宋体" w:hAnsi="宋体"/>
                <w:sz w:val="16"/>
                <w:lang w:eastAsia="zh-CN"/>
              </w:rPr>
              <w:t>最大限度满足</w:t>
            </w:r>
            <w:r>
              <w:rPr>
                <w:rFonts w:ascii="宋体" w:hAnsi="宋体" w:eastAsia="宋体"/>
                <w:sz w:val="16"/>
              </w:rPr>
              <w:t>广大人民群众的救治需求。</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07C088F">
            <w:pPr>
              <w:jc w:val="both"/>
            </w:pPr>
            <w:r>
              <w:rPr>
                <w:rFonts w:ascii="宋体" w:hAnsi="宋体" w:eastAsia="宋体"/>
                <w:sz w:val="16"/>
              </w:rPr>
              <w:t>本年度按时发放单位在职人数22人、退休人数3人公岗10人等人员工资，确保在职人员的工资、津贴、补贴、社保、医保、公积金等以及离退休人员的工资、医疗费，长期临聘人员生活补助等人员保障性经费能够依规、按时、足额发放或缴纳，提升部门人员工作积极性和服务质量；保障部门日常运转，为部门正常履职和开展综合性事务管理提供有效支撑，确保冬季取暖费、车辆维护费等公用保障性经费按照财政安排和相关工作要求及时支出；防范和化解政府债务风险是全县重要任务之一，为了转变全县经济发展方式，促进经济持续健康发展</w:t>
            </w:r>
            <w:r>
              <w:rPr>
                <w:rFonts w:hint="eastAsia" w:ascii="宋体" w:hAnsi="宋体"/>
                <w:sz w:val="16"/>
                <w:lang w:eastAsia="zh-CN"/>
              </w:rPr>
              <w:t>，各</w:t>
            </w:r>
            <w:r>
              <w:rPr>
                <w:rFonts w:ascii="宋体" w:hAnsi="宋体" w:eastAsia="宋体"/>
                <w:sz w:val="16"/>
              </w:rPr>
              <w:t>部门高度重视，进行全面、真实、准确</w:t>
            </w:r>
            <w:r>
              <w:rPr>
                <w:rFonts w:hint="eastAsia" w:ascii="宋体" w:hAnsi="宋体"/>
                <w:sz w:val="16"/>
                <w:lang w:eastAsia="zh-CN"/>
              </w:rPr>
              <w:t>地</w:t>
            </w:r>
            <w:r>
              <w:rPr>
                <w:rFonts w:ascii="宋体" w:hAnsi="宋体" w:eastAsia="宋体"/>
                <w:sz w:val="16"/>
              </w:rPr>
              <w:t>报送数据，确保本单位政府债务监测统计工作，充分利用现有资源，以最小的成本</w:t>
            </w:r>
            <w:r>
              <w:rPr>
                <w:rFonts w:hint="eastAsia" w:ascii="宋体" w:hAnsi="宋体"/>
                <w:sz w:val="16"/>
                <w:lang w:eastAsia="zh-CN"/>
              </w:rPr>
              <w:t>最大限度满足</w:t>
            </w:r>
            <w:r>
              <w:rPr>
                <w:rFonts w:ascii="宋体" w:hAnsi="宋体" w:eastAsia="宋体"/>
                <w:sz w:val="16"/>
              </w:rPr>
              <w:t>广大人民群众的救治需求。</w:t>
            </w:r>
          </w:p>
        </w:tc>
      </w:tr>
      <w:tr w14:paraId="337DB74C">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55271F">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88985C">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4D0EE0">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0295C4">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FB9901">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2D11BB">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4455C3">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1B44E8">
            <w:pPr>
              <w:jc w:val="center"/>
            </w:pPr>
            <w:r>
              <w:rPr>
                <w:rFonts w:ascii="宋体" w:hAnsi="宋体" w:eastAsia="宋体"/>
                <w:sz w:val="16"/>
              </w:rPr>
              <w:t>得分</w:t>
            </w:r>
          </w:p>
        </w:tc>
      </w:tr>
      <w:tr w14:paraId="046436B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0A240F">
            <w:pPr>
              <w:jc w:val="center"/>
            </w:pPr>
            <w:r>
              <w:rPr>
                <w:rFonts w:ascii="宋体" w:hAnsi="宋体" w:eastAsia="宋体"/>
                <w:sz w:val="16"/>
              </w:rPr>
              <w:t>运行成本</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E1A757">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D678A3">
            <w:pPr>
              <w:jc w:val="center"/>
            </w:pPr>
            <w:r>
              <w:rPr>
                <w:rFonts w:ascii="宋体" w:hAnsi="宋体" w:eastAsia="宋体"/>
                <w:sz w:val="16"/>
              </w:rPr>
              <w:t>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01A20C">
            <w:pPr>
              <w:jc w:val="center"/>
            </w:pPr>
            <w:r>
              <w:rPr>
                <w:rFonts w:ascii="宋体" w:hAnsi="宋体" w:eastAsia="宋体"/>
                <w:sz w:val="16"/>
              </w:rPr>
              <w:t>&gt;=28人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613853">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04AE8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13C4CA">
            <w:pPr>
              <w:jc w:val="center"/>
            </w:pPr>
            <w:r>
              <w:rPr>
                <w:rFonts w:ascii="宋体" w:hAnsi="宋体" w:eastAsia="宋体"/>
                <w:sz w:val="16"/>
              </w:rPr>
              <w:t>=35人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695893">
            <w:pPr>
              <w:jc w:val="center"/>
            </w:pPr>
            <w:r>
              <w:rPr>
                <w:rFonts w:ascii="宋体" w:hAnsi="宋体" w:eastAsia="宋体"/>
                <w:sz w:val="16"/>
              </w:rPr>
              <w:t>8</w:t>
            </w:r>
          </w:p>
        </w:tc>
      </w:tr>
      <w:tr w14:paraId="6476CA0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B1C332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85CF59">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4F4C2E">
            <w:pPr>
              <w:jc w:val="center"/>
            </w:pPr>
            <w:r>
              <w:rPr>
                <w:rFonts w:ascii="宋体" w:hAnsi="宋体" w:eastAsia="宋体"/>
                <w:sz w:val="16"/>
              </w:rPr>
              <w:t>部门整体年初预算控制数（万元）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919FED">
            <w:pPr>
              <w:jc w:val="center"/>
            </w:pPr>
            <w:r>
              <w:rPr>
                <w:rFonts w:ascii="宋体" w:hAnsi="宋体" w:eastAsia="宋体"/>
                <w:sz w:val="16"/>
              </w:rPr>
              <w:t>&lt;=396.95万元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B3746A">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2C0C6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26B936">
            <w:pPr>
              <w:jc w:val="center"/>
            </w:pPr>
            <w:r>
              <w:rPr>
                <w:rFonts w:ascii="宋体" w:hAnsi="宋体" w:eastAsia="宋体"/>
                <w:sz w:val="16"/>
              </w:rPr>
              <w:t>=719.4万元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218C2D">
            <w:pPr>
              <w:jc w:val="center"/>
            </w:pPr>
            <w:r>
              <w:rPr>
                <w:rFonts w:ascii="宋体" w:hAnsi="宋体" w:eastAsia="宋体"/>
                <w:sz w:val="16"/>
              </w:rPr>
              <w:t>5.52</w:t>
            </w:r>
          </w:p>
        </w:tc>
      </w:tr>
      <w:tr w14:paraId="2E0BC50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B2A02FD"/>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0C0982">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F3FFA4">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62906C">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B31845">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DFE52D">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6EA4AD">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53E085">
            <w:pPr>
              <w:jc w:val="center"/>
            </w:pPr>
            <w:r>
              <w:rPr>
                <w:rFonts w:ascii="宋体" w:hAnsi="宋体" w:eastAsia="宋体"/>
                <w:sz w:val="16"/>
              </w:rPr>
              <w:t>20</w:t>
            </w:r>
          </w:p>
        </w:tc>
      </w:tr>
      <w:tr w14:paraId="1F5F007F">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7C79E7">
            <w:pPr>
              <w:jc w:val="center"/>
            </w:pPr>
            <w:r>
              <w:rPr>
                <w:rFonts w:ascii="宋体" w:hAnsi="宋体" w:eastAsia="宋体"/>
                <w:sz w:val="16"/>
              </w:rPr>
              <w:t>管理效率</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7B2482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9767F5">
            <w:pPr>
              <w:jc w:val="center"/>
            </w:pPr>
            <w:r>
              <w:rPr>
                <w:rFonts w:ascii="宋体" w:hAnsi="宋体" w:eastAsia="宋体"/>
                <w:sz w:val="16"/>
              </w:rPr>
              <w:t>患者就诊率（%）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86EACC">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CD4DA5">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7B788C">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ED2E8E">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DD1163">
            <w:pPr>
              <w:jc w:val="center"/>
            </w:pPr>
            <w:r>
              <w:rPr>
                <w:rFonts w:ascii="宋体" w:hAnsi="宋体" w:eastAsia="宋体"/>
                <w:sz w:val="16"/>
              </w:rPr>
              <w:t>10</w:t>
            </w:r>
          </w:p>
        </w:tc>
      </w:tr>
      <w:tr w14:paraId="6143814C">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69DF1E">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084094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5FD745">
            <w:pPr>
              <w:jc w:val="center"/>
            </w:pPr>
            <w:r>
              <w:rPr>
                <w:rFonts w:ascii="宋体" w:hAnsi="宋体" w:eastAsia="宋体"/>
                <w:sz w:val="16"/>
              </w:rPr>
              <w:t>医疗服务能力有效提升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EEBA7C">
            <w:pPr>
              <w:jc w:val="center"/>
            </w:pPr>
            <w:r>
              <w:rPr>
                <w:rFonts w:ascii="宋体" w:hAnsi="宋体" w:eastAsia="宋体"/>
                <w:sz w:val="16"/>
              </w:rPr>
              <w:t>提升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1F0091">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F4909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3E8B34">
            <w:pPr>
              <w:jc w:val="center"/>
            </w:pPr>
            <w:r>
              <w:rPr>
                <w:rFonts w:ascii="宋体" w:hAnsi="宋体" w:eastAsia="宋体"/>
                <w:sz w:val="16"/>
              </w:rPr>
              <w:t>提升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6CDC11">
            <w:pPr>
              <w:jc w:val="center"/>
            </w:pPr>
            <w:r>
              <w:rPr>
                <w:rFonts w:ascii="宋体" w:hAnsi="宋体" w:eastAsia="宋体"/>
                <w:sz w:val="16"/>
              </w:rPr>
              <w:t>10</w:t>
            </w:r>
          </w:p>
        </w:tc>
      </w:tr>
      <w:tr w14:paraId="7A4D018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5A9486">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9D845F">
            <w:pPr>
              <w:jc w:val="center"/>
            </w:pPr>
            <w:r>
              <w:rPr>
                <w:rFonts w:ascii="宋体" w:hAnsi="宋体" w:eastAsia="宋体"/>
                <w:sz w:val="16"/>
              </w:rPr>
              <w:t>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8D3804">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832C9D">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B06196">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BB0882">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D83C2D">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55AEE8">
            <w:pPr>
              <w:jc w:val="center"/>
            </w:pPr>
            <w:r>
              <w:rPr>
                <w:rFonts w:ascii="宋体" w:hAnsi="宋体" w:eastAsia="宋体"/>
                <w:sz w:val="16"/>
              </w:rPr>
              <w:t>20</w:t>
            </w:r>
          </w:p>
        </w:tc>
      </w:tr>
      <w:tr w14:paraId="03A2A4D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A48B89">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A91CFF">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96FD1F">
            <w:pPr>
              <w:jc w:val="center"/>
            </w:pPr>
            <w:r>
              <w:rPr>
                <w:rFonts w:ascii="宋体" w:hAnsi="宋体" w:eastAsia="宋体"/>
                <w:sz w:val="16"/>
              </w:rPr>
              <w:t>患者满意度（%）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79DAE9">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542E9E">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EE4B5A">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CB7753">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D78231">
            <w:pPr>
              <w:jc w:val="center"/>
            </w:pPr>
            <w:r>
              <w:rPr>
                <w:rFonts w:ascii="宋体" w:hAnsi="宋体" w:eastAsia="宋体"/>
                <w:sz w:val="16"/>
              </w:rPr>
              <w:t>5</w:t>
            </w:r>
          </w:p>
        </w:tc>
      </w:tr>
      <w:tr w14:paraId="2E37BA4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7CA70F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A64F98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6C30D3">
            <w:pPr>
              <w:jc w:val="center"/>
            </w:pPr>
            <w:r>
              <w:rPr>
                <w:rFonts w:ascii="宋体" w:hAnsi="宋体" w:eastAsia="宋体"/>
                <w:sz w:val="16"/>
              </w:rPr>
              <w:t>医务人员的满意度（%）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DE41AC">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F00FAC">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C87C5E">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79F2DE">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989EFD">
            <w:pPr>
              <w:jc w:val="center"/>
            </w:pPr>
            <w:r>
              <w:rPr>
                <w:rFonts w:ascii="宋体" w:hAnsi="宋体" w:eastAsia="宋体"/>
                <w:sz w:val="16"/>
              </w:rPr>
              <w:t>5</w:t>
            </w:r>
          </w:p>
        </w:tc>
      </w:tr>
    </w:tbl>
    <w:p w14:paraId="10A25ED5">
      <w:r>
        <w:br w:type="page"/>
      </w:r>
    </w:p>
    <w:p w14:paraId="0889B899">
      <w:pPr>
        <w:spacing w:line="640" w:lineRule="exact"/>
        <w:ind w:firstLine="640"/>
        <w:jc w:val="both"/>
        <w:outlineLvl w:val="2"/>
      </w:pPr>
      <w:r>
        <w:rPr>
          <w:rFonts w:ascii="黑体" w:hAnsi="黑体" w:eastAsia="黑体"/>
          <w:sz w:val="32"/>
        </w:rPr>
        <w:t>十二、其他需说明的事项</w:t>
      </w:r>
    </w:p>
    <w:p w14:paraId="7EA6E844">
      <w:pPr>
        <w:spacing w:line="580" w:lineRule="exact"/>
        <w:ind w:firstLine="640"/>
        <w:jc w:val="both"/>
      </w:pPr>
      <w:r>
        <w:rPr>
          <w:rFonts w:ascii="仿宋_GB2312" w:hAnsi="仿宋_GB2312" w:eastAsia="仿宋_GB2312"/>
          <w:b w:val="0"/>
          <w:sz w:val="32"/>
        </w:rPr>
        <w:t>本单位无其他需说明的事项。</w:t>
      </w:r>
    </w:p>
    <w:p w14:paraId="5EFA8251">
      <w:r>
        <w:br w:type="page"/>
      </w:r>
    </w:p>
    <w:p w14:paraId="6BD8A6E6">
      <w:pPr>
        <w:spacing w:line="240" w:lineRule="auto"/>
        <w:jc w:val="center"/>
        <w:outlineLvl w:val="1"/>
      </w:pPr>
      <w:r>
        <w:rPr>
          <w:rFonts w:ascii="黑体" w:hAnsi="黑体" w:eastAsia="黑体"/>
          <w:sz w:val="32"/>
        </w:rPr>
        <w:t>第三部分 专业名词解释</w:t>
      </w:r>
    </w:p>
    <w:p w14:paraId="24ECECD6">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9A648BC">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F933C47">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2420A74">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43F384A">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7352655">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9906269">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72A3068">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CA74120">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D6588CA">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9A47A15">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F61C5F1">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8F043CF">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463EF3F">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483E075">
      <w:r>
        <w:br w:type="page"/>
      </w:r>
    </w:p>
    <w:p w14:paraId="0FA43AEC">
      <w:pPr>
        <w:spacing w:line="240" w:lineRule="auto"/>
        <w:jc w:val="center"/>
        <w:outlineLvl w:val="1"/>
      </w:pPr>
      <w:r>
        <w:rPr>
          <w:rFonts w:ascii="黑体" w:hAnsi="黑体" w:eastAsia="黑体"/>
          <w:sz w:val="32"/>
        </w:rPr>
        <w:t>第四部分 部门决算报表（见附表）</w:t>
      </w:r>
    </w:p>
    <w:p w14:paraId="52D95E7A">
      <w:pPr>
        <w:spacing w:line="240" w:lineRule="auto"/>
        <w:ind w:firstLine="640"/>
        <w:jc w:val="both"/>
      </w:pPr>
      <w:r>
        <w:rPr>
          <w:rFonts w:ascii="仿宋_GB2312" w:hAnsi="仿宋_GB2312" w:eastAsia="仿宋_GB2312"/>
          <w:b w:val="0"/>
          <w:sz w:val="32"/>
        </w:rPr>
        <w:t>一、《收入支出决算总表》</w:t>
      </w:r>
    </w:p>
    <w:p w14:paraId="49A2E63E">
      <w:pPr>
        <w:spacing w:line="240" w:lineRule="auto"/>
        <w:ind w:firstLine="640"/>
        <w:jc w:val="both"/>
      </w:pPr>
      <w:r>
        <w:rPr>
          <w:rFonts w:ascii="仿宋_GB2312" w:hAnsi="仿宋_GB2312" w:eastAsia="仿宋_GB2312"/>
          <w:b w:val="0"/>
          <w:sz w:val="32"/>
        </w:rPr>
        <w:t>二、《收入决算表》</w:t>
      </w:r>
    </w:p>
    <w:p w14:paraId="2E4AB0DA">
      <w:pPr>
        <w:spacing w:line="240" w:lineRule="auto"/>
        <w:ind w:firstLine="640"/>
        <w:jc w:val="both"/>
      </w:pPr>
      <w:r>
        <w:rPr>
          <w:rFonts w:ascii="仿宋_GB2312" w:hAnsi="仿宋_GB2312" w:eastAsia="仿宋_GB2312"/>
          <w:b w:val="0"/>
          <w:sz w:val="32"/>
        </w:rPr>
        <w:t>三、《支出决算表》</w:t>
      </w:r>
    </w:p>
    <w:p w14:paraId="118EA5E3">
      <w:pPr>
        <w:spacing w:line="240" w:lineRule="auto"/>
        <w:ind w:firstLine="640"/>
        <w:jc w:val="both"/>
      </w:pPr>
      <w:r>
        <w:rPr>
          <w:rFonts w:ascii="仿宋_GB2312" w:hAnsi="仿宋_GB2312" w:eastAsia="仿宋_GB2312"/>
          <w:b w:val="0"/>
          <w:sz w:val="32"/>
        </w:rPr>
        <w:t>四、《财政拨款收入支出决算总表》</w:t>
      </w:r>
    </w:p>
    <w:p w14:paraId="6692A69E">
      <w:pPr>
        <w:spacing w:line="240" w:lineRule="auto"/>
        <w:ind w:firstLine="640"/>
        <w:jc w:val="both"/>
      </w:pPr>
      <w:r>
        <w:rPr>
          <w:rFonts w:ascii="仿宋_GB2312" w:hAnsi="仿宋_GB2312" w:eastAsia="仿宋_GB2312"/>
          <w:b w:val="0"/>
          <w:sz w:val="32"/>
        </w:rPr>
        <w:t>五、《一般公共预算财政拨款支出决算表》</w:t>
      </w:r>
    </w:p>
    <w:p w14:paraId="3FBEB8D9">
      <w:pPr>
        <w:spacing w:line="240" w:lineRule="auto"/>
        <w:ind w:firstLine="640"/>
        <w:jc w:val="both"/>
      </w:pPr>
      <w:r>
        <w:rPr>
          <w:rFonts w:ascii="仿宋_GB2312" w:hAnsi="仿宋_GB2312" w:eastAsia="仿宋_GB2312"/>
          <w:b w:val="0"/>
          <w:sz w:val="32"/>
        </w:rPr>
        <w:t>六、《一般公共预算财政拨款基本支出决算表》</w:t>
      </w:r>
    </w:p>
    <w:p w14:paraId="24891029">
      <w:pPr>
        <w:spacing w:line="240" w:lineRule="auto"/>
        <w:ind w:firstLine="640"/>
        <w:jc w:val="both"/>
      </w:pPr>
      <w:r>
        <w:rPr>
          <w:rFonts w:ascii="仿宋_GB2312" w:hAnsi="仿宋_GB2312" w:eastAsia="仿宋_GB2312"/>
          <w:b w:val="0"/>
          <w:sz w:val="32"/>
        </w:rPr>
        <w:t>七、《政府性基金预算财政拨款收入支出决算表》</w:t>
      </w:r>
    </w:p>
    <w:p w14:paraId="55F18BA7">
      <w:pPr>
        <w:spacing w:line="240" w:lineRule="auto"/>
        <w:ind w:firstLine="640"/>
        <w:jc w:val="both"/>
      </w:pPr>
      <w:r>
        <w:rPr>
          <w:rFonts w:ascii="仿宋_GB2312" w:hAnsi="仿宋_GB2312" w:eastAsia="仿宋_GB2312"/>
          <w:b w:val="0"/>
          <w:sz w:val="32"/>
        </w:rPr>
        <w:t>八、《国有资本经营预算财政拨款收入支出决算表》</w:t>
      </w:r>
    </w:p>
    <w:p w14:paraId="01C9961D">
      <w:pPr>
        <w:spacing w:line="240" w:lineRule="auto"/>
        <w:ind w:firstLine="640"/>
        <w:jc w:val="both"/>
      </w:pPr>
      <w:r>
        <w:rPr>
          <w:rFonts w:ascii="仿宋_GB2312" w:hAnsi="仿宋_GB2312" w:eastAsia="仿宋_GB2312"/>
          <w:b w:val="0"/>
          <w:sz w:val="32"/>
        </w:rPr>
        <w:t>九、《财政拨款“三公”经费支出决算表》</w:t>
      </w:r>
    </w:p>
    <w:p w14:paraId="74F85CBB">
      <w:pPr>
        <w:spacing w:line="240" w:lineRule="auto"/>
        <w:ind w:firstLine="640"/>
        <w:jc w:val="both"/>
      </w:pPr>
    </w:p>
    <w:p w14:paraId="7D66BB1A">
      <w:pPr>
        <w:spacing w:line="240" w:lineRule="auto"/>
        <w:ind w:firstLine="640"/>
        <w:jc w:val="both"/>
      </w:pPr>
    </w:p>
    <w:p w14:paraId="0EEA211A">
      <w:pPr>
        <w:spacing w:line="240" w:lineRule="auto"/>
        <w:ind w:firstLine="640"/>
        <w:jc w:val="both"/>
      </w:pPr>
    </w:p>
    <w:p w14:paraId="77939BC3">
      <w:pPr>
        <w:spacing w:line="240" w:lineRule="auto"/>
        <w:ind w:firstLine="640"/>
        <w:jc w:val="both"/>
      </w:pPr>
    </w:p>
    <w:p w14:paraId="70E3FF9D">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CF4D0C1-A2AB-4995-A439-7520B62E7D6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angSong_GB2312">
    <w:altName w:val="仿宋_GB2312"/>
    <w:panose1 w:val="020B0604020202020204"/>
    <w:charset w:val="86"/>
    <w:family w:val="modern"/>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embedRegular r:id="rId2" w:fontKey="{5240E58C-0A23-407B-B5ED-23304719DAFD}"/>
  </w:font>
  <w:font w:name="楷体_GB2312">
    <w:panose1 w:val="02010609030101010101"/>
    <w:charset w:val="86"/>
    <w:family w:val="auto"/>
    <w:pitch w:val="default"/>
    <w:sig w:usb0="00000001" w:usb1="080E0000" w:usb2="00000000" w:usb3="00000000" w:csb0="00040000" w:csb1="00000000"/>
    <w:embedRegular r:id="rId3" w:fontKey="{7A1EF696-5207-4958-9705-75DE0CF18671}"/>
  </w:font>
  <w:font w:name="方正小标宋_GBK">
    <w:panose1 w:val="02000000000000000000"/>
    <w:charset w:val="86"/>
    <w:family w:val="script"/>
    <w:pitch w:val="default"/>
    <w:sig w:usb0="A00002BF" w:usb1="38CF7CFA" w:usb2="00082016" w:usb3="00000000" w:csb0="00040001" w:csb1="00000000"/>
    <w:embedRegular r:id="rId4" w:fontKey="{D047092C-27AE-4F50-9152-AD1FFB5A3F5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04B091B"/>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A056419"/>
    <w:rsid w:val="3A412809"/>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915687"/>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4411</Words>
  <Characters>5104</Characters>
  <Lines>0</Lines>
  <Paragraphs>0</Paragraphs>
  <TotalTime>9</TotalTime>
  <ScaleCrop>false</ScaleCrop>
  <LinksUpToDate>false</LinksUpToDate>
  <CharactersWithSpaces>5112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2025-09-15T08:54:58Z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eyJoZGlkIjoiNTBiYjFiYzY0OWM2ODlhYjA1NDAwODJkOGMwZGNkYTMiLCJ1c2VySWQiOiIyNTk4NTcxMjUifQ==</vt:lpwstr>
  </property>
</Properties>
</file>