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7C47B5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阿克陶江西工业园区管理委员会2024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BE4E4F1">
      <w:r>
        <w:br w:type="page"/>
      </w:r>
    </w:p>
    <w:p w14:paraId="700F8413">
      <w:pPr>
        <w:spacing w:line="640" w:lineRule="exact"/>
        <w:jc w:val="center"/>
        <w:outlineLvl w:val="1"/>
      </w:pPr>
      <w:r>
        <w:rPr>
          <w:rFonts w:ascii="黑体" w:hAnsi="黑体" w:eastAsia="黑体"/>
          <w:sz w:val="32"/>
        </w:rPr>
        <w:t>第一部分 单位概况</w:t>
      </w:r>
    </w:p>
    <w:p w14:paraId="7F2C0717">
      <w:pPr>
        <w:spacing w:line="640" w:lineRule="exact"/>
        <w:ind w:firstLine="640"/>
        <w:jc w:val="both"/>
        <w:outlineLvl w:val="2"/>
      </w:pPr>
      <w:r>
        <w:rPr>
          <w:rFonts w:ascii="黑体" w:hAnsi="黑体" w:eastAsia="黑体"/>
          <w:sz w:val="32"/>
        </w:rPr>
        <w:t>一、主要职能</w:t>
      </w:r>
    </w:p>
    <w:p w14:paraId="2AB86E01">
      <w:pPr>
        <w:spacing w:line="580" w:lineRule="exact"/>
        <w:ind w:firstLine="640"/>
        <w:jc w:val="both"/>
      </w:pPr>
      <w:r>
        <w:rPr>
          <w:rFonts w:ascii="仿宋_GB2312" w:hAnsi="仿宋_GB2312" w:eastAsia="仿宋_GB2312"/>
          <w:sz w:val="32"/>
        </w:rPr>
        <w:t>(一)贯彻执行国家法律、法规和政策，执行</w:t>
      </w:r>
      <w:r>
        <w:rPr>
          <w:rFonts w:hint="eastAsia" w:ascii="仿宋_GB2312" w:hAnsi="仿宋_GB2312" w:eastAsia="仿宋_GB2312"/>
          <w:sz w:val="32"/>
          <w:lang w:eastAsia="zh-CN"/>
        </w:rPr>
        <w:t>县人民政府</w:t>
      </w:r>
      <w:r>
        <w:rPr>
          <w:rFonts w:ascii="仿宋_GB2312" w:hAnsi="仿宋_GB2312" w:eastAsia="仿宋_GB2312"/>
          <w:sz w:val="32"/>
        </w:rPr>
        <w:t>有关决定，制定和实施园区有关管理规定。</w:t>
      </w:r>
    </w:p>
    <w:p w14:paraId="6646CD34">
      <w:pPr>
        <w:spacing w:line="580" w:lineRule="exact"/>
        <w:ind w:firstLine="640"/>
        <w:jc w:val="both"/>
      </w:pPr>
      <w:r>
        <w:rPr>
          <w:rFonts w:ascii="仿宋_GB2312" w:hAnsi="仿宋_GB2312" w:eastAsia="仿宋_GB2312"/>
          <w:sz w:val="32"/>
        </w:rPr>
        <w:t>(二)依据阿克陶县经济社会发展计划和城市建设总体规划，编制园区经济社会发展计划、产业发展规划和建设规划，经批准后组织实施。</w:t>
      </w:r>
    </w:p>
    <w:p w14:paraId="542E186B">
      <w:pPr>
        <w:spacing w:line="580" w:lineRule="exact"/>
        <w:ind w:firstLine="640"/>
        <w:jc w:val="both"/>
      </w:pPr>
      <w:r>
        <w:rPr>
          <w:rFonts w:ascii="仿宋_GB2312" w:hAnsi="仿宋_GB2312" w:eastAsia="仿宋_GB2312"/>
          <w:sz w:val="32"/>
        </w:rPr>
        <w:t>(三)负责园区权限内各类投资项目的审批、核准和备案工作。</w:t>
      </w:r>
    </w:p>
    <w:p w14:paraId="659B2794">
      <w:pPr>
        <w:spacing w:line="580" w:lineRule="exact"/>
        <w:ind w:firstLine="640"/>
        <w:jc w:val="both"/>
      </w:pPr>
      <w:r>
        <w:rPr>
          <w:rFonts w:ascii="仿宋_GB2312" w:hAnsi="仿宋_GB2312" w:eastAsia="仿宋_GB2312"/>
          <w:sz w:val="32"/>
        </w:rPr>
        <w:t>(四)负责园区土地的征收、开发、建设和管理工作。</w:t>
      </w:r>
    </w:p>
    <w:p w14:paraId="542DD335">
      <w:pPr>
        <w:spacing w:line="580" w:lineRule="exact"/>
        <w:ind w:firstLine="640"/>
        <w:jc w:val="both"/>
      </w:pPr>
      <w:r>
        <w:rPr>
          <w:rFonts w:ascii="仿宋_GB2312" w:hAnsi="仿宋_GB2312" w:eastAsia="仿宋_GB2312"/>
          <w:sz w:val="32"/>
        </w:rPr>
        <w:t>(五)负责园区的规划、建设、审计、人社、科技、安全、环保、统计和国有资产管理等工作。</w:t>
      </w:r>
    </w:p>
    <w:p w14:paraId="7017943B">
      <w:pPr>
        <w:spacing w:line="580" w:lineRule="exact"/>
        <w:ind w:firstLine="640"/>
        <w:jc w:val="both"/>
      </w:pPr>
      <w:r>
        <w:rPr>
          <w:rFonts w:ascii="仿宋_GB2312" w:hAnsi="仿宋_GB2312" w:eastAsia="仿宋_GB2312"/>
          <w:sz w:val="32"/>
        </w:rPr>
        <w:t>(六)负责规划、建设、管理园区的各类公共基础设施和房产开发、市政及园林绿化等工作。</w:t>
      </w:r>
    </w:p>
    <w:p w14:paraId="07762082">
      <w:pPr>
        <w:spacing w:line="580" w:lineRule="exact"/>
        <w:ind w:firstLine="640"/>
        <w:jc w:val="both"/>
      </w:pPr>
      <w:r>
        <w:rPr>
          <w:rFonts w:ascii="仿宋_GB2312" w:hAnsi="仿宋_GB2312" w:eastAsia="仿宋_GB2312"/>
          <w:sz w:val="32"/>
        </w:rPr>
        <w:t>(七)负责组织、协调、管理园区的科技创新、评审认定、申报园区内高新技术企业及产品。</w:t>
      </w:r>
    </w:p>
    <w:p w14:paraId="2ABFAE23">
      <w:pPr>
        <w:spacing w:line="580" w:lineRule="exact"/>
        <w:ind w:firstLine="640"/>
        <w:jc w:val="both"/>
      </w:pPr>
      <w:r>
        <w:rPr>
          <w:rFonts w:ascii="仿宋_GB2312" w:hAnsi="仿宋_GB2312" w:eastAsia="仿宋_GB2312"/>
          <w:sz w:val="32"/>
        </w:rPr>
        <w:t>(八)负责园区“两新”组织管理、社会事业发展和社会事务管理工作。</w:t>
      </w:r>
    </w:p>
    <w:p w14:paraId="6E4287D4">
      <w:pPr>
        <w:spacing w:line="580" w:lineRule="exact"/>
        <w:ind w:firstLine="640"/>
        <w:jc w:val="both"/>
      </w:pPr>
      <w:r>
        <w:rPr>
          <w:rFonts w:ascii="仿宋_GB2312" w:hAnsi="仿宋_GB2312" w:eastAsia="仿宋_GB2312"/>
          <w:sz w:val="32"/>
        </w:rPr>
        <w:t>(九)负责园区招商引资、人才引进和对外经济技术合作工作。</w:t>
      </w:r>
    </w:p>
    <w:p w14:paraId="3D150414">
      <w:pPr>
        <w:spacing w:line="580" w:lineRule="exact"/>
        <w:ind w:firstLine="640"/>
        <w:jc w:val="both"/>
      </w:pPr>
      <w:r>
        <w:rPr>
          <w:rFonts w:ascii="仿宋_GB2312" w:hAnsi="仿宋_GB2312" w:eastAsia="仿宋_GB2312"/>
          <w:sz w:val="32"/>
        </w:rPr>
        <w:t>(十)负责园区企事业组织的管理、协调和服务。</w:t>
      </w:r>
    </w:p>
    <w:p w14:paraId="465981BB">
      <w:pPr>
        <w:spacing w:line="580" w:lineRule="exact"/>
        <w:ind w:firstLine="640"/>
        <w:jc w:val="both"/>
      </w:pPr>
      <w:r>
        <w:rPr>
          <w:rFonts w:ascii="仿宋_GB2312" w:hAnsi="仿宋_GB2312" w:eastAsia="仿宋_GB2312"/>
          <w:sz w:val="32"/>
        </w:rPr>
        <w:t>(十一)监督、检查、协调有关部门设在园区的派出机构或分支机构的工作。</w:t>
      </w:r>
    </w:p>
    <w:p w14:paraId="20058B0F">
      <w:pPr>
        <w:spacing w:line="580" w:lineRule="exact"/>
        <w:ind w:firstLine="640"/>
        <w:jc w:val="both"/>
      </w:pPr>
      <w:r>
        <w:rPr>
          <w:rFonts w:ascii="仿宋_GB2312" w:hAnsi="仿宋_GB2312" w:eastAsia="仿宋_GB2312"/>
          <w:sz w:val="32"/>
        </w:rPr>
        <w:t>(十二)负责园区社会管理、精神文明、基层组织建设等各项社会事务性工作。</w:t>
      </w:r>
    </w:p>
    <w:p w14:paraId="1133BCBD">
      <w:pPr>
        <w:spacing w:line="580" w:lineRule="exact"/>
        <w:ind w:firstLine="640"/>
        <w:jc w:val="both"/>
      </w:pPr>
      <w:r>
        <w:rPr>
          <w:rFonts w:ascii="仿宋_GB2312" w:hAnsi="仿宋_GB2312" w:eastAsia="仿宋_GB2312"/>
          <w:sz w:val="32"/>
        </w:rPr>
        <w:t>(十三)负责</w:t>
      </w:r>
      <w:r>
        <w:rPr>
          <w:rFonts w:hint="eastAsia" w:ascii="仿宋_GB2312" w:hAnsi="仿宋_GB2312" w:eastAsia="仿宋_GB2312"/>
          <w:sz w:val="32"/>
          <w:lang w:eastAsia="zh-CN"/>
        </w:rPr>
        <w:t>县人民政府</w:t>
      </w:r>
      <w:r>
        <w:rPr>
          <w:rFonts w:ascii="仿宋_GB2312" w:hAnsi="仿宋_GB2312" w:eastAsia="仿宋_GB2312"/>
          <w:sz w:val="32"/>
        </w:rPr>
        <w:t>授予的其他职责。</w:t>
      </w:r>
    </w:p>
    <w:p w14:paraId="495D6C5D">
      <w:pPr>
        <w:spacing w:line="640" w:lineRule="exact"/>
        <w:ind w:firstLine="640"/>
        <w:jc w:val="both"/>
        <w:outlineLvl w:val="2"/>
      </w:pPr>
      <w:r>
        <w:rPr>
          <w:rFonts w:ascii="黑体" w:hAnsi="黑体" w:eastAsia="黑体"/>
          <w:sz w:val="32"/>
        </w:rPr>
        <w:t>二、机构设置及人员情况</w:t>
      </w:r>
    </w:p>
    <w:p w14:paraId="10221EF7">
      <w:pPr>
        <w:spacing w:line="580" w:lineRule="exact"/>
        <w:ind w:firstLine="640"/>
        <w:jc w:val="both"/>
      </w:pPr>
      <w:r>
        <w:rPr>
          <w:rFonts w:ascii="仿宋_GB2312" w:hAnsi="仿宋_GB2312" w:eastAsia="仿宋_GB2312"/>
          <w:sz w:val="32"/>
        </w:rPr>
        <w:t>阿克陶江西工业园区管理委员会2024年度，实有人数26人，其中：在职人员25人，增加0人；离休人员0人，增加0人；退休人员1人,增加0人。</w:t>
      </w:r>
    </w:p>
    <w:p w14:paraId="6DAF34B5">
      <w:pPr>
        <w:spacing w:line="580" w:lineRule="exact"/>
        <w:ind w:firstLine="640"/>
        <w:jc w:val="both"/>
      </w:pPr>
      <w:r>
        <w:rPr>
          <w:rFonts w:ascii="仿宋_GB2312" w:hAnsi="仿宋_GB2312" w:eastAsia="仿宋_GB2312"/>
          <w:sz w:val="32"/>
        </w:rPr>
        <w:t>阿克陶江西工业园区管理委员会无下属预算单位，下设4个科室，分别是：党政综合办公室、企业服务中心、招商发展局、规划建设保护局。</w:t>
      </w:r>
    </w:p>
    <w:p w14:paraId="0A3B6E68">
      <w:r>
        <w:br w:type="page"/>
      </w:r>
    </w:p>
    <w:p w14:paraId="47CD1A9A">
      <w:pPr>
        <w:spacing w:line="240" w:lineRule="auto"/>
        <w:jc w:val="center"/>
        <w:outlineLvl w:val="1"/>
      </w:pPr>
      <w:r>
        <w:rPr>
          <w:rFonts w:ascii="黑体" w:hAnsi="黑体" w:eastAsia="黑体"/>
          <w:sz w:val="32"/>
        </w:rPr>
        <w:t>第二部分 部门决算情况说明</w:t>
      </w:r>
    </w:p>
    <w:p w14:paraId="04499195">
      <w:pPr>
        <w:spacing w:line="640" w:lineRule="exact"/>
        <w:ind w:firstLine="640"/>
        <w:jc w:val="both"/>
        <w:outlineLvl w:val="2"/>
      </w:pPr>
      <w:r>
        <w:rPr>
          <w:rFonts w:ascii="黑体" w:hAnsi="黑体" w:eastAsia="黑体"/>
          <w:sz w:val="32"/>
        </w:rPr>
        <w:t>一、收入支出决算总体情况说明</w:t>
      </w:r>
    </w:p>
    <w:p w14:paraId="5F09243C">
      <w:pPr>
        <w:spacing w:line="580" w:lineRule="exact"/>
        <w:ind w:firstLine="640"/>
        <w:jc w:val="both"/>
      </w:pPr>
      <w:r>
        <w:rPr>
          <w:rFonts w:ascii="仿宋_GB2312" w:hAnsi="仿宋_GB2312" w:eastAsia="仿宋_GB2312"/>
          <w:b/>
          <w:sz w:val="32"/>
        </w:rPr>
        <w:t>2024年度收入总计2,117.62万元，</w:t>
      </w:r>
      <w:r>
        <w:rPr>
          <w:rFonts w:ascii="仿宋_GB2312" w:hAnsi="仿宋_GB2312" w:eastAsia="仿宋_GB2312"/>
          <w:b w:val="0"/>
          <w:sz w:val="32"/>
        </w:rPr>
        <w:t>其中：本年收入合计1,849.68万元，使用非财政拨款结余（含专用结余）0.00万元，年初结转和结余267.94万元。</w:t>
      </w:r>
    </w:p>
    <w:p w14:paraId="6FDDCD57">
      <w:pPr>
        <w:spacing w:line="580" w:lineRule="exact"/>
        <w:ind w:firstLine="640"/>
        <w:jc w:val="both"/>
      </w:pPr>
      <w:r>
        <w:rPr>
          <w:rFonts w:ascii="仿宋_GB2312" w:hAnsi="仿宋_GB2312" w:eastAsia="仿宋_GB2312"/>
          <w:b/>
          <w:sz w:val="32"/>
        </w:rPr>
        <w:t>2024年度支出总计2,117.62万元，</w:t>
      </w:r>
      <w:r>
        <w:rPr>
          <w:rFonts w:ascii="仿宋_GB2312" w:hAnsi="仿宋_GB2312" w:eastAsia="仿宋_GB2312"/>
          <w:b w:val="0"/>
          <w:sz w:val="32"/>
        </w:rPr>
        <w:t>其中：本年支出合计1,690.63万元，结余分配0.00万元，年末结转和结余426.98万元。</w:t>
      </w:r>
    </w:p>
    <w:p w14:paraId="61175467">
      <w:pPr>
        <w:spacing w:line="580" w:lineRule="exact"/>
        <w:ind w:firstLine="640"/>
        <w:jc w:val="both"/>
      </w:pPr>
      <w:r>
        <w:rPr>
          <w:rFonts w:ascii="仿宋_GB2312" w:hAnsi="仿宋_GB2312" w:eastAsia="仿宋_GB2312"/>
          <w:b w:val="0"/>
          <w:sz w:val="32"/>
        </w:rPr>
        <w:t>收入支出总体与上年相比，减少3,767.54万元，下降64.02%，主要原因是：1.本年减少水费、电费、集中供热站经费。2.本年减少阿克陶县就业培训基地建设项目、阿克陶县轻工业园区西区6#厂房工程、阿克陶江西工业园区供水工程管道施工（一标）建设、工业园区综合基础设施建设项目（解放路，东环路）绿化亮化补助资金。3.本年减少阿克陶县江西工业园区供热项目、阿克陶县江西工业园区垃圾回收利用项目</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p>
    <w:p w14:paraId="1B625CA5">
      <w:pPr>
        <w:spacing w:line="640" w:lineRule="exact"/>
        <w:ind w:firstLine="640"/>
        <w:jc w:val="both"/>
        <w:outlineLvl w:val="2"/>
      </w:pPr>
      <w:r>
        <w:rPr>
          <w:rFonts w:ascii="黑体" w:hAnsi="黑体" w:eastAsia="黑体"/>
          <w:sz w:val="32"/>
        </w:rPr>
        <w:t>二、收入决算情况说明</w:t>
      </w:r>
    </w:p>
    <w:p w14:paraId="055623D2">
      <w:pPr>
        <w:spacing w:line="580" w:lineRule="exact"/>
        <w:ind w:firstLine="640"/>
        <w:jc w:val="both"/>
      </w:pPr>
      <w:r>
        <w:rPr>
          <w:rFonts w:ascii="仿宋_GB2312" w:hAnsi="仿宋_GB2312" w:eastAsia="仿宋_GB2312"/>
          <w:b/>
          <w:sz w:val="32"/>
        </w:rPr>
        <w:t>本年收入1,849.68万元，</w:t>
      </w:r>
      <w:r>
        <w:rPr>
          <w:rFonts w:ascii="仿宋_GB2312" w:hAnsi="仿宋_GB2312" w:eastAsia="仿宋_GB2312"/>
          <w:b w:val="0"/>
          <w:sz w:val="32"/>
        </w:rPr>
        <w:t>其中：财政拨款收入989.64万元，占53.50%；上级补助收入0.00万元，占0.00%；事业收入0.00万元，占0.00%；经营收入0.00万元，占0.00%；附属单位上缴收入0.00万元，占0.00%；其他收入860.03万元，占46.50%。</w:t>
      </w:r>
    </w:p>
    <w:p w14:paraId="597A5586">
      <w:pPr>
        <w:spacing w:line="640" w:lineRule="exact"/>
        <w:ind w:firstLine="640"/>
        <w:jc w:val="both"/>
        <w:outlineLvl w:val="2"/>
      </w:pPr>
      <w:r>
        <w:rPr>
          <w:rFonts w:ascii="黑体" w:hAnsi="黑体" w:eastAsia="黑体"/>
          <w:sz w:val="32"/>
        </w:rPr>
        <w:t>三、支出决算情况说明</w:t>
      </w:r>
    </w:p>
    <w:p w14:paraId="7173438F">
      <w:pPr>
        <w:spacing w:line="580" w:lineRule="exact"/>
        <w:ind w:firstLine="640"/>
        <w:jc w:val="both"/>
      </w:pPr>
      <w:r>
        <w:rPr>
          <w:rFonts w:ascii="仿宋_GB2312" w:hAnsi="仿宋_GB2312" w:eastAsia="仿宋_GB2312"/>
          <w:b/>
          <w:sz w:val="32"/>
        </w:rPr>
        <w:t>本年支出1,690.63万元，</w:t>
      </w:r>
      <w:r>
        <w:rPr>
          <w:rFonts w:ascii="仿宋_GB2312" w:hAnsi="仿宋_GB2312" w:eastAsia="仿宋_GB2312"/>
          <w:b w:val="0"/>
          <w:sz w:val="32"/>
        </w:rPr>
        <w:t>其中：基本支出572.34万元，占33.85%；项目支出1,118.29万元，占66.15%；上缴上级支出0.00万元，占0.00%；经营支出0.00万元，占0.00%；对附属单位补助支出0.00万元，占0.00%。</w:t>
      </w:r>
    </w:p>
    <w:p w14:paraId="28C41AA1">
      <w:pPr>
        <w:spacing w:line="640" w:lineRule="exact"/>
        <w:ind w:firstLine="640"/>
        <w:jc w:val="both"/>
        <w:outlineLvl w:val="2"/>
      </w:pPr>
      <w:r>
        <w:rPr>
          <w:rFonts w:ascii="黑体" w:hAnsi="黑体" w:eastAsia="黑体"/>
          <w:sz w:val="32"/>
        </w:rPr>
        <w:t>四、财政拨款收入支出决算总体情况说明</w:t>
      </w:r>
    </w:p>
    <w:p w14:paraId="6E8DBE4F">
      <w:pPr>
        <w:spacing w:line="580" w:lineRule="exact"/>
        <w:ind w:firstLine="640"/>
        <w:jc w:val="both"/>
      </w:pPr>
      <w:r>
        <w:rPr>
          <w:rFonts w:ascii="仿宋_GB2312" w:hAnsi="仿宋_GB2312" w:eastAsia="仿宋_GB2312"/>
          <w:b/>
          <w:sz w:val="32"/>
        </w:rPr>
        <w:t>2024年度财政拨款收入总计989.64万元，</w:t>
      </w:r>
      <w:r>
        <w:rPr>
          <w:rFonts w:ascii="仿宋_GB2312" w:hAnsi="仿宋_GB2312" w:eastAsia="仿宋_GB2312"/>
          <w:b w:val="0"/>
          <w:sz w:val="32"/>
        </w:rPr>
        <w:t>其中：年初财政拨款结转和结余0.00万元，本年财政拨款收入989.64万元。</w:t>
      </w:r>
      <w:r>
        <w:rPr>
          <w:rFonts w:ascii="仿宋_GB2312" w:hAnsi="仿宋_GB2312" w:eastAsia="仿宋_GB2312"/>
          <w:b/>
          <w:sz w:val="32"/>
        </w:rPr>
        <w:t>财政拨款支出总计989.64万元，</w:t>
      </w:r>
      <w:r>
        <w:rPr>
          <w:rFonts w:ascii="仿宋_GB2312" w:hAnsi="仿宋_GB2312" w:eastAsia="仿宋_GB2312"/>
          <w:b w:val="0"/>
          <w:sz w:val="32"/>
        </w:rPr>
        <w:t>其中：年末财政拨款结转和结余0.00万元，本年财政拨款支出989.64万元。</w:t>
      </w:r>
    </w:p>
    <w:p w14:paraId="07A5A5B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3,768.50万元，下降79.20%，主要原因是：1.本年减少水费、电费、集中供热站经费。2.本年减少阿克陶县就业培训基地建设项目、阿克陶县轻工业园区西区6#厂房工程、阿克陶江西工业园区供水工程管道施工（一标）建设、工业园区综合基础设施建设项目（解放路，东环路）绿化亮化补助资金。3.本年减少阿克陶县江西工业园区供热项目、阿克陶县江西工业园区垃圾回收利用项目</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年初预算数1,166.99万元，决算数989.64万元，预决算差异率-15.20%，主要原因是：阿克陶江西工业园区供排水建设项目未按年初预算执行，项目资金结转至下一年度，导致预决算差异。</w:t>
      </w:r>
    </w:p>
    <w:p w14:paraId="1F92D8C8">
      <w:pPr>
        <w:spacing w:line="640" w:lineRule="exact"/>
        <w:ind w:firstLine="640"/>
        <w:jc w:val="both"/>
        <w:outlineLvl w:val="2"/>
      </w:pPr>
      <w:r>
        <w:rPr>
          <w:rFonts w:ascii="黑体" w:hAnsi="黑体" w:eastAsia="黑体"/>
          <w:sz w:val="32"/>
        </w:rPr>
        <w:t>五、一般公共预算财政拨款支出决算情况说明</w:t>
      </w:r>
    </w:p>
    <w:p w14:paraId="5365C70B">
      <w:pPr>
        <w:spacing w:line="640" w:lineRule="exact"/>
        <w:ind w:firstLine="640"/>
        <w:jc w:val="both"/>
        <w:outlineLvl w:val="3"/>
      </w:pPr>
      <w:r>
        <w:rPr>
          <w:rFonts w:ascii="楷体_GB2312" w:hAnsi="楷体_GB2312" w:eastAsia="楷体_GB2312"/>
          <w:b/>
          <w:sz w:val="32"/>
        </w:rPr>
        <w:t>（一）一般公共预算财政拨款支出决算总体情况</w:t>
      </w:r>
    </w:p>
    <w:p w14:paraId="61B4768D">
      <w:pPr>
        <w:spacing w:line="580" w:lineRule="exact"/>
        <w:ind w:firstLine="640"/>
        <w:jc w:val="both"/>
      </w:pPr>
      <w:r>
        <w:rPr>
          <w:rFonts w:ascii="仿宋_GB2312" w:hAnsi="仿宋_GB2312" w:eastAsia="仿宋_GB2312"/>
          <w:b/>
          <w:sz w:val="32"/>
        </w:rPr>
        <w:t>2024年度一般公共预算财政拨款支出815.17万元，</w:t>
      </w:r>
      <w:r>
        <w:rPr>
          <w:rFonts w:ascii="仿宋_GB2312" w:hAnsi="仿宋_GB2312" w:eastAsia="仿宋_GB2312"/>
          <w:b w:val="0"/>
          <w:sz w:val="32"/>
        </w:rPr>
        <w:t>占本年支出合计的48.22%。</w:t>
      </w:r>
      <w:r>
        <w:rPr>
          <w:rFonts w:ascii="仿宋_GB2312" w:hAnsi="仿宋_GB2312" w:eastAsia="仿宋_GB2312"/>
          <w:b/>
          <w:sz w:val="32"/>
        </w:rPr>
        <w:t>与上年相比，</w:t>
      </w:r>
      <w:r>
        <w:rPr>
          <w:rFonts w:ascii="仿宋_GB2312" w:hAnsi="仿宋_GB2312" w:eastAsia="仿宋_GB2312"/>
          <w:b w:val="0"/>
          <w:sz w:val="32"/>
        </w:rPr>
        <w:t>减少697.52万元，下降46.11%，主要原因是：1.本年减少水费、电费、集中供热站经费。2.本年减少阿克陶县就业培训基地建设项目、阿克陶县轻工业园区西区6#厂房工程、阿克陶江西工业园区供水工程管道施工（一标）建设、工业园区综合基础设施建设项目（解放路，东环路）绿化亮化补助资金。</w:t>
      </w:r>
      <w:r>
        <w:rPr>
          <w:rFonts w:ascii="仿宋_GB2312" w:hAnsi="仿宋_GB2312" w:eastAsia="仿宋_GB2312"/>
          <w:b/>
          <w:sz w:val="32"/>
        </w:rPr>
        <w:t>与年初预算相比,</w:t>
      </w:r>
      <w:r>
        <w:rPr>
          <w:rFonts w:ascii="仿宋_GB2312" w:hAnsi="仿宋_GB2312" w:eastAsia="仿宋_GB2312"/>
          <w:b w:val="0"/>
          <w:sz w:val="32"/>
        </w:rPr>
        <w:t>年初预算数623.78万元，决算数815.17万元，预决算差异率30.68%，主要原因是：年中追加轻工业园区7厂房消防水池及附属工程项目、孵化基地宿舍楼监理费、阿克陶江西工业园区城北工业园区基础设施建设项目植被恢复费等项目，导致预决算存在差异。</w:t>
      </w:r>
    </w:p>
    <w:p w14:paraId="2B89A689">
      <w:pPr>
        <w:spacing w:line="640" w:lineRule="exact"/>
        <w:ind w:firstLine="640"/>
        <w:jc w:val="both"/>
        <w:outlineLvl w:val="3"/>
      </w:pPr>
      <w:r>
        <w:rPr>
          <w:rFonts w:ascii="楷体_GB2312" w:hAnsi="楷体_GB2312" w:eastAsia="楷体_GB2312"/>
          <w:b/>
          <w:sz w:val="32"/>
        </w:rPr>
        <w:t>（二）一般公共预算财政拨款支出决算结构情况</w:t>
      </w:r>
    </w:p>
    <w:p w14:paraId="20483E9D">
      <w:pPr>
        <w:spacing w:line="580" w:lineRule="exact"/>
        <w:ind w:firstLine="640"/>
        <w:jc w:val="both"/>
      </w:pPr>
      <w:r>
        <w:rPr>
          <w:rFonts w:ascii="仿宋_GB2312" w:hAnsi="仿宋_GB2312" w:eastAsia="仿宋_GB2312"/>
          <w:b w:val="0"/>
          <w:sz w:val="32"/>
        </w:rPr>
        <w:t>1.一般公共服务支出(类)496.88万元,占60.95%。</w:t>
      </w:r>
    </w:p>
    <w:p w14:paraId="60FDAE18">
      <w:pPr>
        <w:spacing w:line="580" w:lineRule="exact"/>
        <w:ind w:firstLine="640"/>
        <w:jc w:val="both"/>
      </w:pPr>
      <w:r>
        <w:rPr>
          <w:rFonts w:ascii="仿宋_GB2312" w:hAnsi="仿宋_GB2312" w:eastAsia="仿宋_GB2312"/>
          <w:b w:val="0"/>
          <w:sz w:val="32"/>
        </w:rPr>
        <w:t>2.社会保障和就业支出(类)60.25万元,占7.39%。</w:t>
      </w:r>
    </w:p>
    <w:p w14:paraId="4B3DC827">
      <w:pPr>
        <w:spacing w:line="580" w:lineRule="exact"/>
        <w:ind w:firstLine="640"/>
        <w:jc w:val="both"/>
      </w:pPr>
      <w:r>
        <w:rPr>
          <w:rFonts w:ascii="仿宋_GB2312" w:hAnsi="仿宋_GB2312" w:eastAsia="仿宋_GB2312"/>
          <w:b w:val="0"/>
          <w:sz w:val="32"/>
        </w:rPr>
        <w:t>3.卫生健康支出(类)20.14万元,占2.47%。</w:t>
      </w:r>
    </w:p>
    <w:p w14:paraId="04449D6A">
      <w:pPr>
        <w:spacing w:line="580" w:lineRule="exact"/>
        <w:ind w:firstLine="640"/>
        <w:jc w:val="both"/>
      </w:pPr>
      <w:r>
        <w:rPr>
          <w:rFonts w:ascii="仿宋_GB2312" w:hAnsi="仿宋_GB2312" w:eastAsia="仿宋_GB2312"/>
          <w:b w:val="0"/>
          <w:sz w:val="32"/>
        </w:rPr>
        <w:t>4.节能环保支出(类)16.85万元,占2.07%。</w:t>
      </w:r>
    </w:p>
    <w:p w14:paraId="3F0A7B1D">
      <w:pPr>
        <w:spacing w:line="580" w:lineRule="exact"/>
        <w:ind w:firstLine="640"/>
        <w:jc w:val="both"/>
      </w:pPr>
      <w:r>
        <w:rPr>
          <w:rFonts w:ascii="仿宋_GB2312" w:hAnsi="仿宋_GB2312" w:eastAsia="仿宋_GB2312"/>
          <w:b w:val="0"/>
          <w:sz w:val="32"/>
        </w:rPr>
        <w:t>5.城乡社区支出(类)175.92万元,占21.58%。</w:t>
      </w:r>
    </w:p>
    <w:p w14:paraId="74824CEE">
      <w:pPr>
        <w:spacing w:line="580" w:lineRule="exact"/>
        <w:ind w:firstLine="640"/>
        <w:jc w:val="both"/>
      </w:pPr>
      <w:r>
        <w:rPr>
          <w:rFonts w:ascii="仿宋_GB2312" w:hAnsi="仿宋_GB2312" w:eastAsia="仿宋_GB2312"/>
          <w:b w:val="0"/>
          <w:sz w:val="32"/>
        </w:rPr>
        <w:t>6.住房保障支出(类)45.14万元,占5.54%。</w:t>
      </w:r>
    </w:p>
    <w:p w14:paraId="06EA8939">
      <w:pPr>
        <w:spacing w:line="640" w:lineRule="exact"/>
        <w:ind w:firstLine="640"/>
        <w:jc w:val="both"/>
        <w:outlineLvl w:val="3"/>
      </w:pPr>
      <w:r>
        <w:rPr>
          <w:rFonts w:ascii="楷体_GB2312" w:hAnsi="楷体_GB2312" w:eastAsia="楷体_GB2312"/>
          <w:b/>
          <w:sz w:val="32"/>
        </w:rPr>
        <w:t>（三）一般公共预算财政拨款支出决算具体情况</w:t>
      </w:r>
    </w:p>
    <w:p w14:paraId="135BD4EB">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1.一般公共服务支出(类)发展与改革事务(款)其他发展与改革事务支出(项):支出决算数为20.00万元，比上年决算增加20.00万元，增长100.00%,主要原因是：本年增加阿克陶江西工业园区供排水项目前期费。</w:t>
      </w:r>
    </w:p>
    <w:p w14:paraId="56D2B231">
      <w:pPr>
        <w:spacing w:line="580" w:lineRule="exact"/>
        <w:ind w:firstLine="640"/>
        <w:jc w:val="both"/>
      </w:pPr>
      <w:r>
        <w:rPr>
          <w:rFonts w:ascii="仿宋_GB2312" w:hAnsi="仿宋_GB2312" w:eastAsia="仿宋_GB2312"/>
          <w:b w:val="0"/>
          <w:sz w:val="32"/>
        </w:rPr>
        <w:t>2.一般公共服务支出(类)纪检监察事务(款)事业运行(项):支出决算数为0.00万元，比上年决算减少315.83万元，下降100.00%,主要原因是：科目调整，本年人员及公用经费全部调整至一般公共服务支出(类)商贸事务(款)事业运行(项)，因此经费减少。</w:t>
      </w:r>
    </w:p>
    <w:p w14:paraId="76C03804">
      <w:pPr>
        <w:spacing w:line="580" w:lineRule="exact"/>
        <w:ind w:firstLine="640"/>
        <w:jc w:val="both"/>
      </w:pPr>
      <w:r>
        <w:rPr>
          <w:rFonts w:ascii="仿宋_GB2312" w:hAnsi="仿宋_GB2312" w:eastAsia="仿宋_GB2312"/>
          <w:b w:val="0"/>
          <w:sz w:val="32"/>
        </w:rPr>
        <w:t>3.一般公共服务支出(类)商贸事务(款)一般行政管理事务(项):支出决算数为0.00万元，比上年决算减少5.92万元，下降100.00%,主要原因是：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减少政府采购阿克陶江西工业园区管理委员会集中供热站项目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14C55143">
      <w:pPr>
        <w:spacing w:line="580" w:lineRule="exact"/>
        <w:ind w:firstLine="640"/>
        <w:jc w:val="both"/>
      </w:pPr>
      <w:r>
        <w:rPr>
          <w:rFonts w:ascii="仿宋_GB2312" w:hAnsi="仿宋_GB2312" w:eastAsia="仿宋_GB2312"/>
          <w:b w:val="0"/>
          <w:sz w:val="32"/>
        </w:rPr>
        <w:t>4.一般公共服务支出(类)商贸事务(款)事业运行(项):支出决算数为446.82万元，比上年决算减少100.68万元，下降18.39%,主要原因是：本年减少水费、电费、集中供热站运维费。</w:t>
      </w:r>
    </w:p>
    <w:p w14:paraId="6A845593">
      <w:pPr>
        <w:spacing w:line="580" w:lineRule="exact"/>
        <w:ind w:firstLine="640"/>
        <w:jc w:val="both"/>
      </w:pPr>
      <w:r>
        <w:rPr>
          <w:rFonts w:ascii="仿宋_GB2312" w:hAnsi="仿宋_GB2312" w:eastAsia="仿宋_GB2312"/>
          <w:b w:val="0"/>
          <w:sz w:val="32"/>
        </w:rPr>
        <w:t>5.一般公共服务支出(类)商贸事务(款)其他商贸事务支出(项):支出决算数为28.29万元，比上年决算减少73.00万元，下降72.07%,主要原因是：本年减少阿克陶县就业培训基地建设项目。</w:t>
      </w:r>
    </w:p>
    <w:p w14:paraId="10378AC5">
      <w:pPr>
        <w:spacing w:line="580" w:lineRule="exact"/>
        <w:ind w:firstLine="640"/>
        <w:jc w:val="both"/>
      </w:pPr>
      <w:r>
        <w:rPr>
          <w:rFonts w:ascii="仿宋_GB2312" w:hAnsi="仿宋_GB2312" w:eastAsia="仿宋_GB2312"/>
          <w:b w:val="0"/>
          <w:sz w:val="32"/>
        </w:rPr>
        <w:t>6.一般公共服务支出(类)组织事务(款)其他组织事务支出(项):支出决算数为1.78万元，比上年决算增加0.40万元，增长28.99%,主要原因是：本年增加援疆干部生活补助经费。</w:t>
      </w:r>
    </w:p>
    <w:p w14:paraId="1512B35C">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7.社会保障和就业支出(类)行政事业单位养老支出(款)事业单位离退休(项):支出决算数为2.19万元，比上年决算增加0.42万元，增长23.73%,主要原因是：本年退休人员</w:t>
      </w:r>
      <w:r>
        <w:rPr>
          <w:rFonts w:hint="eastAsia" w:ascii="仿宋_GB2312" w:hAnsi="仿宋_GB2312" w:eastAsia="仿宋_GB2312"/>
          <w:b w:val="0"/>
          <w:sz w:val="32"/>
          <w:lang w:val="en-US" w:eastAsia="zh-CN"/>
        </w:rPr>
        <w:t>待遇</w:t>
      </w:r>
      <w:r>
        <w:rPr>
          <w:rFonts w:ascii="仿宋_GB2312" w:hAnsi="仿宋_GB2312" w:eastAsia="仿宋_GB2312"/>
          <w:b w:val="0"/>
          <w:sz w:val="32"/>
        </w:rPr>
        <w:t>调增，退休经费增加。</w:t>
      </w:r>
    </w:p>
    <w:p w14:paraId="3227D576">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58.06万元，比上年决算增加9.87万元，增长20.48%,主要原因是：在职人员工资基数调增，养老缴费基数上涨，相应支出增加。</w:t>
      </w:r>
    </w:p>
    <w:p w14:paraId="1855F9CC">
      <w:pPr>
        <w:spacing w:line="580" w:lineRule="exact"/>
        <w:ind w:firstLine="640"/>
        <w:jc w:val="both"/>
      </w:pPr>
      <w:r>
        <w:rPr>
          <w:rFonts w:ascii="仿宋_GB2312" w:hAnsi="仿宋_GB2312" w:eastAsia="仿宋_GB2312"/>
          <w:b w:val="0"/>
          <w:sz w:val="32"/>
        </w:rPr>
        <w:t>9.卫生健康支出(类)行政事业单位医疗(款)事业单位医疗(项):支出决算数为20.14万元，比上年决算增加2.95万元，增长17.16%,主要原因是：本年在职人员工资基数调增，医疗缴费基数上涨，相应支出增加。</w:t>
      </w:r>
    </w:p>
    <w:p w14:paraId="1EE523C8">
      <w:pPr>
        <w:spacing w:line="580" w:lineRule="exact"/>
        <w:ind w:firstLine="640"/>
        <w:jc w:val="both"/>
      </w:pPr>
      <w:r>
        <w:rPr>
          <w:rFonts w:ascii="仿宋_GB2312" w:hAnsi="仿宋_GB2312" w:eastAsia="仿宋_GB2312"/>
          <w:b w:val="0"/>
          <w:sz w:val="32"/>
        </w:rPr>
        <w:t>10.节能环保支出(类)污染防治(款)大气(项):支出决算数为0.00万元，比上年决算减少23.70万元，下降100.00%,主要原因是：本年</w:t>
      </w:r>
      <w:r>
        <w:rPr>
          <w:rFonts w:hint="eastAsia" w:ascii="仿宋_GB2312" w:hAnsi="仿宋_GB2312" w:eastAsia="仿宋_GB2312"/>
          <w:b w:val="0"/>
          <w:sz w:val="32"/>
          <w:lang w:val="en-US" w:eastAsia="zh-CN"/>
        </w:rPr>
        <w:t>科目调整，</w:t>
      </w:r>
      <w:r>
        <w:rPr>
          <w:rFonts w:ascii="仿宋_GB2312" w:hAnsi="仿宋_GB2312" w:eastAsia="仿宋_GB2312"/>
          <w:b w:val="0"/>
          <w:sz w:val="32"/>
        </w:rPr>
        <w:t>阿克陶江西工业园区建设生态环境空气自动监测站项目从本科目调整至生态环境监测与信息（项）列支</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导致经费减少</w:t>
      </w:r>
      <w:r>
        <w:rPr>
          <w:rFonts w:ascii="仿宋_GB2312" w:hAnsi="仿宋_GB2312" w:eastAsia="仿宋_GB2312"/>
          <w:b w:val="0"/>
          <w:sz w:val="32"/>
        </w:rPr>
        <w:t>。</w:t>
      </w:r>
    </w:p>
    <w:p w14:paraId="6BA1F4C5">
      <w:pPr>
        <w:spacing w:line="580" w:lineRule="exact"/>
        <w:ind w:firstLine="640"/>
        <w:jc w:val="both"/>
      </w:pPr>
      <w:r>
        <w:rPr>
          <w:rFonts w:ascii="仿宋_GB2312" w:hAnsi="仿宋_GB2312" w:eastAsia="仿宋_GB2312"/>
          <w:b w:val="0"/>
          <w:sz w:val="32"/>
        </w:rPr>
        <w:t>11.节能环保支出(类)污染减排(款)生态环境监测与信息(项):支出决算数为16.85万元，比上年决算增加16.85万元，增长100.00%,主要原因是：本年增加阿克陶江西工业园区生态环境空气自动检测站运维费、2024年工业园区生态环境空气自动监测站项目资金等项目。</w:t>
      </w:r>
    </w:p>
    <w:p w14:paraId="6A66A08B">
      <w:pPr>
        <w:spacing w:line="580" w:lineRule="exact"/>
        <w:ind w:firstLine="640"/>
        <w:jc w:val="both"/>
      </w:pPr>
      <w:r>
        <w:rPr>
          <w:rFonts w:ascii="仿宋_GB2312" w:hAnsi="仿宋_GB2312" w:eastAsia="仿宋_GB2312"/>
          <w:b w:val="0"/>
          <w:sz w:val="32"/>
        </w:rPr>
        <w:t>12.城乡社区支出(类)城乡社区公共设施(款)小城镇基础设施建设(项):支出决算数为175.92万元，比上年决算减少113.85万元，下降39.29%,主要原因是：本年减少阿克陶县轻工业园区西区6#厂房工程、阿克陶江西工业园区供水工程管道施工（一标）建设等项目。</w:t>
      </w:r>
    </w:p>
    <w:p w14:paraId="3342BFDE">
      <w:pPr>
        <w:spacing w:line="580" w:lineRule="exact"/>
        <w:ind w:firstLine="640"/>
        <w:jc w:val="both"/>
      </w:pPr>
      <w:r>
        <w:rPr>
          <w:rFonts w:ascii="仿宋_GB2312" w:hAnsi="仿宋_GB2312" w:eastAsia="仿宋_GB2312"/>
          <w:b w:val="0"/>
          <w:sz w:val="32"/>
        </w:rPr>
        <w:t>13.城乡社区支出(类)城乡社区公共设施(款)其他城乡社区公共设施支出(项):支出决算数为0.00万元，比上年决算减少61.09万元，下降100.00%,主要原因是：本年减少阿克陶江西工业园区供排水建设项目设计费，阿克陶江西工业园区供排水项目前期费调整至其他发展与改革事务支出（项）列支</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导致经费减少</w:t>
      </w:r>
      <w:r>
        <w:rPr>
          <w:rFonts w:ascii="仿宋_GB2312" w:hAnsi="仿宋_GB2312" w:eastAsia="仿宋_GB2312"/>
          <w:b w:val="0"/>
          <w:sz w:val="32"/>
        </w:rPr>
        <w:t>。</w:t>
      </w:r>
    </w:p>
    <w:p w14:paraId="225F1B1F">
      <w:pPr>
        <w:spacing w:line="580" w:lineRule="exact"/>
        <w:ind w:firstLine="640"/>
        <w:jc w:val="both"/>
      </w:pPr>
      <w:r>
        <w:rPr>
          <w:rFonts w:ascii="仿宋_GB2312" w:hAnsi="仿宋_GB2312" w:eastAsia="仿宋_GB2312"/>
          <w:b w:val="0"/>
          <w:sz w:val="32"/>
        </w:rPr>
        <w:t>14.资源勘探工业信息等支出(类)工业和信息产业监管(款)其他工业和信息产业监管支出(项):支出决算数为0.00万元，比上年决算减少60.00万元，下降100.00%,主要原因是：本年减少阿克陶县江西工业园区综合基础设施建设项目（解放路，东环路）绿化亮化补助资金项目。</w:t>
      </w:r>
    </w:p>
    <w:p w14:paraId="34D56E7B">
      <w:pPr>
        <w:spacing w:line="580" w:lineRule="exact"/>
        <w:ind w:firstLine="640"/>
        <w:jc w:val="both"/>
      </w:pPr>
      <w:r>
        <w:rPr>
          <w:rFonts w:ascii="仿宋_GB2312" w:hAnsi="仿宋_GB2312" w:eastAsia="仿宋_GB2312"/>
          <w:b w:val="0"/>
          <w:sz w:val="32"/>
        </w:rPr>
        <w:t>15.住房保障支出(类)住房改革支出(款)住房公积金(项):支出决算数为45.14万元，比上年决算增加6.09万元，增长15.60%,主要原因是：本年在职人员工资基数调增，公积金缴费基数上涨，相应支出增加。</w:t>
      </w:r>
    </w:p>
    <w:p w14:paraId="7F53B781">
      <w:pPr>
        <w:spacing w:line="640" w:lineRule="exact"/>
        <w:ind w:firstLine="640"/>
        <w:jc w:val="both"/>
        <w:outlineLvl w:val="2"/>
      </w:pPr>
      <w:r>
        <w:rPr>
          <w:rFonts w:ascii="黑体" w:hAnsi="黑体" w:eastAsia="黑体"/>
          <w:sz w:val="32"/>
        </w:rPr>
        <w:t>六、一般公共预算财政拨款基本支出决算情况说明</w:t>
      </w:r>
    </w:p>
    <w:p w14:paraId="364CC8E5">
      <w:pPr>
        <w:spacing w:line="580" w:lineRule="exact"/>
        <w:ind w:firstLine="640"/>
        <w:jc w:val="both"/>
      </w:pPr>
      <w:r>
        <w:rPr>
          <w:rFonts w:ascii="仿宋_GB2312" w:hAnsi="仿宋_GB2312" w:eastAsia="仿宋_GB2312"/>
          <w:b w:val="0"/>
          <w:sz w:val="32"/>
        </w:rPr>
        <w:t>2024年度一般公共预算财政拨款基本支出572.34万元，其中：</w:t>
      </w:r>
      <w:r>
        <w:rPr>
          <w:rFonts w:ascii="仿宋_GB2312" w:hAnsi="仿宋_GB2312" w:eastAsia="仿宋_GB2312"/>
          <w:b/>
          <w:sz w:val="32"/>
        </w:rPr>
        <w:t>人员经费555.19万元，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09C3F280">
      <w:pPr>
        <w:spacing w:line="580" w:lineRule="exact"/>
        <w:ind w:firstLine="640"/>
        <w:jc w:val="both"/>
      </w:pPr>
      <w:r>
        <w:rPr>
          <w:rFonts w:ascii="仿宋_GB2312" w:hAnsi="仿宋_GB2312" w:eastAsia="仿宋_GB2312"/>
          <w:b/>
          <w:sz w:val="32"/>
        </w:rPr>
        <w:t>公用经费17.15万元，</w:t>
      </w:r>
      <w:r>
        <w:rPr>
          <w:rFonts w:ascii="仿宋_GB2312" w:hAnsi="仿宋_GB2312" w:eastAsia="仿宋_GB2312"/>
          <w:b w:val="0"/>
          <w:sz w:val="32"/>
        </w:rPr>
        <w:t>包括：办公费、水费、电费、邮电费、公务用车运行维护费、税金及附加费用。</w:t>
      </w:r>
    </w:p>
    <w:p w14:paraId="4D9A84DD">
      <w:pPr>
        <w:spacing w:line="640" w:lineRule="exact"/>
        <w:ind w:firstLine="640"/>
        <w:jc w:val="both"/>
        <w:outlineLvl w:val="2"/>
      </w:pPr>
      <w:r>
        <w:rPr>
          <w:rFonts w:ascii="黑体" w:hAnsi="黑体" w:eastAsia="黑体"/>
          <w:sz w:val="32"/>
        </w:rPr>
        <w:t>七、政府性基金预算财政拨款收入支出决算情况说明</w:t>
      </w:r>
    </w:p>
    <w:p w14:paraId="687005AE">
      <w:pPr>
        <w:spacing w:line="580" w:lineRule="exact"/>
        <w:ind w:firstLine="640"/>
        <w:jc w:val="both"/>
      </w:pPr>
      <w:r>
        <w:rPr>
          <w:rFonts w:ascii="仿宋_GB2312" w:hAnsi="仿宋_GB2312" w:eastAsia="仿宋_GB2312"/>
          <w:b/>
          <w:sz w:val="32"/>
        </w:rPr>
        <w:t>2024年度政府性基金预算财政拨款收入总计174.48万元，</w:t>
      </w:r>
      <w:r>
        <w:rPr>
          <w:rFonts w:ascii="仿宋_GB2312" w:hAnsi="仿宋_GB2312" w:eastAsia="仿宋_GB2312"/>
          <w:b w:val="0"/>
          <w:sz w:val="32"/>
        </w:rPr>
        <w:t>其中：年初结转和结余0.00万元，本年收入174.48万元。</w:t>
      </w:r>
      <w:r>
        <w:rPr>
          <w:rFonts w:ascii="仿宋_GB2312" w:hAnsi="仿宋_GB2312" w:eastAsia="仿宋_GB2312"/>
          <w:b/>
          <w:sz w:val="32"/>
        </w:rPr>
        <w:t>政府性基金预算财政拨款支出总计174.48万元，</w:t>
      </w:r>
      <w:r>
        <w:rPr>
          <w:rFonts w:ascii="仿宋_GB2312" w:hAnsi="仿宋_GB2312" w:eastAsia="仿宋_GB2312"/>
          <w:b w:val="0"/>
          <w:sz w:val="32"/>
        </w:rPr>
        <w:t>其中：年末结转和结余0.00万元，本年支出174.48万元。</w:t>
      </w:r>
    </w:p>
    <w:p w14:paraId="370C4E5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减少3,070.97万元，下降94.62%，主要原因是：本年减少阿克陶县江西工业园区供热项目、阿克陶县江西工业园区垃圾回收利用项目</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年初预算数543.20万元，决算数174.48万元，预决算差异率-67.88%，主要原因是：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rPr>
        <w:t>阿克陶江西工业园区供排水建设项目工程款</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5BEB14F0">
      <w:pPr>
        <w:spacing w:line="580" w:lineRule="exact"/>
        <w:ind w:firstLine="640"/>
        <w:jc w:val="both"/>
      </w:pPr>
      <w:r>
        <w:rPr>
          <w:rFonts w:ascii="仿宋_GB2312" w:hAnsi="仿宋_GB2312" w:eastAsia="仿宋_GB2312"/>
          <w:b w:val="0"/>
          <w:sz w:val="32"/>
        </w:rPr>
        <w:t>政府性基金预算财政拨款支出174.48万元。</w:t>
      </w:r>
    </w:p>
    <w:p w14:paraId="7967E0A7">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1.城乡社区支出(类)国有土地使用权出让收入安排的支出(款)城市建设支出(项):支出决算数为12.48万元，比上年决算增加12.48万元，增长100.00%,主要原因是：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增加阿克陶县城北工业园区纺织服装服饰产业园综合基础设施建设项目支出。</w:t>
      </w:r>
    </w:p>
    <w:p w14:paraId="004D7062">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162.00万元，比上年决算减少3,083.45万元，下降95.01%,主要原因是：本年减少阿克陶县江西工业园区供热项目、阿克陶县江西工业园区垃圾回收利用项目</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p>
    <w:p w14:paraId="3616F5E1">
      <w:pPr>
        <w:spacing w:line="640" w:lineRule="exact"/>
        <w:ind w:firstLine="640"/>
        <w:jc w:val="both"/>
        <w:outlineLvl w:val="2"/>
      </w:pPr>
      <w:r>
        <w:rPr>
          <w:rFonts w:ascii="黑体" w:hAnsi="黑体" w:eastAsia="黑体"/>
          <w:sz w:val="32"/>
        </w:rPr>
        <w:t>八、国有资本经营预算财政拨款收入支出决算情况说明</w:t>
      </w:r>
    </w:p>
    <w:p w14:paraId="2F04592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F520C2B">
      <w:pPr>
        <w:spacing w:line="640" w:lineRule="exact"/>
        <w:ind w:firstLine="640"/>
        <w:jc w:val="both"/>
        <w:outlineLvl w:val="2"/>
      </w:pPr>
      <w:r>
        <w:rPr>
          <w:rFonts w:ascii="黑体" w:hAnsi="黑体" w:eastAsia="黑体"/>
          <w:sz w:val="32"/>
        </w:rPr>
        <w:t>九、财政拨款“三公”经费支出决算情况说明</w:t>
      </w:r>
    </w:p>
    <w:p w14:paraId="5F828CF4">
      <w:pPr>
        <w:spacing w:line="580" w:lineRule="exact"/>
        <w:ind w:firstLine="640"/>
        <w:jc w:val="both"/>
      </w:pPr>
      <w:r>
        <w:rPr>
          <w:rFonts w:ascii="仿宋_GB2312" w:hAnsi="仿宋_GB2312" w:eastAsia="仿宋_GB2312"/>
          <w:b/>
          <w:sz w:val="32"/>
        </w:rPr>
        <w:t>2024年度财政拨款“三公”经费支出3.55万元，</w:t>
      </w:r>
      <w:r>
        <w:rPr>
          <w:rFonts w:ascii="仿宋_GB2312" w:hAnsi="仿宋_GB2312" w:eastAsia="仿宋_GB2312"/>
          <w:b w:val="0"/>
          <w:sz w:val="32"/>
        </w:rPr>
        <w:t>比上年增加3.08万元，增长655.32%，主要原因是：1.本单位公务用车日渐老化，维修维护成本增加，导致公务用车运行维护费较上年增加。2.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3.55万元，占100.00%，比上年增加3.08万元，增长655.32%，主要原因是：1.本单位公务用车日渐老化，维修维护成本增加，导致公务用车运行维护费较上年增加。2.本年因业务需求，用车次数增加，燃油费增加，导致公务用车运行维护费较上年增加。公务接待费支出0.00万元，占0.00%，比上年增加0.00万元，增长0.00%，主要原因是：2023年与2024年均未安排公务接待费支出。</w:t>
      </w:r>
    </w:p>
    <w:p w14:paraId="5751290D">
      <w:pPr>
        <w:spacing w:line="580" w:lineRule="exact"/>
        <w:ind w:firstLine="640"/>
        <w:jc w:val="both"/>
      </w:pPr>
      <w:r>
        <w:rPr>
          <w:rFonts w:ascii="仿宋_GB2312" w:hAnsi="仿宋_GB2312" w:eastAsia="仿宋_GB2312"/>
          <w:b/>
          <w:sz w:val="32"/>
        </w:rPr>
        <w:t>具体情况如下：</w:t>
      </w:r>
    </w:p>
    <w:p w14:paraId="215F1F3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5D1FA51">
      <w:pPr>
        <w:spacing w:line="580" w:lineRule="exact"/>
        <w:ind w:firstLine="640"/>
        <w:jc w:val="both"/>
      </w:pPr>
      <w:r>
        <w:rPr>
          <w:rFonts w:ascii="仿宋_GB2312" w:hAnsi="仿宋_GB2312" w:eastAsia="仿宋_GB2312"/>
          <w:b w:val="0"/>
          <w:sz w:val="32"/>
        </w:rPr>
        <w:t>公务用车购置及运行维护费3.55万元，其中：公务用车购置费0.00万元，公务用车运行维护费3.55万元。公务用车运行维护费开支内容包括车辆加油费、维修费、保险费、审车费、过路费等。公务用车购置数0辆，公务用车保有量8辆。国有资产占用情况中固定资产车辆8辆，与公务用车保有量差异原因是：本单位固定资产车辆与公务用车保有量一致无差异。</w:t>
      </w:r>
    </w:p>
    <w:p w14:paraId="5EFDEC4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06CAF2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3.55万元，决算数3.55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3.55万元，决算数3.55万元，预决算差异率0.00%，主要原因是：严格按照预算执行，预决算无差异。公务接待费全年预算数0.00万元，决算数0.00万元，预决算差异率0.00%，主要原因是：本单位无公务接待费。</w:t>
      </w:r>
    </w:p>
    <w:p w14:paraId="7293904D">
      <w:pPr>
        <w:spacing w:line="640" w:lineRule="exact"/>
        <w:ind w:firstLine="640"/>
        <w:jc w:val="both"/>
        <w:outlineLvl w:val="2"/>
      </w:pPr>
      <w:r>
        <w:rPr>
          <w:rFonts w:ascii="黑体" w:hAnsi="黑体" w:eastAsia="黑体"/>
          <w:sz w:val="32"/>
        </w:rPr>
        <w:t>十、其他重要事项的情况说明</w:t>
      </w:r>
    </w:p>
    <w:p w14:paraId="667E24F3">
      <w:pPr>
        <w:spacing w:line="640" w:lineRule="exact"/>
        <w:ind w:firstLine="640"/>
        <w:jc w:val="both"/>
        <w:outlineLvl w:val="3"/>
      </w:pPr>
      <w:r>
        <w:rPr>
          <w:rFonts w:ascii="楷体_GB2312" w:hAnsi="楷体_GB2312" w:eastAsia="楷体_GB2312"/>
          <w:b/>
          <w:sz w:val="32"/>
        </w:rPr>
        <w:t>（一）机关运行经费及公用经费支出情况</w:t>
      </w:r>
    </w:p>
    <w:p w14:paraId="542B901F">
      <w:pPr>
        <w:spacing w:line="580" w:lineRule="exact"/>
        <w:ind w:firstLine="640"/>
        <w:jc w:val="both"/>
      </w:pPr>
      <w:r>
        <w:rPr>
          <w:rFonts w:ascii="仿宋_GB2312" w:hAnsi="仿宋_GB2312" w:eastAsia="仿宋_GB2312"/>
          <w:b w:val="0"/>
          <w:sz w:val="32"/>
        </w:rPr>
        <w:t>2024年度阿克陶江西工业园区管理委员会（事业单位）公用经费支出17.15万元，比上年减少384.19万元，下降95.73%，主要原因是：本年减少水费、电费、集中供热站运维费、锅炉工工资等项目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54E1CED7">
      <w:pPr>
        <w:spacing w:line="640" w:lineRule="exact"/>
        <w:ind w:firstLine="640"/>
        <w:jc w:val="both"/>
        <w:outlineLvl w:val="3"/>
      </w:pPr>
      <w:r>
        <w:rPr>
          <w:rFonts w:ascii="楷体_GB2312" w:hAnsi="楷体_GB2312" w:eastAsia="楷体_GB2312"/>
          <w:b/>
          <w:sz w:val="32"/>
        </w:rPr>
        <w:t>（二）政府采购情况</w:t>
      </w:r>
    </w:p>
    <w:p w14:paraId="732125E9">
      <w:pPr>
        <w:spacing w:line="580" w:lineRule="exact"/>
        <w:ind w:firstLine="640"/>
        <w:jc w:val="both"/>
      </w:pPr>
      <w:r>
        <w:rPr>
          <w:rFonts w:ascii="仿宋_GB2312" w:hAnsi="仿宋_GB2312" w:eastAsia="仿宋_GB2312"/>
          <w:b w:val="0"/>
          <w:sz w:val="32"/>
        </w:rPr>
        <w:t>2024年度政府采购支出总额43.74万元，其中：政府采购货物支出33.72万元、政府采购工程支出0.00万元、政府采购服务支出10.02万元。</w:t>
      </w:r>
    </w:p>
    <w:p w14:paraId="0603EE72">
      <w:pPr>
        <w:spacing w:line="580" w:lineRule="exact"/>
        <w:ind w:firstLine="640"/>
        <w:jc w:val="both"/>
      </w:pPr>
      <w:r>
        <w:rPr>
          <w:rFonts w:ascii="仿宋_GB2312" w:hAnsi="仿宋_GB2312" w:eastAsia="仿宋_GB2312"/>
          <w:b w:val="0"/>
          <w:sz w:val="32"/>
        </w:rPr>
        <w:t>授予中小企业合同金额43.74万元，占政府采购支出总额的100.00%，其中：授予小微企业合同金额42.75万元，占政府采购支出总额的97.74%。</w:t>
      </w:r>
    </w:p>
    <w:p w14:paraId="1498863E">
      <w:pPr>
        <w:spacing w:line="640" w:lineRule="exact"/>
        <w:ind w:firstLine="640"/>
        <w:jc w:val="both"/>
        <w:outlineLvl w:val="3"/>
      </w:pPr>
      <w:r>
        <w:rPr>
          <w:rFonts w:ascii="楷体_GB2312" w:hAnsi="楷体_GB2312" w:eastAsia="楷体_GB2312"/>
          <w:b/>
          <w:sz w:val="32"/>
        </w:rPr>
        <w:t>（三）国有资产占用情况说明</w:t>
      </w:r>
    </w:p>
    <w:p w14:paraId="5DCF0A45">
      <w:pPr>
        <w:spacing w:line="580" w:lineRule="exact"/>
        <w:ind w:firstLine="640"/>
        <w:jc w:val="both"/>
      </w:pPr>
      <w:r>
        <w:rPr>
          <w:rFonts w:ascii="仿宋_GB2312" w:hAnsi="仿宋_GB2312" w:eastAsia="仿宋_GB2312"/>
          <w:b w:val="0"/>
          <w:sz w:val="32"/>
        </w:rPr>
        <w:t>截至2024年12月31日，房屋96,805.28平方米，价值14,234.75万元。车辆8辆，价值139.22万元，其中：副部（省）级及以上领导用车0辆、主要负责人用车1辆、机要通信用车0辆、应急保障用车0辆、执法执勤用车2辆、特种专业技术用车2辆、离退休干部服务用车0辆、其他用车3辆，其他用车主要是：一般公务用车。单价100万元（含）以上设备（不含车辆）5台（套）。</w:t>
      </w:r>
    </w:p>
    <w:p w14:paraId="1179749E">
      <w:pPr>
        <w:spacing w:line="640" w:lineRule="exact"/>
        <w:ind w:firstLine="640"/>
        <w:jc w:val="both"/>
        <w:outlineLvl w:val="2"/>
      </w:pPr>
      <w:r>
        <w:rPr>
          <w:rFonts w:ascii="黑体" w:hAnsi="黑体" w:eastAsia="黑体"/>
          <w:sz w:val="32"/>
        </w:rPr>
        <w:t>十一、预算绩效的情况说明</w:t>
      </w:r>
    </w:p>
    <w:p w14:paraId="27AE9FB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2,117.62万元，实际执行总额1,690.63万元；预算绩效评价项目1个，全年预算数20.00万元，全年执行数5.00万元。预算绩效管理取得的成效：一是绩效管理融入预算编制、执行、监督全过程，更有利于强化绩效目标的管理，加强监控结果的应用，对本单位对财务工作的进一步监督提供有效数据支撑；二是绩效结果的运用较大程度</w:t>
      </w:r>
      <w:r>
        <w:rPr>
          <w:rFonts w:hint="eastAsia" w:ascii="仿宋_GB2312" w:hAnsi="仿宋_GB2312" w:eastAsia="仿宋_GB2312"/>
          <w:b w:val="0"/>
          <w:sz w:val="32"/>
          <w:lang w:eastAsia="zh-CN"/>
        </w:rPr>
        <w:t>地</w:t>
      </w:r>
      <w:r>
        <w:rPr>
          <w:rFonts w:ascii="仿宋_GB2312" w:hAnsi="仿宋_GB2312" w:eastAsia="仿宋_GB2312"/>
          <w:b w:val="0"/>
          <w:sz w:val="32"/>
        </w:rPr>
        <w:t>推进完善政策制度、加强资金利用、增强各环节工作透明度等方面的工作，对本单位财务工作的管控提供有力抓手。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w:t>
      </w:r>
      <w:r>
        <w:rPr>
          <w:rFonts w:hint="eastAsia" w:ascii="仿宋_GB2312" w:hAnsi="仿宋_GB2312" w:eastAsia="仿宋_GB2312"/>
          <w:b w:val="0"/>
          <w:sz w:val="32"/>
          <w:lang w:eastAsia="zh-CN"/>
        </w:rPr>
        <w:t>财务</w:t>
      </w:r>
      <w:r>
        <w:rPr>
          <w:rFonts w:ascii="仿宋_GB2312" w:hAnsi="仿宋_GB2312" w:eastAsia="仿宋_GB2312"/>
          <w:b w:val="0"/>
          <w:sz w:val="32"/>
        </w:rPr>
        <w:t>会计核算要更加详细，为本单位各项工作的开展、总结、评估提供有效数据资料支撑,为各项业务工作</w:t>
      </w:r>
      <w:r>
        <w:rPr>
          <w:rFonts w:hint="eastAsia" w:ascii="仿宋_GB2312" w:hAnsi="仿宋_GB2312" w:eastAsia="仿宋_GB2312"/>
          <w:b w:val="0"/>
          <w:sz w:val="32"/>
          <w:lang w:eastAsia="zh-CN"/>
        </w:rPr>
        <w:t>更好地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54EFEDBB">
      <w:r>
        <w:br w:type="page"/>
      </w:r>
    </w:p>
    <w:tbl>
      <w:tblPr>
        <w:tblStyle w:val="9"/>
        <w:tblW w:w="0" w:type="auto"/>
        <w:tblInd w:w="0" w:type="dxa"/>
        <w:tblLayout w:type="autofit"/>
        <w:tblCellMar>
          <w:top w:w="0" w:type="dxa"/>
          <w:left w:w="108" w:type="dxa"/>
          <w:bottom w:w="0" w:type="dxa"/>
          <w:right w:w="108" w:type="dxa"/>
        </w:tblCellMar>
      </w:tblPr>
      <w:tblGrid>
        <w:gridCol w:w="1105"/>
        <w:gridCol w:w="962"/>
        <w:gridCol w:w="1347"/>
        <w:gridCol w:w="1006"/>
        <w:gridCol w:w="1105"/>
        <w:gridCol w:w="1105"/>
        <w:gridCol w:w="1105"/>
        <w:gridCol w:w="1105"/>
      </w:tblGrid>
      <w:tr w14:paraId="2F45D80D">
        <w:tblPrEx>
          <w:tblCellMar>
            <w:top w:w="0" w:type="dxa"/>
            <w:left w:w="108" w:type="dxa"/>
            <w:bottom w:w="0" w:type="dxa"/>
            <w:right w:w="108" w:type="dxa"/>
          </w:tblCellMar>
        </w:tblPrEx>
        <w:tc>
          <w:tcPr>
            <w:tcW w:w="8840" w:type="dxa"/>
            <w:gridSpan w:val="8"/>
            <w:vAlign w:val="center"/>
          </w:tcPr>
          <w:p w14:paraId="436F97AB">
            <w:pPr>
              <w:jc w:val="center"/>
            </w:pPr>
            <w:r>
              <w:rPr>
                <w:rFonts w:ascii="宋体" w:hAnsi="宋体" w:eastAsia="宋体"/>
                <w:sz w:val="24"/>
              </w:rPr>
              <w:t>单位整体支出绩效自评表</w:t>
            </w:r>
          </w:p>
        </w:tc>
      </w:tr>
      <w:tr w14:paraId="6C3DA8BC">
        <w:tblPrEx>
          <w:tblCellMar>
            <w:top w:w="0" w:type="dxa"/>
            <w:left w:w="108" w:type="dxa"/>
            <w:bottom w:w="0" w:type="dxa"/>
            <w:right w:w="108" w:type="dxa"/>
          </w:tblCellMar>
        </w:tblPrEx>
        <w:tc>
          <w:tcPr>
            <w:tcW w:w="8840" w:type="dxa"/>
            <w:gridSpan w:val="8"/>
            <w:vAlign w:val="center"/>
          </w:tcPr>
          <w:p w14:paraId="154CF653">
            <w:pPr>
              <w:jc w:val="center"/>
            </w:pPr>
            <w:r>
              <w:rPr>
                <w:rFonts w:ascii="宋体" w:hAnsi="宋体" w:eastAsia="宋体"/>
                <w:sz w:val="24"/>
              </w:rPr>
              <w:t>（2024年度）</w:t>
            </w:r>
          </w:p>
        </w:tc>
      </w:tr>
      <w:tr w14:paraId="3582990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4945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5325E5">
            <w:pPr>
              <w:jc w:val="center"/>
            </w:pPr>
            <w:r>
              <w:rPr>
                <w:rFonts w:ascii="宋体" w:hAnsi="宋体" w:eastAsia="宋体"/>
                <w:sz w:val="16"/>
              </w:rPr>
              <w:t>阿克陶江西工业园区管理委员会</w:t>
            </w:r>
          </w:p>
        </w:tc>
      </w:tr>
      <w:tr w14:paraId="3EA72DA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23A5B">
            <w:pPr>
              <w:jc w:val="center"/>
            </w:pPr>
            <w:r>
              <w:rPr>
                <w:rFonts w:ascii="宋体" w:hAnsi="宋体" w:eastAsia="宋体"/>
                <w:sz w:val="16"/>
              </w:rPr>
              <w:t>年度预算（万元）</w:t>
            </w:r>
          </w:p>
        </w:tc>
        <w:tc>
          <w:tcPr>
            <w:tcW w:w="962" w:type="dxa"/>
            <w:tcBorders>
              <w:top w:val="single" w:color="auto" w:sz="10" w:space="0"/>
              <w:left w:val="single" w:color="auto" w:sz="10" w:space="0"/>
              <w:bottom w:val="single" w:color="auto" w:sz="10" w:space="0"/>
              <w:right w:val="single" w:color="auto" w:sz="10" w:space="0"/>
              <w:insideV w:val="single" w:sz="10" w:space="0"/>
            </w:tcBorders>
            <w:vAlign w:val="center"/>
          </w:tcPr>
          <w:p w14:paraId="373E307F">
            <w:pPr>
              <w:jc w:val="center"/>
            </w:pPr>
            <w:r>
              <w:rPr>
                <w:rFonts w:ascii="宋体" w:hAnsi="宋体" w:eastAsia="宋体"/>
                <w:sz w:val="16"/>
              </w:rPr>
              <w:t>资金来源</w:t>
            </w:r>
          </w:p>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7D7C402B">
            <w:pPr>
              <w:jc w:val="center"/>
            </w:pPr>
            <w:r>
              <w:rPr>
                <w:rFonts w:ascii="宋体" w:hAnsi="宋体" w:eastAsia="宋体"/>
                <w:sz w:val="16"/>
              </w:rPr>
              <w:t>年初预算数</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4B1CEE0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0E02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0443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B993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2842D">
            <w:pPr>
              <w:jc w:val="center"/>
            </w:pPr>
            <w:r>
              <w:rPr>
                <w:rFonts w:ascii="宋体" w:hAnsi="宋体" w:eastAsia="宋体"/>
                <w:sz w:val="16"/>
              </w:rPr>
              <w:t>得分</w:t>
            </w:r>
          </w:p>
        </w:tc>
      </w:tr>
      <w:tr w14:paraId="704623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AFBBC0"/>
        </w:tc>
        <w:tc>
          <w:tcPr>
            <w:tcW w:w="962" w:type="dxa"/>
            <w:tcBorders>
              <w:top w:val="single" w:color="auto" w:sz="10" w:space="0"/>
              <w:left w:val="single" w:color="auto" w:sz="10" w:space="0"/>
              <w:bottom w:val="single" w:color="auto" w:sz="10" w:space="0"/>
              <w:right w:val="single" w:color="auto" w:sz="10" w:space="0"/>
              <w:insideV w:val="single" w:sz="10" w:space="0"/>
            </w:tcBorders>
            <w:vAlign w:val="center"/>
          </w:tcPr>
          <w:p w14:paraId="430E4A49">
            <w:pPr>
              <w:jc w:val="center"/>
            </w:pPr>
            <w:r>
              <w:rPr>
                <w:rFonts w:ascii="宋体" w:hAnsi="宋体" w:eastAsia="宋体"/>
                <w:sz w:val="16"/>
              </w:rPr>
              <w:t>年度总资金：</w:t>
            </w:r>
          </w:p>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4261B8B1">
            <w:pPr>
              <w:jc w:val="center"/>
            </w:pPr>
            <w:r>
              <w:rPr>
                <w:rFonts w:ascii="宋体" w:hAnsi="宋体" w:eastAsia="宋体"/>
                <w:sz w:val="16"/>
              </w:rPr>
              <w:t>603.78</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052007E8">
            <w:pPr>
              <w:jc w:val="center"/>
            </w:pPr>
            <w:r>
              <w:rPr>
                <w:rFonts w:ascii="宋体" w:hAnsi="宋体" w:eastAsia="宋体"/>
                <w:sz w:val="16"/>
              </w:rPr>
              <w:t>2,117.62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62550">
            <w:pPr>
              <w:jc w:val="center"/>
            </w:pPr>
            <w:r>
              <w:rPr>
                <w:rFonts w:ascii="宋体" w:hAnsi="宋体" w:eastAsia="宋体"/>
                <w:sz w:val="16"/>
              </w:rPr>
              <w:t>1,690.63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495E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ED117">
            <w:pPr>
              <w:jc w:val="center"/>
            </w:pPr>
            <w:r>
              <w:rPr>
                <w:rFonts w:ascii="宋体" w:hAnsi="宋体" w:eastAsia="宋体"/>
                <w:sz w:val="16"/>
              </w:rPr>
              <w:t>79.84%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93C5F">
            <w:pPr>
              <w:jc w:val="center"/>
            </w:pPr>
            <w:r>
              <w:rPr>
                <w:rFonts w:ascii="宋体" w:hAnsi="宋体" w:eastAsia="宋体"/>
                <w:sz w:val="16"/>
              </w:rPr>
              <w:t>7.98</w:t>
            </w:r>
          </w:p>
        </w:tc>
      </w:tr>
      <w:tr w14:paraId="2DDD6A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55E683"/>
        </w:tc>
        <w:tc>
          <w:tcPr>
            <w:tcW w:w="962" w:type="dxa"/>
            <w:tcBorders>
              <w:top w:val="single" w:color="auto" w:sz="10" w:space="0"/>
              <w:left w:val="single" w:color="auto" w:sz="10" w:space="0"/>
              <w:bottom w:val="single" w:color="auto" w:sz="10" w:space="0"/>
              <w:right w:val="single" w:color="auto" w:sz="10" w:space="0"/>
              <w:insideV w:val="single" w:sz="10" w:space="0"/>
            </w:tcBorders>
            <w:vAlign w:val="center"/>
          </w:tcPr>
          <w:p w14:paraId="49B089B6">
            <w:pPr>
              <w:jc w:val="center"/>
            </w:pPr>
            <w:r>
              <w:rPr>
                <w:rFonts w:ascii="宋体" w:hAnsi="宋体" w:eastAsia="宋体"/>
                <w:sz w:val="16"/>
              </w:rPr>
              <w:t>上级资金：</w:t>
            </w:r>
          </w:p>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6E45923F">
            <w:pPr>
              <w:jc w:val="center"/>
            </w:pPr>
            <w:r>
              <w:rPr>
                <w:rFonts w:ascii="宋体" w:hAnsi="宋体" w:eastAsia="宋体"/>
                <w:sz w:val="16"/>
              </w:rPr>
              <w:t>0.00</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3950B24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4D4C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A56B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B9D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0071F">
            <w:pPr>
              <w:jc w:val="center"/>
            </w:pPr>
            <w:r>
              <w:rPr>
                <w:rFonts w:ascii="宋体" w:hAnsi="宋体" w:eastAsia="宋体"/>
                <w:sz w:val="16"/>
              </w:rPr>
              <w:t>—</w:t>
            </w:r>
          </w:p>
        </w:tc>
      </w:tr>
      <w:tr w14:paraId="02C09A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EC1783"/>
        </w:tc>
        <w:tc>
          <w:tcPr>
            <w:tcW w:w="962" w:type="dxa"/>
            <w:tcBorders>
              <w:top w:val="single" w:color="auto" w:sz="10" w:space="0"/>
              <w:left w:val="single" w:color="auto" w:sz="10" w:space="0"/>
              <w:bottom w:val="single" w:color="auto" w:sz="10" w:space="0"/>
              <w:right w:val="single" w:color="auto" w:sz="10" w:space="0"/>
              <w:insideV w:val="single" w:sz="10" w:space="0"/>
            </w:tcBorders>
            <w:vAlign w:val="center"/>
          </w:tcPr>
          <w:p w14:paraId="54DFA760">
            <w:pPr>
              <w:jc w:val="center"/>
            </w:pPr>
            <w:r>
              <w:rPr>
                <w:rFonts w:ascii="宋体" w:hAnsi="宋体" w:eastAsia="宋体"/>
                <w:sz w:val="16"/>
              </w:rPr>
              <w:t>本级资金：</w:t>
            </w:r>
          </w:p>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29CE1448">
            <w:pPr>
              <w:jc w:val="center"/>
            </w:pPr>
            <w:r>
              <w:rPr>
                <w:rFonts w:ascii="宋体" w:hAnsi="宋体" w:eastAsia="宋体"/>
                <w:sz w:val="16"/>
              </w:rPr>
              <w:t>603.78</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1408575A">
            <w:pPr>
              <w:jc w:val="center"/>
            </w:pPr>
            <w:r>
              <w:rPr>
                <w:rFonts w:ascii="宋体" w:hAnsi="宋体" w:eastAsia="宋体"/>
                <w:sz w:val="16"/>
              </w:rPr>
              <w:t>2,117.62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0003E">
            <w:pPr>
              <w:jc w:val="center"/>
            </w:pPr>
            <w:r>
              <w:rPr>
                <w:rFonts w:ascii="宋体" w:hAnsi="宋体" w:eastAsia="宋体"/>
                <w:sz w:val="16"/>
              </w:rPr>
              <w:t>1,690.63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AFA9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8FF87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A94A2C">
            <w:pPr>
              <w:jc w:val="center"/>
            </w:pPr>
            <w:r>
              <w:rPr>
                <w:rFonts w:ascii="宋体" w:hAnsi="宋体" w:eastAsia="宋体"/>
                <w:sz w:val="16"/>
              </w:rPr>
              <w:t>—</w:t>
            </w:r>
          </w:p>
        </w:tc>
      </w:tr>
      <w:tr w14:paraId="346937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AE427D"/>
        </w:tc>
        <w:tc>
          <w:tcPr>
            <w:tcW w:w="962" w:type="dxa"/>
            <w:tcBorders>
              <w:top w:val="single" w:color="auto" w:sz="10" w:space="0"/>
              <w:left w:val="single" w:color="auto" w:sz="10" w:space="0"/>
              <w:bottom w:val="single" w:color="auto" w:sz="10" w:space="0"/>
              <w:right w:val="single" w:color="auto" w:sz="10" w:space="0"/>
              <w:insideV w:val="single" w:sz="10" w:space="0"/>
            </w:tcBorders>
            <w:vAlign w:val="center"/>
          </w:tcPr>
          <w:p w14:paraId="4C570EF8">
            <w:pPr>
              <w:jc w:val="center"/>
            </w:pPr>
            <w:r>
              <w:rPr>
                <w:rFonts w:ascii="宋体" w:hAnsi="宋体" w:eastAsia="宋体"/>
                <w:sz w:val="16"/>
              </w:rPr>
              <w:t>其他资金：</w:t>
            </w:r>
          </w:p>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02A7F380">
            <w:pPr>
              <w:jc w:val="center"/>
            </w:pPr>
            <w:r>
              <w:rPr>
                <w:rFonts w:ascii="宋体" w:hAnsi="宋体" w:eastAsia="宋体"/>
                <w:sz w:val="16"/>
              </w:rPr>
              <w:t>0.00</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52FA60B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74C0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D468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400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50CDF">
            <w:pPr>
              <w:jc w:val="center"/>
            </w:pPr>
            <w:r>
              <w:rPr>
                <w:rFonts w:ascii="宋体" w:hAnsi="宋体" w:eastAsia="宋体"/>
                <w:sz w:val="16"/>
              </w:rPr>
              <w:t>—</w:t>
            </w:r>
          </w:p>
        </w:tc>
      </w:tr>
      <w:tr w14:paraId="50D9F08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7DCB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416D1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7CA76F">
            <w:pPr>
              <w:jc w:val="center"/>
            </w:pPr>
            <w:r>
              <w:rPr>
                <w:rFonts w:ascii="宋体" w:hAnsi="宋体" w:eastAsia="宋体"/>
                <w:sz w:val="16"/>
              </w:rPr>
              <w:t>实际完成情况</w:t>
            </w:r>
          </w:p>
        </w:tc>
      </w:tr>
      <w:tr w14:paraId="14C2D5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985AB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AC3E0B">
            <w:pPr>
              <w:jc w:val="both"/>
            </w:pPr>
            <w:r>
              <w:rPr>
                <w:rFonts w:ascii="宋体" w:hAnsi="宋体" w:eastAsia="宋体"/>
                <w:sz w:val="16"/>
              </w:rPr>
              <w:t>确保在职人员的工资，津贴，补贴，社保，医保，公积金等以及长期临聘人员工资等人员保障性经费能够依规，按时，足额发放或缴纳，提升部门人员工作积极性和服务质量；加强单位的社会主义民主法治建设和精神文明建设；加强民族团结维护社会稳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B97F47">
            <w:pPr>
              <w:jc w:val="both"/>
            </w:pPr>
            <w:r>
              <w:rPr>
                <w:rFonts w:ascii="宋体" w:hAnsi="宋体" w:eastAsia="宋体"/>
                <w:sz w:val="16"/>
              </w:rPr>
              <w:t>确保了在职人员25人的工资，津贴，补贴，社保，医保，公积金等以及长期临聘人员工资等人员保障性经费能够依规，按时，足额发放或缴纳，提升了部门人员工作积极性和服务质量；加强了单位的社会主义民主法治建设和精神文明建设；加强了民族团结维护社会稳定；保障了园区入驻企业168个，企业宣传入驻知晓率达到了95%。</w:t>
            </w:r>
          </w:p>
        </w:tc>
      </w:tr>
      <w:tr w14:paraId="76FD5B1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C4DA5">
            <w:pPr>
              <w:jc w:val="center"/>
            </w:pPr>
            <w:r>
              <w:rPr>
                <w:rFonts w:ascii="宋体" w:hAnsi="宋体" w:eastAsia="宋体"/>
                <w:sz w:val="16"/>
              </w:rPr>
              <w:t>一级指标</w:t>
            </w:r>
          </w:p>
        </w:tc>
        <w:tc>
          <w:tcPr>
            <w:tcW w:w="962" w:type="dxa"/>
            <w:tcBorders>
              <w:top w:val="single" w:color="auto" w:sz="10" w:space="0"/>
              <w:left w:val="single" w:color="auto" w:sz="10" w:space="0"/>
              <w:bottom w:val="single" w:color="auto" w:sz="10" w:space="0"/>
              <w:right w:val="single" w:color="auto" w:sz="10" w:space="0"/>
              <w:insideV w:val="single" w:sz="10" w:space="0"/>
            </w:tcBorders>
            <w:vAlign w:val="center"/>
          </w:tcPr>
          <w:p w14:paraId="5ECCB331">
            <w:pPr>
              <w:jc w:val="center"/>
            </w:pPr>
            <w:r>
              <w:rPr>
                <w:rFonts w:ascii="宋体" w:hAnsi="宋体" w:eastAsia="宋体"/>
                <w:sz w:val="16"/>
              </w:rPr>
              <w:t>二级指标</w:t>
            </w:r>
          </w:p>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399978EE">
            <w:pPr>
              <w:jc w:val="center"/>
            </w:pPr>
            <w:r>
              <w:rPr>
                <w:rFonts w:ascii="宋体" w:hAnsi="宋体" w:eastAsia="宋体"/>
                <w:sz w:val="16"/>
              </w:rPr>
              <w:t>三级指标</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0EB704C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CF22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31CD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7E89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A6FEB">
            <w:pPr>
              <w:jc w:val="center"/>
            </w:pPr>
            <w:r>
              <w:rPr>
                <w:rFonts w:ascii="宋体" w:hAnsi="宋体" w:eastAsia="宋体"/>
                <w:sz w:val="16"/>
              </w:rPr>
              <w:t>得分</w:t>
            </w:r>
          </w:p>
        </w:tc>
      </w:tr>
      <w:tr w14:paraId="4B64B6A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F61334">
            <w:pPr>
              <w:jc w:val="center"/>
            </w:pPr>
            <w:r>
              <w:rPr>
                <w:rFonts w:ascii="宋体" w:hAnsi="宋体" w:eastAsia="宋体"/>
                <w:sz w:val="16"/>
              </w:rPr>
              <w:t>运行成本</w:t>
            </w:r>
          </w:p>
        </w:tc>
        <w:tc>
          <w:tcPr>
            <w:tcW w:w="962" w:type="dxa"/>
            <w:tcBorders>
              <w:top w:val="single" w:color="auto" w:sz="10" w:space="0"/>
              <w:left w:val="single" w:color="auto" w:sz="10" w:space="0"/>
              <w:bottom w:val="single" w:color="auto" w:sz="10" w:space="0"/>
              <w:right w:val="single" w:color="auto" w:sz="10" w:space="0"/>
              <w:insideV w:val="single" w:sz="10" w:space="0"/>
            </w:tcBorders>
            <w:vAlign w:val="center"/>
          </w:tcPr>
          <w:p w14:paraId="275C1A34">
            <w:pPr>
              <w:jc w:val="center"/>
            </w:pPr>
            <w:r>
              <w:rPr>
                <w:rFonts w:ascii="宋体" w:hAnsi="宋体" w:eastAsia="宋体"/>
                <w:sz w:val="16"/>
              </w:rPr>
              <w:t>数量指标</w:t>
            </w:r>
          </w:p>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2EF82762">
            <w:pPr>
              <w:jc w:val="center"/>
            </w:pPr>
            <w:r>
              <w:rPr>
                <w:rFonts w:ascii="宋体" w:hAnsi="宋体" w:eastAsia="宋体"/>
                <w:sz w:val="16"/>
              </w:rPr>
              <w:t>在职人员工资福利支出预算保障人数（人)</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22E5D008">
            <w:pPr>
              <w:jc w:val="center"/>
            </w:pPr>
            <w:r>
              <w:rPr>
                <w:rFonts w:ascii="宋体" w:hAnsi="宋体" w:eastAsia="宋体"/>
                <w:sz w:val="16"/>
              </w:rPr>
              <w:t>&gt;=25人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88E45">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F1EB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91DBE">
            <w:pPr>
              <w:jc w:val="center"/>
            </w:pPr>
            <w:r>
              <w:rPr>
                <w:rFonts w:ascii="宋体" w:hAnsi="宋体" w:eastAsia="宋体"/>
                <w:sz w:val="16"/>
              </w:rPr>
              <w:t>=25人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7E0ED">
            <w:pPr>
              <w:jc w:val="center"/>
            </w:pPr>
            <w:r>
              <w:rPr>
                <w:rFonts w:ascii="宋体" w:hAnsi="宋体" w:eastAsia="宋体"/>
                <w:sz w:val="16"/>
              </w:rPr>
              <w:t>10</w:t>
            </w:r>
          </w:p>
        </w:tc>
      </w:tr>
      <w:tr w14:paraId="570EB4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E563E3"/>
        </w:tc>
        <w:tc>
          <w:tcPr>
            <w:tcW w:w="962" w:type="dxa"/>
            <w:tcBorders>
              <w:top w:val="single" w:color="auto" w:sz="10" w:space="0"/>
              <w:left w:val="single" w:color="auto" w:sz="10" w:space="0"/>
              <w:bottom w:val="single" w:color="auto" w:sz="10" w:space="0"/>
              <w:right w:val="single" w:color="auto" w:sz="10" w:space="0"/>
              <w:insideV w:val="single" w:sz="10" w:space="0"/>
            </w:tcBorders>
            <w:vAlign w:val="center"/>
          </w:tcPr>
          <w:p w14:paraId="5184DCE4">
            <w:pPr>
              <w:jc w:val="center"/>
            </w:pPr>
            <w:r>
              <w:rPr>
                <w:rFonts w:ascii="宋体" w:hAnsi="宋体" w:eastAsia="宋体"/>
                <w:sz w:val="16"/>
              </w:rPr>
              <w:t>成本指标</w:t>
            </w:r>
          </w:p>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450C187C">
            <w:pPr>
              <w:jc w:val="center"/>
            </w:pPr>
            <w:r>
              <w:rPr>
                <w:rFonts w:ascii="宋体" w:hAnsi="宋体" w:eastAsia="宋体"/>
                <w:sz w:val="16"/>
              </w:rPr>
              <w:t>年度部门整体支出控制数（万元）</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3A75EDDF">
            <w:pPr>
              <w:jc w:val="center"/>
            </w:pPr>
            <w:r>
              <w:rPr>
                <w:rFonts w:ascii="宋体" w:hAnsi="宋体" w:eastAsia="宋体"/>
                <w:sz w:val="16"/>
              </w:rPr>
              <w:t>&lt;=603.78万元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AA6B9">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92BF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8C15E">
            <w:pPr>
              <w:jc w:val="center"/>
            </w:pPr>
            <w:r>
              <w:rPr>
                <w:rFonts w:ascii="宋体" w:hAnsi="宋体" w:eastAsia="宋体"/>
                <w:sz w:val="16"/>
              </w:rPr>
              <w:t>=1690.63万元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25171">
            <w:pPr>
              <w:jc w:val="center"/>
            </w:pPr>
            <w:r>
              <w:rPr>
                <w:rFonts w:ascii="宋体" w:hAnsi="宋体" w:eastAsia="宋体"/>
                <w:sz w:val="16"/>
              </w:rPr>
              <w:t>0</w:t>
            </w:r>
          </w:p>
        </w:tc>
      </w:tr>
      <w:tr w14:paraId="694272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F3236C"/>
        </w:tc>
        <w:tc>
          <w:tcPr>
            <w:tcW w:w="96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A576A">
            <w:pPr>
              <w:jc w:val="center"/>
            </w:pPr>
            <w:r>
              <w:rPr>
                <w:rFonts w:ascii="宋体" w:hAnsi="宋体" w:eastAsia="宋体"/>
                <w:sz w:val="16"/>
              </w:rPr>
              <w:t>质量指标</w:t>
            </w:r>
          </w:p>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410F0411">
            <w:pPr>
              <w:jc w:val="center"/>
            </w:pPr>
            <w:r>
              <w:rPr>
                <w:rFonts w:ascii="宋体" w:hAnsi="宋体" w:eastAsia="宋体"/>
                <w:sz w:val="16"/>
              </w:rPr>
              <w:t>资金使用合规率（%）</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45DF7A1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47AD7">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9D41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77D3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764EC">
            <w:pPr>
              <w:jc w:val="center"/>
            </w:pPr>
            <w:r>
              <w:rPr>
                <w:rFonts w:ascii="宋体" w:hAnsi="宋体" w:eastAsia="宋体"/>
                <w:sz w:val="16"/>
              </w:rPr>
              <w:t>10</w:t>
            </w:r>
          </w:p>
        </w:tc>
      </w:tr>
      <w:tr w14:paraId="661B961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E9D93C">
            <w:pPr>
              <w:jc w:val="center"/>
            </w:pPr>
            <w:r>
              <w:rPr>
                <w:rFonts w:ascii="宋体" w:hAnsi="宋体" w:eastAsia="宋体"/>
                <w:sz w:val="16"/>
              </w:rPr>
              <w:t>管理效率</w:t>
            </w:r>
          </w:p>
        </w:tc>
        <w:tc>
          <w:tcPr>
            <w:tcW w:w="962" w:type="dxa"/>
            <w:vMerge w:val="continue"/>
            <w:tcBorders>
              <w:top w:val="single" w:color="auto" w:sz="10" w:space="0"/>
              <w:left w:val="single" w:color="auto" w:sz="10" w:space="0"/>
              <w:bottom w:val="single" w:color="auto" w:sz="10" w:space="0"/>
              <w:right w:val="single" w:color="auto" w:sz="10" w:space="0"/>
              <w:insideV w:val="single" w:sz="10" w:space="0"/>
            </w:tcBorders>
          </w:tcPr>
          <w:p w14:paraId="70489BBA"/>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299C3385">
            <w:pPr>
              <w:jc w:val="center"/>
            </w:pPr>
            <w:r>
              <w:rPr>
                <w:rFonts w:ascii="宋体" w:hAnsi="宋体" w:eastAsia="宋体"/>
                <w:sz w:val="16"/>
              </w:rPr>
              <w:t>园区入驻企业个数（家）</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64B22C22">
            <w:pPr>
              <w:jc w:val="center"/>
            </w:pPr>
            <w:r>
              <w:rPr>
                <w:rFonts w:ascii="宋体" w:hAnsi="宋体" w:eastAsia="宋体"/>
                <w:sz w:val="16"/>
              </w:rPr>
              <w:t>&gt;=125家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BA08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E0BA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43990">
            <w:pPr>
              <w:jc w:val="center"/>
            </w:pPr>
            <w:r>
              <w:rPr>
                <w:rFonts w:ascii="宋体" w:hAnsi="宋体" w:eastAsia="宋体"/>
                <w:sz w:val="16"/>
              </w:rPr>
              <w:t>=168家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D21B6">
            <w:pPr>
              <w:jc w:val="center"/>
            </w:pPr>
            <w:r>
              <w:rPr>
                <w:rFonts w:ascii="宋体" w:hAnsi="宋体" w:eastAsia="宋体"/>
                <w:sz w:val="16"/>
              </w:rPr>
              <w:t>9.84</w:t>
            </w:r>
          </w:p>
        </w:tc>
      </w:tr>
      <w:tr w14:paraId="03C38F9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ABEBC">
            <w:pPr>
              <w:jc w:val="center"/>
            </w:pPr>
            <w:r>
              <w:rPr>
                <w:rFonts w:ascii="宋体" w:hAnsi="宋体" w:eastAsia="宋体"/>
                <w:sz w:val="16"/>
              </w:rPr>
              <w:t>履职效能</w:t>
            </w:r>
          </w:p>
        </w:tc>
        <w:tc>
          <w:tcPr>
            <w:tcW w:w="962" w:type="dxa"/>
            <w:vMerge w:val="continue"/>
            <w:tcBorders>
              <w:top w:val="single" w:color="auto" w:sz="10" w:space="0"/>
              <w:left w:val="single" w:color="auto" w:sz="10" w:space="0"/>
              <w:bottom w:val="single" w:color="auto" w:sz="10" w:space="0"/>
              <w:right w:val="single" w:color="auto" w:sz="10" w:space="0"/>
              <w:insideV w:val="single" w:sz="10" w:space="0"/>
            </w:tcBorders>
          </w:tcPr>
          <w:p w14:paraId="2C50AF97"/>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6C07BC6D">
            <w:pPr>
              <w:jc w:val="center"/>
            </w:pPr>
            <w:r>
              <w:rPr>
                <w:rFonts w:ascii="宋体" w:hAnsi="宋体" w:eastAsia="宋体"/>
                <w:sz w:val="16"/>
              </w:rPr>
              <w:t>企业宣传入驻知晓率（%）</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1A88006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7D137">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789A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F0A4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F6B52">
            <w:pPr>
              <w:jc w:val="center"/>
            </w:pPr>
            <w:r>
              <w:rPr>
                <w:rFonts w:ascii="宋体" w:hAnsi="宋体" w:eastAsia="宋体"/>
                <w:sz w:val="16"/>
              </w:rPr>
              <w:t>10</w:t>
            </w:r>
          </w:p>
        </w:tc>
      </w:tr>
      <w:tr w14:paraId="5E23BB8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DFC4F">
            <w:pPr>
              <w:jc w:val="center"/>
            </w:pPr>
            <w:r>
              <w:rPr>
                <w:rFonts w:ascii="宋体" w:hAnsi="宋体" w:eastAsia="宋体"/>
                <w:sz w:val="16"/>
              </w:rPr>
              <w:t>社会效益</w:t>
            </w:r>
          </w:p>
        </w:tc>
        <w:tc>
          <w:tcPr>
            <w:tcW w:w="962" w:type="dxa"/>
            <w:tcBorders>
              <w:top w:val="single" w:color="auto" w:sz="10" w:space="0"/>
              <w:left w:val="single" w:color="auto" w:sz="10" w:space="0"/>
              <w:bottom w:val="single" w:color="auto" w:sz="10" w:space="0"/>
              <w:right w:val="single" w:color="auto" w:sz="10" w:space="0"/>
              <w:insideV w:val="single" w:sz="10" w:space="0"/>
            </w:tcBorders>
            <w:vAlign w:val="center"/>
          </w:tcPr>
          <w:p w14:paraId="7EFB549A">
            <w:pPr>
              <w:jc w:val="center"/>
            </w:pPr>
            <w:r>
              <w:rPr>
                <w:rFonts w:ascii="宋体" w:hAnsi="宋体" w:eastAsia="宋体"/>
                <w:sz w:val="16"/>
              </w:rPr>
              <w:t>社会效益指标</w:t>
            </w:r>
          </w:p>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31628778">
            <w:pPr>
              <w:jc w:val="center"/>
            </w:pPr>
            <w:r>
              <w:rPr>
                <w:rFonts w:ascii="宋体" w:hAnsi="宋体" w:eastAsia="宋体"/>
                <w:sz w:val="16"/>
              </w:rPr>
              <w:t>保障单位正常履职和各项政策有效实施</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2B96D79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579E9">
            <w:pPr>
              <w:jc w:val="center"/>
            </w:pPr>
            <w:r>
              <w:rPr>
                <w:rFonts w:ascii="宋体" w:hAnsi="宋体" w:eastAsia="宋体"/>
                <w:sz w:val="16"/>
              </w:rPr>
              <w:t>政策要求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B1F6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259E1">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E2DF3">
            <w:pPr>
              <w:jc w:val="center"/>
            </w:pPr>
            <w:r>
              <w:rPr>
                <w:rFonts w:ascii="宋体" w:hAnsi="宋体" w:eastAsia="宋体"/>
                <w:sz w:val="16"/>
              </w:rPr>
              <w:t>10</w:t>
            </w:r>
          </w:p>
        </w:tc>
      </w:tr>
      <w:tr w14:paraId="3A5F2D5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C97BE">
            <w:pPr>
              <w:jc w:val="center"/>
            </w:pPr>
            <w:r>
              <w:rPr>
                <w:rFonts w:ascii="宋体" w:hAnsi="宋体" w:eastAsia="宋体"/>
                <w:sz w:val="16"/>
              </w:rPr>
              <w:t>服务对象满意度</w:t>
            </w:r>
          </w:p>
        </w:tc>
        <w:tc>
          <w:tcPr>
            <w:tcW w:w="96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B023A">
            <w:pPr>
              <w:jc w:val="center"/>
            </w:pPr>
            <w:r>
              <w:rPr>
                <w:rFonts w:ascii="宋体" w:hAnsi="宋体" w:eastAsia="宋体"/>
                <w:sz w:val="16"/>
              </w:rPr>
              <w:t>满意度指标</w:t>
            </w:r>
          </w:p>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2550F51D">
            <w:pPr>
              <w:jc w:val="center"/>
            </w:pPr>
            <w:r>
              <w:rPr>
                <w:rFonts w:ascii="宋体" w:hAnsi="宋体" w:eastAsia="宋体"/>
                <w:sz w:val="16"/>
              </w:rPr>
              <w:t>入驻企业满意度（%）</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026A852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A3E57">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ED0B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FAD2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9D358">
            <w:pPr>
              <w:jc w:val="center"/>
            </w:pPr>
            <w:r>
              <w:rPr>
                <w:rFonts w:ascii="宋体" w:hAnsi="宋体" w:eastAsia="宋体"/>
                <w:sz w:val="16"/>
              </w:rPr>
              <w:t>10</w:t>
            </w:r>
          </w:p>
        </w:tc>
      </w:tr>
      <w:tr w14:paraId="64394E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17A0F4"/>
        </w:tc>
        <w:tc>
          <w:tcPr>
            <w:tcW w:w="962" w:type="dxa"/>
            <w:vMerge w:val="continue"/>
            <w:tcBorders>
              <w:top w:val="single" w:color="auto" w:sz="10" w:space="0"/>
              <w:left w:val="single" w:color="auto" w:sz="10" w:space="0"/>
              <w:bottom w:val="single" w:color="auto" w:sz="10" w:space="0"/>
              <w:right w:val="single" w:color="auto" w:sz="10" w:space="0"/>
              <w:insideV w:val="single" w:sz="10" w:space="0"/>
            </w:tcBorders>
          </w:tcPr>
          <w:p w14:paraId="6BA388C6"/>
        </w:tc>
        <w:tc>
          <w:tcPr>
            <w:tcW w:w="1347" w:type="dxa"/>
            <w:tcBorders>
              <w:top w:val="single" w:color="auto" w:sz="10" w:space="0"/>
              <w:left w:val="single" w:color="auto" w:sz="10" w:space="0"/>
              <w:bottom w:val="single" w:color="auto" w:sz="10" w:space="0"/>
              <w:right w:val="single" w:color="auto" w:sz="10" w:space="0"/>
              <w:insideV w:val="single" w:sz="10" w:space="0"/>
            </w:tcBorders>
            <w:vAlign w:val="center"/>
          </w:tcPr>
          <w:p w14:paraId="70625823">
            <w:pPr>
              <w:jc w:val="center"/>
            </w:pPr>
            <w:r>
              <w:rPr>
                <w:rFonts w:ascii="宋体" w:hAnsi="宋体" w:eastAsia="宋体"/>
                <w:sz w:val="16"/>
              </w:rPr>
              <w:t>在职人员的满意度（%）</w:t>
            </w:r>
          </w:p>
        </w:tc>
        <w:tc>
          <w:tcPr>
            <w:tcW w:w="1006" w:type="dxa"/>
            <w:tcBorders>
              <w:top w:val="single" w:color="auto" w:sz="10" w:space="0"/>
              <w:left w:val="single" w:color="auto" w:sz="10" w:space="0"/>
              <w:bottom w:val="single" w:color="auto" w:sz="10" w:space="0"/>
              <w:right w:val="single" w:color="auto" w:sz="10" w:space="0"/>
              <w:insideV w:val="single" w:sz="10" w:space="0"/>
            </w:tcBorders>
            <w:vAlign w:val="center"/>
          </w:tcPr>
          <w:p w14:paraId="6D3556B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A7B7B">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6BB8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DE3E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13102">
            <w:pPr>
              <w:jc w:val="center"/>
            </w:pPr>
            <w:r>
              <w:rPr>
                <w:rFonts w:ascii="宋体" w:hAnsi="宋体" w:eastAsia="宋体"/>
                <w:sz w:val="16"/>
              </w:rPr>
              <w:t>10</w:t>
            </w:r>
          </w:p>
        </w:tc>
      </w:tr>
    </w:tbl>
    <w:p w14:paraId="49C134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2A8EE3A">
        <w:tblPrEx>
          <w:tblCellMar>
            <w:top w:w="0" w:type="dxa"/>
            <w:left w:w="108" w:type="dxa"/>
            <w:bottom w:w="0" w:type="dxa"/>
            <w:right w:w="108" w:type="dxa"/>
          </w:tblCellMar>
        </w:tblPrEx>
        <w:tc>
          <w:tcPr>
            <w:tcW w:w="8848" w:type="dxa"/>
            <w:gridSpan w:val="14"/>
            <w:vAlign w:val="center"/>
          </w:tcPr>
          <w:p w14:paraId="5460F49E">
            <w:pPr>
              <w:jc w:val="center"/>
            </w:pPr>
            <w:r>
              <w:rPr>
                <w:rFonts w:ascii="宋体" w:hAnsi="宋体" w:eastAsia="宋体"/>
                <w:sz w:val="24"/>
              </w:rPr>
              <w:t>项目支出绩效自评表</w:t>
            </w:r>
          </w:p>
        </w:tc>
      </w:tr>
      <w:tr w14:paraId="74E2D60D">
        <w:tblPrEx>
          <w:tblCellMar>
            <w:top w:w="0" w:type="dxa"/>
            <w:left w:w="108" w:type="dxa"/>
            <w:bottom w:w="0" w:type="dxa"/>
            <w:right w:w="108" w:type="dxa"/>
          </w:tblCellMar>
        </w:tblPrEx>
        <w:tc>
          <w:tcPr>
            <w:tcW w:w="8848" w:type="dxa"/>
            <w:gridSpan w:val="14"/>
            <w:vAlign w:val="center"/>
          </w:tcPr>
          <w:p w14:paraId="4913A577">
            <w:pPr>
              <w:jc w:val="center"/>
            </w:pPr>
            <w:r>
              <w:rPr>
                <w:rFonts w:ascii="宋体" w:hAnsi="宋体" w:eastAsia="宋体"/>
                <w:sz w:val="24"/>
              </w:rPr>
              <w:t>(2024年度)</w:t>
            </w:r>
          </w:p>
        </w:tc>
      </w:tr>
      <w:tr w14:paraId="314A1E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2C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243111">
            <w:pPr>
              <w:jc w:val="center"/>
            </w:pPr>
            <w:r>
              <w:rPr>
                <w:rFonts w:ascii="宋体" w:hAnsi="宋体" w:eastAsia="宋体"/>
                <w:sz w:val="16"/>
              </w:rPr>
              <w:t>2024年县级阿克陶江西工业园区生态环境空气自动检测站运维费。</w:t>
            </w:r>
          </w:p>
        </w:tc>
      </w:tr>
      <w:tr w14:paraId="7E50E1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959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714D4A">
            <w:pPr>
              <w:jc w:val="center"/>
            </w:pPr>
            <w:r>
              <w:rPr>
                <w:rFonts w:ascii="宋体" w:hAnsi="宋体" w:eastAsia="宋体"/>
                <w:sz w:val="16"/>
              </w:rPr>
              <w:t>阿克陶江西工业园区管理委员会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CF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905A2D">
            <w:pPr>
              <w:jc w:val="center"/>
            </w:pPr>
            <w:r>
              <w:rPr>
                <w:rFonts w:ascii="宋体" w:hAnsi="宋体" w:eastAsia="宋体"/>
                <w:sz w:val="16"/>
              </w:rPr>
              <w:t>阿克陶江西工业园区管理委员会</w:t>
            </w:r>
          </w:p>
        </w:tc>
      </w:tr>
      <w:tr w14:paraId="6A46FA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B04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4987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F84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BC4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B1A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EF8E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1F0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82F1">
            <w:pPr>
              <w:jc w:val="center"/>
            </w:pPr>
            <w:r>
              <w:rPr>
                <w:rFonts w:ascii="宋体" w:hAnsi="宋体" w:eastAsia="宋体"/>
                <w:sz w:val="16"/>
              </w:rPr>
              <w:t>得分</w:t>
            </w:r>
          </w:p>
        </w:tc>
      </w:tr>
      <w:tr w14:paraId="7356D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B2C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189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D4FD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179A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AE8C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602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36A78">
            <w:pPr>
              <w:jc w:val="center"/>
            </w:pPr>
            <w:r>
              <w:rPr>
                <w:rFonts w:ascii="宋体" w:hAnsi="宋体" w:eastAsia="宋体"/>
                <w:sz w:val="16"/>
              </w:rPr>
              <w:t>25.0%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CA072">
            <w:pPr>
              <w:jc w:val="center"/>
            </w:pPr>
            <w:r>
              <w:rPr>
                <w:rFonts w:ascii="宋体" w:hAnsi="宋体" w:eastAsia="宋体"/>
                <w:sz w:val="16"/>
              </w:rPr>
              <w:t>0.00分</w:t>
            </w:r>
          </w:p>
        </w:tc>
      </w:tr>
      <w:tr w14:paraId="168F94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1FE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7AA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52BD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54C9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1549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D1D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852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3A37">
            <w:pPr>
              <w:jc w:val="center"/>
            </w:pPr>
            <w:r>
              <w:rPr>
                <w:rFonts w:ascii="宋体" w:hAnsi="宋体" w:eastAsia="宋体"/>
                <w:sz w:val="16"/>
              </w:rPr>
              <w:t>—</w:t>
            </w:r>
          </w:p>
        </w:tc>
      </w:tr>
      <w:tr w14:paraId="5D200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053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58D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36F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3DD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F7E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02A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94A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4E96">
            <w:pPr>
              <w:jc w:val="center"/>
            </w:pPr>
            <w:r>
              <w:rPr>
                <w:rFonts w:ascii="宋体" w:hAnsi="宋体" w:eastAsia="宋体"/>
                <w:sz w:val="16"/>
              </w:rPr>
              <w:t>—</w:t>
            </w:r>
          </w:p>
        </w:tc>
      </w:tr>
      <w:tr w14:paraId="077CA9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477B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44DD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BCF4A8">
            <w:pPr>
              <w:jc w:val="center"/>
            </w:pPr>
            <w:r>
              <w:rPr>
                <w:rFonts w:ascii="宋体" w:hAnsi="宋体" w:eastAsia="宋体"/>
                <w:sz w:val="16"/>
              </w:rPr>
              <w:t>实际完成情况</w:t>
            </w:r>
          </w:p>
        </w:tc>
      </w:tr>
      <w:tr w14:paraId="5E81C0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F5B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7A59F">
            <w:pPr>
              <w:jc w:val="both"/>
            </w:pPr>
            <w:r>
              <w:rPr>
                <w:rFonts w:ascii="宋体" w:hAnsi="宋体" w:eastAsia="宋体"/>
                <w:sz w:val="16"/>
              </w:rPr>
              <w:t>2024年，对阿克陶江西工业园区空气质量监测站设备（运维），确保在线监测平台正常监测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AD60CB">
            <w:pPr>
              <w:jc w:val="both"/>
            </w:pPr>
            <w:r>
              <w:rPr>
                <w:rFonts w:ascii="宋体" w:hAnsi="宋体" w:eastAsia="宋体"/>
                <w:sz w:val="16"/>
              </w:rPr>
              <w:t>阿克陶江西工业园区管理委员会对生态环境空气自动监测站进行运行维护，确保站点各项监测仪器正常稳定运行并与国家、自治区生态环境部门联网正常。</w:t>
            </w:r>
          </w:p>
        </w:tc>
      </w:tr>
      <w:tr w14:paraId="4A6F17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1CA1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C66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7E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9E8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A6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E3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B8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8A9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76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57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36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0EA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27BEE">
            <w:pPr>
              <w:jc w:val="center"/>
            </w:pPr>
            <w:r>
              <w:rPr>
                <w:rFonts w:ascii="宋体" w:hAnsi="宋体" w:eastAsia="宋体"/>
                <w:sz w:val="16"/>
              </w:rPr>
              <w:t>偏差原因分析及改进措施</w:t>
            </w:r>
          </w:p>
        </w:tc>
      </w:tr>
      <w:tr w14:paraId="0AD991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CCE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0309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C4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0E08">
            <w:pPr>
              <w:jc w:val="center"/>
            </w:pPr>
            <w:r>
              <w:rPr>
                <w:rFonts w:ascii="宋体" w:hAnsi="宋体" w:eastAsia="宋体"/>
                <w:sz w:val="16"/>
              </w:rPr>
              <w:t>完成设备正常运行维护（套）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98A1">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0CD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3D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EF9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07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91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E6C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3FA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FC375">
            <w:pPr>
              <w:jc w:val="center"/>
            </w:pPr>
          </w:p>
        </w:tc>
      </w:tr>
      <w:tr w14:paraId="34F73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F1F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D68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A1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BB2E">
            <w:pPr>
              <w:jc w:val="center"/>
            </w:pPr>
            <w:r>
              <w:rPr>
                <w:rFonts w:ascii="宋体" w:hAnsi="宋体" w:eastAsia="宋体"/>
                <w:sz w:val="16"/>
              </w:rPr>
              <w:t>设备正常运行、监测数据（%）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69A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52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FE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EE2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FA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A5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83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118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A031E">
            <w:pPr>
              <w:jc w:val="center"/>
            </w:pPr>
          </w:p>
        </w:tc>
      </w:tr>
      <w:tr w14:paraId="3FE7C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E7A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974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6A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FC7A">
            <w:pPr>
              <w:jc w:val="center"/>
            </w:pPr>
            <w:r>
              <w:rPr>
                <w:rFonts w:ascii="宋体" w:hAnsi="宋体" w:eastAsia="宋体"/>
                <w:sz w:val="16"/>
              </w:rPr>
              <w:t>资金拨付及时率限（月）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4672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C7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DE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EB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C96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E0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8D85">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CF92">
            <w:pPr>
              <w:jc w:val="center"/>
            </w:pPr>
            <w:r>
              <w:rPr>
                <w:rFonts w:ascii="宋体" w:hAnsi="宋体" w:eastAsia="宋体"/>
                <w:sz w:val="16"/>
              </w:rPr>
              <w:t>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2371F">
            <w:pPr>
              <w:jc w:val="center"/>
            </w:pPr>
            <w:r>
              <w:rPr>
                <w:rFonts w:ascii="宋体" w:hAnsi="宋体" w:eastAsia="宋体"/>
                <w:sz w:val="16"/>
              </w:rPr>
              <w:t>本级财政压力过大，优先保障民生等重大领域的资金支出，导致</w:t>
            </w:r>
            <w:r>
              <w:rPr>
                <w:rFonts w:hint="eastAsia" w:ascii="宋体" w:hAnsi="宋体"/>
                <w:sz w:val="16"/>
                <w:lang w:eastAsia="zh-CN"/>
              </w:rPr>
              <w:t>本单位</w:t>
            </w:r>
            <w:r>
              <w:rPr>
                <w:rFonts w:ascii="宋体" w:hAnsi="宋体" w:eastAsia="宋体"/>
                <w:sz w:val="16"/>
              </w:rPr>
              <w:t>该笔预算资金未能足额下达。5万元于10月支付。</w:t>
            </w:r>
          </w:p>
        </w:tc>
      </w:tr>
      <w:tr w14:paraId="07D48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4AD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9F1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7B4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66FDA">
            <w:pPr>
              <w:jc w:val="center"/>
            </w:pPr>
            <w:r>
              <w:rPr>
                <w:rFonts w:ascii="宋体" w:hAnsi="宋体" w:eastAsia="宋体"/>
                <w:sz w:val="16"/>
              </w:rPr>
              <w:t>项目需要资金（万元）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9DCC">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066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A0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A3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CB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02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B5EE">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D1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3FAD6">
            <w:pPr>
              <w:jc w:val="center"/>
            </w:pPr>
            <w:r>
              <w:rPr>
                <w:rFonts w:ascii="宋体" w:hAnsi="宋体" w:eastAsia="宋体"/>
                <w:sz w:val="16"/>
              </w:rPr>
              <w:t>本级财政压力过大，优先保障民生等重大领域的资金支出，导致</w:t>
            </w:r>
            <w:bookmarkStart w:id="0" w:name="_GoBack"/>
            <w:bookmarkEnd w:id="0"/>
            <w:r>
              <w:rPr>
                <w:rFonts w:hint="eastAsia" w:ascii="宋体" w:hAnsi="宋体"/>
                <w:sz w:val="16"/>
                <w:lang w:eastAsia="zh-CN"/>
              </w:rPr>
              <w:t>本单位</w:t>
            </w:r>
            <w:r>
              <w:rPr>
                <w:rFonts w:ascii="宋体" w:hAnsi="宋体" w:eastAsia="宋体"/>
                <w:sz w:val="16"/>
              </w:rPr>
              <w:t>该笔预算资金未能足额下达。</w:t>
            </w:r>
          </w:p>
        </w:tc>
      </w:tr>
      <w:tr w14:paraId="1F89B5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52F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A6BD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DCF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F9641">
            <w:pPr>
              <w:jc w:val="center"/>
            </w:pPr>
            <w:r>
              <w:rPr>
                <w:rFonts w:ascii="宋体" w:hAnsi="宋体" w:eastAsia="宋体"/>
                <w:sz w:val="16"/>
              </w:rPr>
              <w:t>有效提高监测设备有效使用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05E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51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DB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76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E3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812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7A7C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CA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3A352">
            <w:pPr>
              <w:jc w:val="center"/>
            </w:pPr>
          </w:p>
        </w:tc>
      </w:tr>
      <w:tr w14:paraId="12EAA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56D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EDD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123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AB18">
            <w:pPr>
              <w:jc w:val="center"/>
            </w:pPr>
            <w:r>
              <w:rPr>
                <w:rFonts w:ascii="宋体" w:hAnsi="宋体" w:eastAsia="宋体"/>
                <w:sz w:val="16"/>
              </w:rPr>
              <w:t>有效完善生态环境保护设施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BD0E">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56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C9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C7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F3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A0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9BFD">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9B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DCB5B">
            <w:pPr>
              <w:jc w:val="center"/>
            </w:pPr>
          </w:p>
        </w:tc>
      </w:tr>
      <w:tr w14:paraId="3A4A2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7FC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430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AC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0540">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763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62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949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B4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6A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04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7F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E0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6A2E9">
            <w:pPr>
              <w:jc w:val="center"/>
            </w:pPr>
          </w:p>
        </w:tc>
      </w:tr>
      <w:tr w14:paraId="7FDF8A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B3CD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0BEC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8E71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824DA">
            <w:pPr>
              <w:jc w:val="center"/>
            </w:pPr>
            <w:r>
              <w:rPr>
                <w:rFonts w:ascii="宋体" w:hAnsi="宋体" w:eastAsia="宋体"/>
                <w:sz w:val="16"/>
              </w:rPr>
              <w:t>65.83分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72C132"/>
        </w:tc>
      </w:tr>
    </w:tbl>
    <w:p w14:paraId="3AB54FF4">
      <w:r>
        <w:br w:type="page"/>
      </w:r>
    </w:p>
    <w:p w14:paraId="651E8A7B">
      <w:pPr>
        <w:spacing w:line="640" w:lineRule="exact"/>
        <w:ind w:firstLine="640"/>
        <w:jc w:val="both"/>
        <w:outlineLvl w:val="2"/>
      </w:pPr>
      <w:r>
        <w:rPr>
          <w:rFonts w:ascii="黑体" w:hAnsi="黑体" w:eastAsia="黑体"/>
          <w:sz w:val="32"/>
        </w:rPr>
        <w:t>十二、其他需说明的事项</w:t>
      </w:r>
    </w:p>
    <w:p w14:paraId="40331BA9">
      <w:pPr>
        <w:spacing w:line="580" w:lineRule="exact"/>
        <w:ind w:firstLine="640"/>
        <w:jc w:val="both"/>
      </w:pPr>
      <w:r>
        <w:rPr>
          <w:rFonts w:ascii="仿宋_GB2312" w:hAnsi="仿宋_GB2312" w:eastAsia="仿宋_GB2312"/>
          <w:b w:val="0"/>
          <w:sz w:val="32"/>
        </w:rPr>
        <w:t>本单位无其他需说明的事项。</w:t>
      </w:r>
    </w:p>
    <w:p w14:paraId="52BFE2F2">
      <w:r>
        <w:br w:type="page"/>
      </w:r>
    </w:p>
    <w:p w14:paraId="448BBB96">
      <w:pPr>
        <w:spacing w:line="240" w:lineRule="auto"/>
        <w:jc w:val="center"/>
        <w:outlineLvl w:val="1"/>
      </w:pPr>
      <w:r>
        <w:rPr>
          <w:rFonts w:ascii="黑体" w:hAnsi="黑体" w:eastAsia="黑体"/>
          <w:sz w:val="32"/>
        </w:rPr>
        <w:t>第三部分 专业名词解释</w:t>
      </w:r>
    </w:p>
    <w:p w14:paraId="049CAC0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08C813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6682A1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38BA0B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B01338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A4E11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4027D7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2D1488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62D56E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52DFA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E31B07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BA205C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510396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8ED7E4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95609ED">
      <w:r>
        <w:br w:type="page"/>
      </w:r>
    </w:p>
    <w:p w14:paraId="503E29E9">
      <w:pPr>
        <w:spacing w:line="240" w:lineRule="auto"/>
        <w:jc w:val="center"/>
        <w:outlineLvl w:val="1"/>
      </w:pPr>
      <w:r>
        <w:rPr>
          <w:rFonts w:ascii="黑体" w:hAnsi="黑体" w:eastAsia="黑体"/>
          <w:sz w:val="32"/>
        </w:rPr>
        <w:t>第四部分 部门决算报表（见附表）</w:t>
      </w:r>
    </w:p>
    <w:p w14:paraId="4345176D">
      <w:pPr>
        <w:spacing w:line="240" w:lineRule="auto"/>
        <w:ind w:firstLine="640"/>
        <w:jc w:val="both"/>
      </w:pPr>
      <w:r>
        <w:rPr>
          <w:rFonts w:ascii="仿宋_GB2312" w:hAnsi="仿宋_GB2312" w:eastAsia="仿宋_GB2312"/>
          <w:b w:val="0"/>
          <w:sz w:val="32"/>
        </w:rPr>
        <w:t>一、《收入支出决算总表》</w:t>
      </w:r>
    </w:p>
    <w:p w14:paraId="41D286F9">
      <w:pPr>
        <w:spacing w:line="240" w:lineRule="auto"/>
        <w:ind w:firstLine="640"/>
        <w:jc w:val="both"/>
      </w:pPr>
      <w:r>
        <w:rPr>
          <w:rFonts w:ascii="仿宋_GB2312" w:hAnsi="仿宋_GB2312" w:eastAsia="仿宋_GB2312"/>
          <w:b w:val="0"/>
          <w:sz w:val="32"/>
        </w:rPr>
        <w:t>二、《收入决算表》</w:t>
      </w:r>
    </w:p>
    <w:p w14:paraId="00EB1ABF">
      <w:pPr>
        <w:spacing w:line="240" w:lineRule="auto"/>
        <w:ind w:firstLine="640"/>
        <w:jc w:val="both"/>
      </w:pPr>
      <w:r>
        <w:rPr>
          <w:rFonts w:ascii="仿宋_GB2312" w:hAnsi="仿宋_GB2312" w:eastAsia="仿宋_GB2312"/>
          <w:b w:val="0"/>
          <w:sz w:val="32"/>
        </w:rPr>
        <w:t>三、《支出决算表》</w:t>
      </w:r>
    </w:p>
    <w:p w14:paraId="4DE14F28">
      <w:pPr>
        <w:spacing w:line="240" w:lineRule="auto"/>
        <w:ind w:firstLine="640"/>
        <w:jc w:val="both"/>
      </w:pPr>
      <w:r>
        <w:rPr>
          <w:rFonts w:ascii="仿宋_GB2312" w:hAnsi="仿宋_GB2312" w:eastAsia="仿宋_GB2312"/>
          <w:b w:val="0"/>
          <w:sz w:val="32"/>
        </w:rPr>
        <w:t>四、《财政拨款收入支出决算总表》</w:t>
      </w:r>
    </w:p>
    <w:p w14:paraId="34C653C1">
      <w:pPr>
        <w:spacing w:line="240" w:lineRule="auto"/>
        <w:ind w:firstLine="640"/>
        <w:jc w:val="both"/>
      </w:pPr>
      <w:r>
        <w:rPr>
          <w:rFonts w:ascii="仿宋_GB2312" w:hAnsi="仿宋_GB2312" w:eastAsia="仿宋_GB2312"/>
          <w:b w:val="0"/>
          <w:sz w:val="32"/>
        </w:rPr>
        <w:t>五、《一般公共预算财政拨款支出决算表》</w:t>
      </w:r>
    </w:p>
    <w:p w14:paraId="58CBB9BB">
      <w:pPr>
        <w:spacing w:line="240" w:lineRule="auto"/>
        <w:ind w:firstLine="640"/>
        <w:jc w:val="both"/>
      </w:pPr>
      <w:r>
        <w:rPr>
          <w:rFonts w:ascii="仿宋_GB2312" w:hAnsi="仿宋_GB2312" w:eastAsia="仿宋_GB2312"/>
          <w:b w:val="0"/>
          <w:sz w:val="32"/>
        </w:rPr>
        <w:t>六、《一般公共预算财政拨款基本支出决算表》</w:t>
      </w:r>
    </w:p>
    <w:p w14:paraId="2A1A8F04">
      <w:pPr>
        <w:spacing w:line="240" w:lineRule="auto"/>
        <w:ind w:firstLine="640"/>
        <w:jc w:val="both"/>
      </w:pPr>
      <w:r>
        <w:rPr>
          <w:rFonts w:ascii="仿宋_GB2312" w:hAnsi="仿宋_GB2312" w:eastAsia="仿宋_GB2312"/>
          <w:b w:val="0"/>
          <w:sz w:val="32"/>
        </w:rPr>
        <w:t>七、《政府性基金预算财政拨款收入支出决算表》</w:t>
      </w:r>
    </w:p>
    <w:p w14:paraId="24332E95">
      <w:pPr>
        <w:spacing w:line="240" w:lineRule="auto"/>
        <w:ind w:firstLine="640"/>
        <w:jc w:val="both"/>
      </w:pPr>
      <w:r>
        <w:rPr>
          <w:rFonts w:ascii="仿宋_GB2312" w:hAnsi="仿宋_GB2312" w:eastAsia="仿宋_GB2312"/>
          <w:b w:val="0"/>
          <w:sz w:val="32"/>
        </w:rPr>
        <w:t>八、《国有资本经营预算财政拨款收入支出决算表》</w:t>
      </w:r>
    </w:p>
    <w:p w14:paraId="1FE05F0F">
      <w:pPr>
        <w:spacing w:line="240" w:lineRule="auto"/>
        <w:ind w:firstLine="640"/>
        <w:jc w:val="both"/>
      </w:pPr>
      <w:r>
        <w:rPr>
          <w:rFonts w:ascii="仿宋_GB2312" w:hAnsi="仿宋_GB2312" w:eastAsia="仿宋_GB2312"/>
          <w:b w:val="0"/>
          <w:sz w:val="32"/>
        </w:rPr>
        <w:t>九、《财政拨款“三公”经费支出决算表》</w:t>
      </w:r>
    </w:p>
    <w:p w14:paraId="792969E2">
      <w:pPr>
        <w:spacing w:line="240" w:lineRule="auto"/>
        <w:ind w:firstLine="640"/>
        <w:jc w:val="both"/>
      </w:pPr>
    </w:p>
    <w:p w14:paraId="7321D4DF">
      <w:pPr>
        <w:spacing w:line="240" w:lineRule="auto"/>
        <w:ind w:firstLine="640"/>
        <w:jc w:val="both"/>
      </w:pPr>
    </w:p>
    <w:p w14:paraId="48666488">
      <w:pPr>
        <w:spacing w:line="240" w:lineRule="auto"/>
        <w:ind w:firstLine="640"/>
        <w:jc w:val="both"/>
      </w:pPr>
    </w:p>
    <w:p w14:paraId="3C294B2D">
      <w:pPr>
        <w:spacing w:line="240" w:lineRule="auto"/>
        <w:ind w:firstLine="640"/>
        <w:jc w:val="both"/>
      </w:pPr>
    </w:p>
    <w:p w14:paraId="649FD25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689DE7-13B5-4F02-B82F-6D1EAC3618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FDDAAA0-26EB-42D4-9CB9-E4B41B4E4AC2}"/>
  </w:font>
  <w:font w:name="仿宋_GB2312">
    <w:altName w:val="仿宋"/>
    <w:panose1 w:val="02010609030101010101"/>
    <w:charset w:val="86"/>
    <w:family w:val="modern"/>
    <w:pitch w:val="default"/>
    <w:sig w:usb0="00000000" w:usb1="00000000" w:usb2="00000000" w:usb3="00000000" w:csb0="00040000" w:csb1="00000000"/>
    <w:embedRegular r:id="rId3" w:fontKey="{DDA6A748-90FC-4A5A-B414-98EECE3AA661}"/>
  </w:font>
  <w:font w:name="楷体_GB2312">
    <w:altName w:val="楷体"/>
    <w:panose1 w:val="02010609030101010101"/>
    <w:charset w:val="86"/>
    <w:family w:val="auto"/>
    <w:pitch w:val="default"/>
    <w:sig w:usb0="00000000" w:usb1="00000000" w:usb2="00000000" w:usb3="00000000" w:csb0="00040000" w:csb1="00000000"/>
    <w:embedRegular r:id="rId4" w:fontKey="{263C39E3-B4A9-416D-9F4A-4B9214152E0B}"/>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D33719"/>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A64E9B"/>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7244</Words>
  <Characters>8355</Characters>
  <Lines>0</Lines>
  <Paragraphs>0</Paragraphs>
  <TotalTime>17</TotalTime>
  <ScaleCrop>false</ScaleCrop>
  <LinksUpToDate>false</LinksUpToDate>
  <CharactersWithSpaces>8363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2025-09-15T07:45:08Z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