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新疆阿克陶县原种场2024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259141D">
      <w:r>
        <w:br w:type="page"/>
      </w:r>
    </w:p>
    <w:p w14:paraId="54259EBD">
      <w:pPr>
        <w:spacing w:line="640" w:lineRule="exact"/>
        <w:jc w:val="center"/>
        <w:outlineLvl w:val="1"/>
      </w:pPr>
      <w:r>
        <w:rPr>
          <w:rFonts w:ascii="黑体" w:hAnsi="黑体" w:eastAsia="黑体"/>
          <w:sz w:val="32"/>
        </w:rPr>
        <w:t>第一部分 单位概况</w:t>
      </w:r>
    </w:p>
    <w:p w14:paraId="0EF2587A">
      <w:pPr>
        <w:spacing w:line="640" w:lineRule="exact"/>
        <w:ind w:firstLine="640"/>
        <w:jc w:val="both"/>
        <w:outlineLvl w:val="2"/>
      </w:pPr>
      <w:r>
        <w:rPr>
          <w:rFonts w:ascii="黑体" w:hAnsi="黑体" w:eastAsia="黑体"/>
          <w:sz w:val="32"/>
        </w:rPr>
        <w:t>一、主要职能</w:t>
      </w:r>
    </w:p>
    <w:p w14:paraId="302D1C54">
      <w:pPr>
        <w:spacing w:line="580" w:lineRule="exact"/>
        <w:ind w:firstLine="640"/>
        <w:jc w:val="both"/>
      </w:pPr>
      <w:r>
        <w:rPr>
          <w:rFonts w:ascii="仿宋_GB2312" w:hAnsi="仿宋_GB2312" w:eastAsia="仿宋_GB2312"/>
          <w:sz w:val="32"/>
        </w:rPr>
        <w:t>贯彻执行国家和自治区、自治州关于设施农业各项方针政策和法律、法规。积极调整以稳定经济发展为前提，以发展特色蔬菜品种为取向，以科技创新为动力，以增加农民收入为目标，重点发展特色有机蔬菜菜篮子工程。积极培养农业先进科技技术人员，调动本场及周边群众、承包户对农业生产发展方面主动性、积极性和创新意识。在农业生产上充分尊重农民的自主经营权，引导他们科学种植，协调发展。坚持以绿色发展为中心，以市场为导向。确保原种场农民在经济方面稳步发展。惠农方面我场为农民及时提供新农、低保、合作医疗、农机补贴、农资和粮食补贴等，能够做到及时</w:t>
      </w:r>
      <w:r>
        <w:rPr>
          <w:rFonts w:hint="eastAsia" w:ascii="仿宋_GB2312" w:hAnsi="仿宋_GB2312" w:eastAsia="仿宋_GB2312"/>
          <w:sz w:val="32"/>
          <w:lang w:eastAsia="zh-CN"/>
        </w:rPr>
        <w:t>上缴</w:t>
      </w:r>
      <w:r>
        <w:rPr>
          <w:rFonts w:ascii="仿宋_GB2312" w:hAnsi="仿宋_GB2312" w:eastAsia="仿宋_GB2312"/>
          <w:sz w:val="32"/>
        </w:rPr>
        <w:t>，及时发放，</w:t>
      </w:r>
      <w:r>
        <w:rPr>
          <w:rFonts w:hint="eastAsia" w:ascii="仿宋_GB2312" w:hAnsi="仿宋_GB2312" w:eastAsia="仿宋_GB2312"/>
          <w:sz w:val="32"/>
          <w:lang w:eastAsia="zh-CN"/>
        </w:rPr>
        <w:t>确保</w:t>
      </w:r>
      <w:r>
        <w:rPr>
          <w:rFonts w:ascii="仿宋_GB2312" w:hAnsi="仿宋_GB2312" w:eastAsia="仿宋_GB2312"/>
          <w:sz w:val="32"/>
        </w:rPr>
        <w:t>农民得到实惠。组织全体干部及农民学习《土地管理法规法则》和《土地承包条例》等相关知识。</w:t>
      </w:r>
    </w:p>
    <w:p w14:paraId="31843EA2">
      <w:pPr>
        <w:spacing w:line="640" w:lineRule="exact"/>
        <w:ind w:firstLine="640"/>
        <w:jc w:val="both"/>
        <w:outlineLvl w:val="2"/>
      </w:pPr>
      <w:r>
        <w:rPr>
          <w:rFonts w:ascii="黑体" w:hAnsi="黑体" w:eastAsia="黑体"/>
          <w:sz w:val="32"/>
        </w:rPr>
        <w:t>二、机构设置及人员情况</w:t>
      </w:r>
    </w:p>
    <w:p w14:paraId="7BED7AE6">
      <w:pPr>
        <w:spacing w:line="580" w:lineRule="exact"/>
        <w:ind w:firstLine="640"/>
        <w:jc w:val="both"/>
      </w:pPr>
      <w:r>
        <w:rPr>
          <w:rFonts w:ascii="仿宋_GB2312" w:hAnsi="仿宋_GB2312" w:eastAsia="仿宋_GB2312"/>
          <w:sz w:val="32"/>
        </w:rPr>
        <w:t>新疆阿克陶县原种场2024年度，实有人数7人，其中：在职人员4人，增加0人；离休人员0人，增加0人；退休人员3人,增加0人。</w:t>
      </w:r>
    </w:p>
    <w:p w14:paraId="6F2763A0">
      <w:pPr>
        <w:spacing w:line="580" w:lineRule="exact"/>
        <w:ind w:firstLine="640"/>
        <w:jc w:val="both"/>
      </w:pPr>
      <w:r>
        <w:rPr>
          <w:rFonts w:ascii="仿宋_GB2312" w:hAnsi="仿宋_GB2312" w:eastAsia="仿宋_GB2312"/>
          <w:sz w:val="32"/>
        </w:rPr>
        <w:t>新疆阿克陶县原种场无下属预算单位，下设1个科室，分别是：综合办公室。</w:t>
      </w:r>
    </w:p>
    <w:p w14:paraId="1B52B62A">
      <w:r>
        <w:br w:type="page"/>
      </w:r>
    </w:p>
    <w:p w14:paraId="54A2CCD3">
      <w:pPr>
        <w:spacing w:line="240" w:lineRule="auto"/>
        <w:jc w:val="center"/>
        <w:outlineLvl w:val="1"/>
      </w:pPr>
      <w:r>
        <w:rPr>
          <w:rFonts w:ascii="黑体" w:hAnsi="黑体" w:eastAsia="黑体"/>
          <w:sz w:val="32"/>
        </w:rPr>
        <w:t>第二部分 部门决算情况说明</w:t>
      </w:r>
    </w:p>
    <w:p w14:paraId="6A86AE49">
      <w:pPr>
        <w:spacing w:line="640" w:lineRule="exact"/>
        <w:ind w:firstLine="640"/>
        <w:jc w:val="both"/>
        <w:outlineLvl w:val="2"/>
      </w:pPr>
      <w:r>
        <w:rPr>
          <w:rFonts w:ascii="黑体" w:hAnsi="黑体" w:eastAsia="黑体"/>
          <w:sz w:val="32"/>
        </w:rPr>
        <w:t>一、收入支出决算总体情况说明</w:t>
      </w:r>
    </w:p>
    <w:p w14:paraId="65179DDD">
      <w:pPr>
        <w:spacing w:line="580" w:lineRule="exact"/>
        <w:ind w:firstLine="640"/>
        <w:jc w:val="both"/>
      </w:pPr>
      <w:r>
        <w:rPr>
          <w:rFonts w:ascii="仿宋_GB2312" w:hAnsi="仿宋_GB2312" w:eastAsia="仿宋_GB2312"/>
          <w:b/>
          <w:sz w:val="32"/>
        </w:rPr>
        <w:t>2024年度收入总计88.75万元，</w:t>
      </w:r>
      <w:r>
        <w:rPr>
          <w:rFonts w:ascii="仿宋_GB2312" w:hAnsi="仿宋_GB2312" w:eastAsia="仿宋_GB2312"/>
          <w:b w:val="0"/>
          <w:sz w:val="32"/>
        </w:rPr>
        <w:t>其中：本年收入合计88.75万元，使用非财政拨款结余（含专用结余）0.00万元，年初结转和结余0.00万元。</w:t>
      </w:r>
    </w:p>
    <w:p w14:paraId="6C137744">
      <w:pPr>
        <w:spacing w:line="580" w:lineRule="exact"/>
        <w:ind w:firstLine="640"/>
        <w:jc w:val="both"/>
      </w:pPr>
      <w:r>
        <w:rPr>
          <w:rFonts w:ascii="仿宋_GB2312" w:hAnsi="仿宋_GB2312" w:eastAsia="仿宋_GB2312"/>
          <w:b/>
          <w:sz w:val="32"/>
        </w:rPr>
        <w:t>2024年度支出总计88.75万元，</w:t>
      </w:r>
      <w:r>
        <w:rPr>
          <w:rFonts w:ascii="仿宋_GB2312" w:hAnsi="仿宋_GB2312" w:eastAsia="仿宋_GB2312"/>
          <w:b w:val="0"/>
          <w:sz w:val="32"/>
        </w:rPr>
        <w:t>其中：本年支出合计88.75万元，结余分配0.00万元，年末结转和结余0.00万元。</w:t>
      </w:r>
    </w:p>
    <w:p w14:paraId="0031304B">
      <w:pPr>
        <w:spacing w:line="580" w:lineRule="exact"/>
        <w:ind w:firstLine="640"/>
        <w:jc w:val="both"/>
      </w:pPr>
      <w:r>
        <w:rPr>
          <w:rFonts w:ascii="仿宋_GB2312" w:hAnsi="仿宋_GB2312" w:eastAsia="仿宋_GB2312"/>
          <w:b w:val="0"/>
          <w:sz w:val="32"/>
        </w:rPr>
        <w:t>收入支出总体与上年相比，减少12.59万元，下降12.42%，主要原因是：2024年因原种场改制，除人员工资、公用经费外，减少原种场大棚租金收入。</w:t>
      </w:r>
    </w:p>
    <w:p w14:paraId="115DBB63">
      <w:pPr>
        <w:spacing w:line="640" w:lineRule="exact"/>
        <w:ind w:firstLine="640"/>
        <w:jc w:val="both"/>
        <w:outlineLvl w:val="2"/>
      </w:pPr>
      <w:r>
        <w:rPr>
          <w:rFonts w:ascii="黑体" w:hAnsi="黑体" w:eastAsia="黑体"/>
          <w:sz w:val="32"/>
        </w:rPr>
        <w:t>二、收入决算情况说明</w:t>
      </w:r>
    </w:p>
    <w:p w14:paraId="2E5F65B4">
      <w:pPr>
        <w:spacing w:line="580" w:lineRule="exact"/>
        <w:ind w:firstLine="640"/>
        <w:jc w:val="both"/>
      </w:pPr>
      <w:r>
        <w:rPr>
          <w:rFonts w:ascii="仿宋_GB2312" w:hAnsi="仿宋_GB2312" w:eastAsia="仿宋_GB2312"/>
          <w:b/>
          <w:sz w:val="32"/>
        </w:rPr>
        <w:t>本年收入88.75万元，</w:t>
      </w:r>
      <w:r>
        <w:rPr>
          <w:rFonts w:ascii="仿宋_GB2312" w:hAnsi="仿宋_GB2312" w:eastAsia="仿宋_GB2312"/>
          <w:b w:val="0"/>
          <w:sz w:val="32"/>
        </w:rPr>
        <w:t>其中：财政拨款收入88.75万元，占100.00%；上级补助收入0.00万元，占0.00%；事业收入0.00万元，占0.00%；经营收入0.00万元，占0.00%；附属单位上缴收入0.00万元，占0.00%；其他收入0.00万元，占0.00%。</w:t>
      </w:r>
    </w:p>
    <w:p w14:paraId="3E7D7180">
      <w:pPr>
        <w:spacing w:line="640" w:lineRule="exact"/>
        <w:ind w:firstLine="640"/>
        <w:jc w:val="both"/>
        <w:outlineLvl w:val="2"/>
      </w:pPr>
      <w:r>
        <w:rPr>
          <w:rFonts w:ascii="黑体" w:hAnsi="黑体" w:eastAsia="黑体"/>
          <w:sz w:val="32"/>
        </w:rPr>
        <w:t>三、支出决算情况说明</w:t>
      </w:r>
    </w:p>
    <w:p w14:paraId="2222B195">
      <w:pPr>
        <w:spacing w:line="580" w:lineRule="exact"/>
        <w:ind w:firstLine="640"/>
        <w:jc w:val="both"/>
      </w:pPr>
      <w:r>
        <w:rPr>
          <w:rFonts w:ascii="仿宋_GB2312" w:hAnsi="仿宋_GB2312" w:eastAsia="仿宋_GB2312"/>
          <w:b/>
          <w:sz w:val="32"/>
        </w:rPr>
        <w:t>本年支出88.75万元，</w:t>
      </w:r>
      <w:r>
        <w:rPr>
          <w:rFonts w:ascii="仿宋_GB2312" w:hAnsi="仿宋_GB2312" w:eastAsia="仿宋_GB2312"/>
          <w:b w:val="0"/>
          <w:sz w:val="32"/>
        </w:rPr>
        <w:t>其中：基本支出88.75万元，占100.00%；项目支出0.00万元，占0.00%；上缴上级支出0.00万元，占0.00%；经营支出0.00万元，占0.00%；对附属单位补助支出0.00万元，占0.00%。</w:t>
      </w:r>
    </w:p>
    <w:p w14:paraId="116C406C">
      <w:pPr>
        <w:spacing w:line="640" w:lineRule="exact"/>
        <w:ind w:firstLine="640"/>
        <w:jc w:val="both"/>
        <w:outlineLvl w:val="2"/>
      </w:pPr>
      <w:r>
        <w:rPr>
          <w:rFonts w:ascii="黑体" w:hAnsi="黑体" w:eastAsia="黑体"/>
          <w:sz w:val="32"/>
        </w:rPr>
        <w:t>四、财政拨款收入支出决算总体情况说明</w:t>
      </w:r>
    </w:p>
    <w:p w14:paraId="7FD50BD3">
      <w:pPr>
        <w:spacing w:line="580" w:lineRule="exact"/>
        <w:ind w:firstLine="640"/>
        <w:jc w:val="both"/>
      </w:pPr>
      <w:r>
        <w:rPr>
          <w:rFonts w:ascii="仿宋_GB2312" w:hAnsi="仿宋_GB2312" w:eastAsia="仿宋_GB2312"/>
          <w:b/>
          <w:sz w:val="32"/>
        </w:rPr>
        <w:t>2024年度财政拨款收入总计88.75万元，</w:t>
      </w:r>
      <w:r>
        <w:rPr>
          <w:rFonts w:ascii="仿宋_GB2312" w:hAnsi="仿宋_GB2312" w:eastAsia="仿宋_GB2312"/>
          <w:b w:val="0"/>
          <w:sz w:val="32"/>
        </w:rPr>
        <w:t>其中：年初财政拨款结转和结余0.00万元，本年财政拨款收入88.75万元。</w:t>
      </w:r>
      <w:r>
        <w:rPr>
          <w:rFonts w:ascii="仿宋_GB2312" w:hAnsi="仿宋_GB2312" w:eastAsia="仿宋_GB2312"/>
          <w:b/>
          <w:sz w:val="32"/>
        </w:rPr>
        <w:t>财政拨款支出总计88.75万元，</w:t>
      </w:r>
      <w:r>
        <w:rPr>
          <w:rFonts w:ascii="仿宋_GB2312" w:hAnsi="仿宋_GB2312" w:eastAsia="仿宋_GB2312"/>
          <w:b w:val="0"/>
          <w:sz w:val="32"/>
        </w:rPr>
        <w:t>其中：年末财政拨款结转和结余0.00万元，本年财政拨款支出88.75万元。</w:t>
      </w:r>
    </w:p>
    <w:p w14:paraId="2D8CF24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减少0.22万元，下降0.25%，主要原因是：本年资金执行完毕，年末财政拨款结转和结余较上年减少。</w:t>
      </w:r>
      <w:r>
        <w:rPr>
          <w:rFonts w:ascii="仿宋_GB2312" w:hAnsi="仿宋_GB2312" w:eastAsia="仿宋_GB2312"/>
          <w:b/>
          <w:sz w:val="32"/>
        </w:rPr>
        <w:t>与年初预算相比，</w:t>
      </w:r>
      <w:r>
        <w:rPr>
          <w:rFonts w:ascii="仿宋_GB2312" w:hAnsi="仿宋_GB2312" w:eastAsia="仿宋_GB2312"/>
          <w:b w:val="0"/>
          <w:sz w:val="32"/>
        </w:rPr>
        <w:t>年初预算数89.90万元，决算数88.75万元，预决算差异率-1.28%，主要原因是：严格落实中央八项规定精神，厉行节约，减少不必要的开支。</w:t>
      </w:r>
    </w:p>
    <w:p w14:paraId="0C22C041">
      <w:pPr>
        <w:spacing w:line="640" w:lineRule="exact"/>
        <w:ind w:firstLine="640"/>
        <w:jc w:val="both"/>
        <w:outlineLvl w:val="2"/>
      </w:pPr>
      <w:r>
        <w:rPr>
          <w:rFonts w:ascii="黑体" w:hAnsi="黑体" w:eastAsia="黑体"/>
          <w:sz w:val="32"/>
        </w:rPr>
        <w:t>五、一般公共预算财政拨款支出决算情况说明</w:t>
      </w:r>
    </w:p>
    <w:p w14:paraId="41635AA6">
      <w:pPr>
        <w:spacing w:line="640" w:lineRule="exact"/>
        <w:ind w:firstLine="640"/>
        <w:jc w:val="both"/>
        <w:outlineLvl w:val="3"/>
      </w:pPr>
      <w:r>
        <w:rPr>
          <w:rFonts w:ascii="楷体_GB2312" w:hAnsi="楷体_GB2312" w:eastAsia="楷体_GB2312"/>
          <w:b/>
          <w:sz w:val="32"/>
        </w:rPr>
        <w:t>（一）一般公共预算财政拨款支出决算总体情况</w:t>
      </w:r>
    </w:p>
    <w:p w14:paraId="7067A271">
      <w:pPr>
        <w:spacing w:line="580" w:lineRule="exact"/>
        <w:ind w:firstLine="640"/>
        <w:jc w:val="both"/>
      </w:pPr>
      <w:r>
        <w:rPr>
          <w:rFonts w:ascii="仿宋_GB2312" w:hAnsi="仿宋_GB2312" w:eastAsia="仿宋_GB2312"/>
          <w:b/>
          <w:sz w:val="32"/>
        </w:rPr>
        <w:t>2024年度一般公共预算财政拨款支出88.75万元，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增加0.44万元，增长0.50%，主要原因是：本年在职人员工资调增，社保、公积金基数调增，人员经费增加。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年初预算数89.90万元，决算数88.75万元，预决算差异率-1.28%，主要原因是：严格落实中央八项规定精神，厉行节约，减少不必要的开支。</w:t>
      </w:r>
    </w:p>
    <w:p w14:paraId="4DF662C1">
      <w:pPr>
        <w:spacing w:line="640" w:lineRule="exact"/>
        <w:ind w:firstLine="640"/>
        <w:jc w:val="both"/>
        <w:outlineLvl w:val="3"/>
      </w:pPr>
      <w:r>
        <w:rPr>
          <w:rFonts w:ascii="楷体_GB2312" w:hAnsi="楷体_GB2312" w:eastAsia="楷体_GB2312"/>
          <w:b/>
          <w:sz w:val="32"/>
        </w:rPr>
        <w:t>（二）一般公共预算财政拨款支出决算结构情况</w:t>
      </w:r>
    </w:p>
    <w:p w14:paraId="275007A3">
      <w:pPr>
        <w:spacing w:line="580" w:lineRule="exact"/>
        <w:ind w:firstLine="640"/>
        <w:jc w:val="both"/>
      </w:pPr>
      <w:r>
        <w:rPr>
          <w:rFonts w:ascii="仿宋_GB2312" w:hAnsi="仿宋_GB2312" w:eastAsia="仿宋_GB2312"/>
          <w:b w:val="0"/>
          <w:sz w:val="32"/>
        </w:rPr>
        <w:t>1.社会保障和就业支出(类)12.55万元,占14.14%。</w:t>
      </w:r>
    </w:p>
    <w:p w14:paraId="235CF96D">
      <w:pPr>
        <w:spacing w:line="580" w:lineRule="exact"/>
        <w:ind w:firstLine="640"/>
        <w:jc w:val="both"/>
      </w:pPr>
      <w:r>
        <w:rPr>
          <w:rFonts w:ascii="仿宋_GB2312" w:hAnsi="仿宋_GB2312" w:eastAsia="仿宋_GB2312"/>
          <w:b w:val="0"/>
          <w:sz w:val="32"/>
        </w:rPr>
        <w:t>2.卫生健康支出(类)3.15万元,占3.55%。</w:t>
      </w:r>
    </w:p>
    <w:p w14:paraId="44D6DB38">
      <w:pPr>
        <w:spacing w:line="580" w:lineRule="exact"/>
        <w:ind w:firstLine="640"/>
        <w:jc w:val="both"/>
      </w:pPr>
      <w:r>
        <w:rPr>
          <w:rFonts w:ascii="仿宋_GB2312" w:hAnsi="仿宋_GB2312" w:eastAsia="仿宋_GB2312"/>
          <w:b w:val="0"/>
          <w:sz w:val="32"/>
        </w:rPr>
        <w:t>3.农林水支出(类)66.11万元,占74.49%。</w:t>
      </w:r>
    </w:p>
    <w:p w14:paraId="244286DB">
      <w:pPr>
        <w:spacing w:line="580" w:lineRule="exact"/>
        <w:ind w:firstLine="640"/>
        <w:jc w:val="both"/>
      </w:pPr>
      <w:r>
        <w:rPr>
          <w:rFonts w:ascii="仿宋_GB2312" w:hAnsi="仿宋_GB2312" w:eastAsia="仿宋_GB2312"/>
          <w:b w:val="0"/>
          <w:sz w:val="32"/>
        </w:rPr>
        <w:t>4.住房保障支出(类)6.94万元,占7.82%。</w:t>
      </w:r>
    </w:p>
    <w:p w14:paraId="4F35C7CF">
      <w:pPr>
        <w:spacing w:line="640" w:lineRule="exact"/>
        <w:ind w:firstLine="640"/>
        <w:jc w:val="both"/>
        <w:outlineLvl w:val="3"/>
      </w:pPr>
      <w:r>
        <w:rPr>
          <w:rFonts w:ascii="楷体_GB2312" w:hAnsi="楷体_GB2312" w:eastAsia="楷体_GB2312"/>
          <w:b/>
          <w:sz w:val="32"/>
        </w:rPr>
        <w:t>（三）一般公共预算财政拨款支出决算具体情况</w:t>
      </w:r>
    </w:p>
    <w:p w14:paraId="6B15A3A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1.社会保障和就业支出(类)行政事业单位养老支出(款)事业单位离退休(项):支出决算数为3.59万元，比上年决算增加0.63万元，增长21.28%,主要原因是：本年增加退休人员基础绩效奖，退休费支出增加。</w:t>
      </w:r>
    </w:p>
    <w:p w14:paraId="382BC0C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8.95万元，比上年决算增加1.40万元，增长18.54%,主要原因是：本年在职人员工资基数调增，养老缴费基数上涨，相应支出增加。</w:t>
      </w:r>
    </w:p>
    <w:p w14:paraId="53325B22">
      <w:pPr>
        <w:spacing w:line="580" w:lineRule="exact"/>
        <w:ind w:firstLine="640"/>
        <w:jc w:val="both"/>
      </w:pPr>
      <w:r>
        <w:rPr>
          <w:rFonts w:ascii="仿宋_GB2312" w:hAnsi="仿宋_GB2312" w:eastAsia="仿宋_GB2312"/>
          <w:b w:val="0"/>
          <w:sz w:val="32"/>
        </w:rPr>
        <w:t>3.卫生健康支出(类)行政事业单位医疗(款)事业单位医疗(项):支出决算数为3.15万元，比上年决算增加0.34万元，增长12.10%,主要原因是：本年在职人员工资基数调增，医疗缴费基数上涨，相应支出增加。</w:t>
      </w:r>
    </w:p>
    <w:p w14:paraId="621C5009">
      <w:pPr>
        <w:spacing w:line="580" w:lineRule="exact"/>
        <w:ind w:firstLine="640"/>
        <w:jc w:val="both"/>
      </w:pPr>
      <w:r>
        <w:rPr>
          <w:rFonts w:ascii="仿宋_GB2312" w:hAnsi="仿宋_GB2312" w:eastAsia="仿宋_GB2312"/>
          <w:b w:val="0"/>
          <w:sz w:val="32"/>
        </w:rPr>
        <w:t>4.农林水支出(类)农业农村(款)事业运行(项):支出决算数为66.11万元，比上年决算减少2.56万元，下降3.73%,主要原因是：严控经费支出，厉行节约，减少手续费支出。</w:t>
      </w:r>
    </w:p>
    <w:p w14:paraId="0EECCBC0">
      <w:pPr>
        <w:spacing w:line="580" w:lineRule="exact"/>
        <w:ind w:firstLine="640"/>
        <w:jc w:val="both"/>
      </w:pPr>
      <w:r>
        <w:rPr>
          <w:rFonts w:ascii="仿宋_GB2312" w:hAnsi="仿宋_GB2312" w:eastAsia="仿宋_GB2312"/>
          <w:b w:val="0"/>
          <w:sz w:val="32"/>
        </w:rPr>
        <w:t>5.住房保障支出(类)住房改革支出(款)住房公积金(项):支出决算数为6.94万元，比上年决算增加0.62万元，增长9.81%,主要原因是：本年在职人员工资基数调增，公积金缴费基数上涨，相应支出增加。</w:t>
      </w:r>
    </w:p>
    <w:p w14:paraId="43802C36">
      <w:pPr>
        <w:spacing w:line="640" w:lineRule="exact"/>
        <w:ind w:firstLine="640"/>
        <w:jc w:val="both"/>
        <w:outlineLvl w:val="2"/>
      </w:pPr>
      <w:r>
        <w:rPr>
          <w:rFonts w:ascii="黑体" w:hAnsi="黑体" w:eastAsia="黑体"/>
          <w:sz w:val="32"/>
        </w:rPr>
        <w:t>六、一般公共预算财政拨款基本支出决算情况说明</w:t>
      </w:r>
    </w:p>
    <w:p w14:paraId="3B068973">
      <w:pPr>
        <w:spacing w:line="580" w:lineRule="exact"/>
        <w:ind w:firstLine="640"/>
        <w:jc w:val="both"/>
      </w:pPr>
      <w:r>
        <w:rPr>
          <w:rFonts w:ascii="仿宋_GB2312" w:hAnsi="仿宋_GB2312" w:eastAsia="仿宋_GB2312"/>
          <w:b w:val="0"/>
          <w:sz w:val="32"/>
        </w:rPr>
        <w:t>2024年度一般公共预算财政拨款基本支出88.75万元，其中：</w:t>
      </w:r>
      <w:r>
        <w:rPr>
          <w:rFonts w:ascii="仿宋_GB2312" w:hAnsi="仿宋_GB2312" w:eastAsia="仿宋_GB2312"/>
          <w:b/>
          <w:sz w:val="32"/>
        </w:rPr>
        <w:t>人员经费88.39万元，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04A71D76">
      <w:pPr>
        <w:spacing w:line="580" w:lineRule="exact"/>
        <w:ind w:firstLine="640"/>
        <w:jc w:val="both"/>
      </w:pPr>
      <w:r>
        <w:rPr>
          <w:rFonts w:ascii="仿宋_GB2312" w:hAnsi="仿宋_GB2312" w:eastAsia="仿宋_GB2312"/>
          <w:b/>
          <w:sz w:val="32"/>
        </w:rPr>
        <w:t>公用经费0.36万元，</w:t>
      </w:r>
      <w:r>
        <w:rPr>
          <w:rFonts w:ascii="仿宋_GB2312" w:hAnsi="仿宋_GB2312" w:eastAsia="仿宋_GB2312"/>
          <w:b w:val="0"/>
          <w:sz w:val="32"/>
        </w:rPr>
        <w:t>包括：办公费。</w:t>
      </w:r>
    </w:p>
    <w:p w14:paraId="6996FAAD">
      <w:pPr>
        <w:spacing w:line="640" w:lineRule="exact"/>
        <w:ind w:firstLine="640"/>
        <w:jc w:val="both"/>
        <w:outlineLvl w:val="2"/>
      </w:pPr>
      <w:r>
        <w:rPr>
          <w:rFonts w:ascii="黑体" w:hAnsi="黑体" w:eastAsia="黑体"/>
          <w:sz w:val="32"/>
        </w:rPr>
        <w:t>七、政府性基金预算财政拨款收入支出决算情况说明</w:t>
      </w:r>
    </w:p>
    <w:p w14:paraId="269DC97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381BCB3">
      <w:pPr>
        <w:spacing w:line="640" w:lineRule="exact"/>
        <w:ind w:firstLine="640"/>
        <w:jc w:val="both"/>
        <w:outlineLvl w:val="2"/>
      </w:pPr>
      <w:r>
        <w:rPr>
          <w:rFonts w:ascii="黑体" w:hAnsi="黑体" w:eastAsia="黑体"/>
          <w:sz w:val="32"/>
        </w:rPr>
        <w:t>八、国有资本经营预算财政拨款收入支出决算情况说明</w:t>
      </w:r>
    </w:p>
    <w:p w14:paraId="6F04492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271731">
      <w:pPr>
        <w:spacing w:line="640" w:lineRule="exact"/>
        <w:ind w:firstLine="640"/>
        <w:jc w:val="both"/>
        <w:outlineLvl w:val="2"/>
      </w:pPr>
      <w:r>
        <w:rPr>
          <w:rFonts w:ascii="黑体" w:hAnsi="黑体" w:eastAsia="黑体"/>
          <w:sz w:val="32"/>
        </w:rPr>
        <w:t>九、财政拨款“三公”经费支出决算情况说明</w:t>
      </w:r>
    </w:p>
    <w:p w14:paraId="4B2D400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7462C60">
      <w:pPr>
        <w:spacing w:line="580" w:lineRule="exact"/>
        <w:ind w:firstLine="640"/>
        <w:jc w:val="both"/>
      </w:pPr>
      <w:r>
        <w:rPr>
          <w:rFonts w:ascii="仿宋_GB2312" w:hAnsi="仿宋_GB2312" w:eastAsia="仿宋_GB2312"/>
          <w:b/>
          <w:sz w:val="32"/>
        </w:rPr>
        <w:t>具体情况如下：</w:t>
      </w:r>
    </w:p>
    <w:p w14:paraId="0F878B1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47D6C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247105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3E325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1AA6D4">
      <w:pPr>
        <w:spacing w:line="640" w:lineRule="exact"/>
        <w:ind w:firstLine="640"/>
        <w:jc w:val="both"/>
        <w:outlineLvl w:val="2"/>
      </w:pPr>
      <w:r>
        <w:rPr>
          <w:rFonts w:ascii="黑体" w:hAnsi="黑体" w:eastAsia="黑体"/>
          <w:sz w:val="32"/>
        </w:rPr>
        <w:t>十、其他重要事项的情况说明</w:t>
      </w:r>
    </w:p>
    <w:p w14:paraId="2525EAAE">
      <w:pPr>
        <w:spacing w:line="640" w:lineRule="exact"/>
        <w:ind w:firstLine="640"/>
        <w:jc w:val="both"/>
        <w:outlineLvl w:val="3"/>
      </w:pPr>
      <w:r>
        <w:rPr>
          <w:rFonts w:ascii="楷体_GB2312" w:hAnsi="楷体_GB2312" w:eastAsia="楷体_GB2312"/>
          <w:b/>
          <w:sz w:val="32"/>
        </w:rPr>
        <w:t>（一）机关运行经费及公用经费支出情况</w:t>
      </w:r>
    </w:p>
    <w:p w14:paraId="7BD6CCF6">
      <w:pPr>
        <w:spacing w:line="580" w:lineRule="exact"/>
        <w:ind w:firstLine="640"/>
        <w:jc w:val="both"/>
      </w:pPr>
      <w:r>
        <w:rPr>
          <w:rFonts w:ascii="仿宋_GB2312" w:hAnsi="仿宋_GB2312" w:eastAsia="仿宋_GB2312"/>
          <w:b w:val="0"/>
          <w:sz w:val="32"/>
        </w:rPr>
        <w:t>2024年度新疆阿克陶县原种场（事业单位）公用经费支出0.36万元，比上年减少0.24万元，下降40.00%，主要原因是：严控经费支出，厉行节约，减少手续费支出。</w:t>
      </w:r>
    </w:p>
    <w:p w14:paraId="33D93645">
      <w:pPr>
        <w:spacing w:line="640" w:lineRule="exact"/>
        <w:ind w:firstLine="640"/>
        <w:jc w:val="both"/>
        <w:outlineLvl w:val="3"/>
      </w:pPr>
      <w:r>
        <w:rPr>
          <w:rFonts w:ascii="楷体_GB2312" w:hAnsi="楷体_GB2312" w:eastAsia="楷体_GB2312"/>
          <w:b/>
          <w:sz w:val="32"/>
        </w:rPr>
        <w:t>（二）政府采购情况</w:t>
      </w:r>
    </w:p>
    <w:p w14:paraId="3202F5A3">
      <w:pPr>
        <w:spacing w:line="580" w:lineRule="exact"/>
        <w:ind w:firstLine="640"/>
        <w:jc w:val="both"/>
      </w:pPr>
      <w:r>
        <w:rPr>
          <w:rFonts w:ascii="仿宋_GB2312" w:hAnsi="仿宋_GB2312" w:eastAsia="仿宋_GB2312"/>
          <w:b w:val="0"/>
          <w:sz w:val="32"/>
        </w:rPr>
        <w:t>2024年度政府采购支出总额0.36万元，其中：政府采购货物支出0.36万元、政府采购工程支出0.00万元、政府采购服务支出0.00万元。</w:t>
      </w:r>
    </w:p>
    <w:p w14:paraId="3B3CA334">
      <w:pPr>
        <w:spacing w:line="580" w:lineRule="exact"/>
        <w:ind w:firstLine="640"/>
        <w:jc w:val="both"/>
      </w:pPr>
      <w:r>
        <w:rPr>
          <w:rFonts w:ascii="仿宋_GB2312" w:hAnsi="仿宋_GB2312" w:eastAsia="仿宋_GB2312"/>
          <w:b w:val="0"/>
          <w:sz w:val="32"/>
        </w:rPr>
        <w:t>授予中小企业合同金额0.36万元，占政府采购支出总额的100.00%，其中：授予小微企业合同金额0.36万元，占政府采购支出总额的100.00%。</w:t>
      </w:r>
    </w:p>
    <w:p w14:paraId="0AE21D18">
      <w:pPr>
        <w:spacing w:line="640" w:lineRule="exact"/>
        <w:ind w:firstLine="640"/>
        <w:jc w:val="both"/>
        <w:outlineLvl w:val="3"/>
      </w:pPr>
      <w:r>
        <w:rPr>
          <w:rFonts w:ascii="楷体_GB2312" w:hAnsi="楷体_GB2312" w:eastAsia="楷体_GB2312"/>
          <w:b/>
          <w:sz w:val="32"/>
        </w:rPr>
        <w:t>（三）国有资产占用情况说明</w:t>
      </w:r>
    </w:p>
    <w:p w14:paraId="3049D07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0BC9956">
      <w:pPr>
        <w:spacing w:line="640" w:lineRule="exact"/>
        <w:ind w:firstLine="640"/>
        <w:jc w:val="both"/>
        <w:outlineLvl w:val="2"/>
      </w:pPr>
      <w:r>
        <w:rPr>
          <w:rFonts w:ascii="黑体" w:hAnsi="黑体" w:eastAsia="黑体"/>
          <w:sz w:val="32"/>
        </w:rPr>
        <w:t>十一、预算绩效的情况说明</w:t>
      </w:r>
    </w:p>
    <w:p w14:paraId="1B32E94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88.75万元，实际执行总额88.75万元；预算绩效评价项目0个，全年预算数0.00万元，全年执行数0.00万元。预算绩效管理取得的成效：一是预算管理规范性持续加强。绩效管理与预算编制、执行、监督的深度融合，倒逼单位完善内部管理制度，明确各环节职责边界，实现了预算从“粗放式分配”向“精细化管控”的转变。二是资金使用效益显著提升。通过建立“预算编制有目标、执行过程有监控、完成结果有评价、评价结果有应用”的闭环管理体系，有效遏制了资金闲置、低效使用等问题，确保每一笔资金都用在“刀刃上”，单位公共服务供给能力和质量得到明显增强。发现的问题及原因：一是绩效目标设定不明确。在制定预算时，可能没有充分考虑到绩效目标的明确性和可衡量性，导致绩效目标模糊，难以评估。二是绩效激励和约束机制不完善。缺乏有效的绩效激励和约束机制，导致相关部门和人员在预算执行过程中缺乏足够的动力和压力，影响预算绩效管理的实施效果。下一步改进措施：一是优化绩效目标设定。加强对项目绩效目标设定的指导和支持，引导各部门结合实际制定更加科学合理的绩效目标，明确量化指标，提高目标的可操作性和可衡量性。二是强化绩效评价结果应用。加大对绩效评价结果的运用力度，将评价结果作为调整预算安排、优化资源配置的重要依据，推动形成“以评促改、以评促管”的良好局面。具体附整体支出绩效自评表。</w:t>
      </w:r>
    </w:p>
    <w:p w14:paraId="43772C2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F8CB464">
        <w:tblPrEx>
          <w:tblCellMar>
            <w:top w:w="0" w:type="dxa"/>
            <w:left w:w="108" w:type="dxa"/>
            <w:bottom w:w="0" w:type="dxa"/>
            <w:right w:w="108" w:type="dxa"/>
          </w:tblCellMar>
        </w:tblPrEx>
        <w:tc>
          <w:tcPr>
            <w:tcW w:w="8840" w:type="dxa"/>
            <w:gridSpan w:val="8"/>
            <w:vAlign w:val="center"/>
          </w:tcPr>
          <w:p w14:paraId="29A28A13">
            <w:pPr>
              <w:jc w:val="center"/>
            </w:pPr>
            <w:r>
              <w:rPr>
                <w:rFonts w:ascii="宋体" w:hAnsi="宋体" w:eastAsia="宋体"/>
                <w:sz w:val="24"/>
              </w:rPr>
              <w:t>单位整体支出绩效自评表</w:t>
            </w:r>
          </w:p>
        </w:tc>
      </w:tr>
      <w:tr w14:paraId="7320B1B1">
        <w:tblPrEx>
          <w:tblCellMar>
            <w:top w:w="0" w:type="dxa"/>
            <w:left w:w="108" w:type="dxa"/>
            <w:bottom w:w="0" w:type="dxa"/>
            <w:right w:w="108" w:type="dxa"/>
          </w:tblCellMar>
        </w:tblPrEx>
        <w:tc>
          <w:tcPr>
            <w:tcW w:w="8840" w:type="dxa"/>
            <w:gridSpan w:val="8"/>
            <w:vAlign w:val="center"/>
          </w:tcPr>
          <w:p w14:paraId="1769FDE6">
            <w:pPr>
              <w:jc w:val="center"/>
            </w:pPr>
            <w:r>
              <w:rPr>
                <w:rFonts w:ascii="宋体" w:hAnsi="宋体" w:eastAsia="宋体"/>
                <w:sz w:val="24"/>
              </w:rPr>
              <w:t>（2024年度）</w:t>
            </w:r>
          </w:p>
        </w:tc>
      </w:tr>
      <w:tr w14:paraId="5773FB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579E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FF240">
            <w:pPr>
              <w:jc w:val="center"/>
            </w:pPr>
            <w:r>
              <w:rPr>
                <w:rFonts w:ascii="宋体" w:hAnsi="宋体" w:eastAsia="宋体"/>
                <w:sz w:val="16"/>
              </w:rPr>
              <w:t>新疆阿克陶县原种场</w:t>
            </w:r>
          </w:p>
        </w:tc>
      </w:tr>
      <w:tr w14:paraId="586D12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3369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3014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D373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A3BD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64E9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129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2186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4E565">
            <w:pPr>
              <w:jc w:val="center"/>
            </w:pPr>
            <w:r>
              <w:rPr>
                <w:rFonts w:ascii="宋体" w:hAnsi="宋体" w:eastAsia="宋体"/>
                <w:sz w:val="16"/>
              </w:rPr>
              <w:t>得分</w:t>
            </w:r>
          </w:p>
        </w:tc>
      </w:tr>
      <w:tr w14:paraId="4B610F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0504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7D34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96328">
            <w:pPr>
              <w:jc w:val="center"/>
            </w:pPr>
            <w:r>
              <w:rPr>
                <w:rFonts w:ascii="宋体" w:hAnsi="宋体" w:eastAsia="宋体"/>
                <w:sz w:val="16"/>
              </w:rPr>
              <w:t>89.90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21A5F">
            <w:pPr>
              <w:jc w:val="center"/>
            </w:pPr>
            <w:r>
              <w:rPr>
                <w:rFonts w:ascii="宋体" w:hAnsi="宋体" w:eastAsia="宋体"/>
                <w:sz w:val="16"/>
              </w:rPr>
              <w:t>88.75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0E460">
            <w:pPr>
              <w:jc w:val="center"/>
            </w:pPr>
            <w:r>
              <w:rPr>
                <w:rFonts w:ascii="宋体" w:hAnsi="宋体" w:eastAsia="宋体"/>
                <w:sz w:val="16"/>
              </w:rPr>
              <w:t>88.75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145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FF6C8">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6257C">
            <w:pPr>
              <w:jc w:val="center"/>
            </w:pPr>
            <w:r>
              <w:rPr>
                <w:rFonts w:ascii="宋体" w:hAnsi="宋体" w:eastAsia="宋体"/>
                <w:sz w:val="16"/>
              </w:rPr>
              <w:t>10</w:t>
            </w:r>
          </w:p>
        </w:tc>
      </w:tr>
      <w:tr w14:paraId="3A2112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D742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A440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5F0E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4CDD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5D6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325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8F6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A0601">
            <w:pPr>
              <w:jc w:val="center"/>
            </w:pPr>
            <w:r>
              <w:rPr>
                <w:rFonts w:ascii="宋体" w:hAnsi="宋体" w:eastAsia="宋体"/>
                <w:sz w:val="16"/>
              </w:rPr>
              <w:t>—</w:t>
            </w:r>
          </w:p>
        </w:tc>
      </w:tr>
      <w:tr w14:paraId="1FF7B9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1D1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ADDB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F103D">
            <w:pPr>
              <w:jc w:val="center"/>
            </w:pPr>
            <w:r>
              <w:rPr>
                <w:rFonts w:ascii="宋体" w:hAnsi="宋体" w:eastAsia="宋体"/>
                <w:sz w:val="16"/>
              </w:rPr>
              <w:t>89.90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4D221">
            <w:pPr>
              <w:jc w:val="center"/>
            </w:pPr>
            <w:r>
              <w:rPr>
                <w:rFonts w:ascii="宋体" w:hAnsi="宋体" w:eastAsia="宋体"/>
                <w:sz w:val="16"/>
              </w:rPr>
              <w:t>88.75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68371">
            <w:pPr>
              <w:jc w:val="center"/>
            </w:pPr>
            <w:r>
              <w:rPr>
                <w:rFonts w:ascii="宋体" w:hAnsi="宋体" w:eastAsia="宋体"/>
                <w:sz w:val="16"/>
              </w:rPr>
              <w:t>88.75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9AC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34E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80B66">
            <w:pPr>
              <w:jc w:val="center"/>
            </w:pPr>
            <w:r>
              <w:rPr>
                <w:rFonts w:ascii="宋体" w:hAnsi="宋体" w:eastAsia="宋体"/>
                <w:sz w:val="16"/>
              </w:rPr>
              <w:t>—</w:t>
            </w:r>
          </w:p>
        </w:tc>
      </w:tr>
      <w:tr w14:paraId="05D901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2615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50BB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DBD0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27D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15BA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0D9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A5C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F9122">
            <w:pPr>
              <w:jc w:val="center"/>
            </w:pPr>
            <w:r>
              <w:rPr>
                <w:rFonts w:ascii="宋体" w:hAnsi="宋体" w:eastAsia="宋体"/>
                <w:sz w:val="16"/>
              </w:rPr>
              <w:t>—</w:t>
            </w:r>
          </w:p>
        </w:tc>
      </w:tr>
      <w:tr w14:paraId="4CA1F1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B9E5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19249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C2686D">
            <w:pPr>
              <w:jc w:val="center"/>
            </w:pPr>
            <w:r>
              <w:rPr>
                <w:rFonts w:ascii="宋体" w:hAnsi="宋体" w:eastAsia="宋体"/>
                <w:sz w:val="16"/>
              </w:rPr>
              <w:t>实际完成情况</w:t>
            </w:r>
          </w:p>
        </w:tc>
      </w:tr>
      <w:tr w14:paraId="4261B8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D815B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93BFD9">
            <w:pPr>
              <w:jc w:val="both"/>
            </w:pPr>
            <w:r>
              <w:rPr>
                <w:rFonts w:ascii="宋体" w:hAnsi="宋体" w:eastAsia="宋体"/>
                <w:sz w:val="16"/>
              </w:rPr>
              <w:t>积极培养农业先进科技技术人员，调动本场及周边群众、承包户对农业生产发展方面主动性、积极性和创新意识。在农业生产上充分尊重农民的自主经营权，引导他们科学种植，协调发展。坚持以绿色发展为中心，以市场为导向。确保原种场农民在经济方面稳步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D72019">
            <w:pPr>
              <w:jc w:val="both"/>
            </w:pPr>
            <w:r>
              <w:rPr>
                <w:rFonts w:ascii="宋体" w:hAnsi="宋体" w:eastAsia="宋体"/>
                <w:sz w:val="16"/>
              </w:rPr>
              <w:t>积极培养农业先进科技技术人员，调动本场及周边群众、承包户对农业生产发展方面主动性、积极性和创新意识。在农业生产上充分尊重农民的自主经营权，引导他们科学种植，协调发展。坚持以绿色发展为中心，以市场为导向。确保原种场农民在经济方面稳步发展。</w:t>
            </w:r>
          </w:p>
        </w:tc>
      </w:tr>
      <w:tr w14:paraId="78CD7A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AD68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BCD8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BFB5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4F16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DB6D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16C9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AEB5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3BC86">
            <w:pPr>
              <w:jc w:val="center"/>
            </w:pPr>
            <w:r>
              <w:rPr>
                <w:rFonts w:ascii="宋体" w:hAnsi="宋体" w:eastAsia="宋体"/>
                <w:sz w:val="16"/>
              </w:rPr>
              <w:t>得分</w:t>
            </w:r>
          </w:p>
        </w:tc>
      </w:tr>
      <w:tr w14:paraId="7671F2B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E35D1">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9162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480A6">
            <w:pPr>
              <w:jc w:val="center"/>
            </w:pPr>
            <w:r>
              <w:rPr>
                <w:rFonts w:ascii="宋体" w:hAnsi="宋体" w:eastAsia="宋体"/>
                <w:sz w:val="16"/>
              </w:rPr>
              <w:t>单位干部职工人数（人）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DDAC3">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DB3F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289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21F34">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0AF52">
            <w:pPr>
              <w:jc w:val="center"/>
            </w:pPr>
            <w:r>
              <w:rPr>
                <w:rFonts w:ascii="宋体" w:hAnsi="宋体" w:eastAsia="宋体"/>
                <w:sz w:val="16"/>
              </w:rPr>
              <w:t>5.71</w:t>
            </w:r>
          </w:p>
        </w:tc>
      </w:tr>
      <w:tr w14:paraId="636C0C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CEB2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92F6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1B271">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BC872">
            <w:pPr>
              <w:jc w:val="center"/>
            </w:pPr>
            <w:r>
              <w:rPr>
                <w:rFonts w:ascii="宋体" w:hAnsi="宋体" w:eastAsia="宋体"/>
                <w:sz w:val="16"/>
              </w:rPr>
              <w:t>&lt;=87.77万元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9430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F2C3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DCE81">
            <w:pPr>
              <w:jc w:val="center"/>
            </w:pPr>
            <w:r>
              <w:rPr>
                <w:rFonts w:ascii="宋体" w:hAnsi="宋体" w:eastAsia="宋体"/>
                <w:sz w:val="16"/>
              </w:rPr>
              <w:t>=88.39万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329B3">
            <w:pPr>
              <w:jc w:val="center"/>
            </w:pPr>
            <w:r>
              <w:rPr>
                <w:rFonts w:ascii="宋体" w:hAnsi="宋体" w:eastAsia="宋体"/>
                <w:sz w:val="16"/>
              </w:rPr>
              <w:t>9.93</w:t>
            </w:r>
          </w:p>
        </w:tc>
      </w:tr>
      <w:tr w14:paraId="5C0088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FDA0A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AACF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35FA2">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C607C">
            <w:pPr>
              <w:jc w:val="center"/>
            </w:pPr>
            <w:r>
              <w:rPr>
                <w:rFonts w:ascii="宋体" w:hAnsi="宋体" w:eastAsia="宋体"/>
                <w:sz w:val="16"/>
              </w:rPr>
              <w:t>&lt;=2.13万元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7547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1DA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7E94E">
            <w:pPr>
              <w:jc w:val="center"/>
            </w:pPr>
            <w:r>
              <w:rPr>
                <w:rFonts w:ascii="宋体" w:hAnsi="宋体" w:eastAsia="宋体"/>
                <w:sz w:val="16"/>
              </w:rPr>
              <w:t>=0.36万元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BEDA4">
            <w:pPr>
              <w:jc w:val="center"/>
            </w:pPr>
            <w:r>
              <w:rPr>
                <w:rFonts w:ascii="宋体" w:hAnsi="宋体" w:eastAsia="宋体"/>
                <w:sz w:val="16"/>
              </w:rPr>
              <w:t>1.69</w:t>
            </w:r>
          </w:p>
        </w:tc>
      </w:tr>
      <w:tr w14:paraId="055A36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7B58E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27DE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B4556">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4973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1B89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0876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F937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FB8D4">
            <w:pPr>
              <w:jc w:val="center"/>
            </w:pPr>
            <w:r>
              <w:rPr>
                <w:rFonts w:ascii="宋体" w:hAnsi="宋体" w:eastAsia="宋体"/>
                <w:sz w:val="16"/>
              </w:rPr>
              <w:t>10</w:t>
            </w:r>
          </w:p>
        </w:tc>
      </w:tr>
      <w:tr w14:paraId="667438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120B0">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33B2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383A7">
            <w:pPr>
              <w:jc w:val="center"/>
            </w:pPr>
            <w:r>
              <w:rPr>
                <w:rFonts w:ascii="宋体" w:hAnsi="宋体" w:eastAsia="宋体"/>
                <w:sz w:val="16"/>
              </w:rPr>
              <w:t>农业技术培训覆盖率（%）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32D2F">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5DE1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7EF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BB8C4">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F4AA4">
            <w:pPr>
              <w:jc w:val="center"/>
            </w:pPr>
            <w:r>
              <w:rPr>
                <w:rFonts w:ascii="宋体" w:hAnsi="宋体" w:eastAsia="宋体"/>
                <w:sz w:val="16"/>
              </w:rPr>
              <w:t>0</w:t>
            </w:r>
          </w:p>
        </w:tc>
      </w:tr>
      <w:tr w14:paraId="5D17F12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2712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7B53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BA238">
            <w:pPr>
              <w:jc w:val="center"/>
            </w:pPr>
            <w:r>
              <w:rPr>
                <w:rFonts w:ascii="宋体" w:hAnsi="宋体" w:eastAsia="宋体"/>
                <w:sz w:val="16"/>
              </w:rPr>
              <w:t>宣传</w:t>
            </w:r>
            <w:r>
              <w:rPr>
                <w:rFonts w:hint="eastAsia" w:ascii="宋体" w:hAnsi="宋体"/>
                <w:sz w:val="16"/>
                <w:lang w:eastAsia="zh-CN"/>
              </w:rPr>
              <w:t>JHSY</w:t>
            </w:r>
            <w:bookmarkStart w:id="0" w:name="_GoBack"/>
            <w:bookmarkEnd w:id="0"/>
            <w:r>
              <w:rPr>
                <w:rFonts w:ascii="宋体" w:hAnsi="宋体" w:eastAsia="宋体"/>
                <w:sz w:val="16"/>
              </w:rPr>
              <w:t>政策（次）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EC0A8">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EC446">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2ACA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CEA68">
            <w:pPr>
              <w:jc w:val="center"/>
            </w:pPr>
            <w:r>
              <w:rPr>
                <w:rFonts w:ascii="宋体" w:hAnsi="宋体" w:eastAsia="宋体"/>
                <w:sz w:val="16"/>
              </w:rPr>
              <w:t>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7BF02">
            <w:pPr>
              <w:jc w:val="center"/>
            </w:pPr>
            <w:r>
              <w:rPr>
                <w:rFonts w:ascii="宋体" w:hAnsi="宋体" w:eastAsia="宋体"/>
                <w:sz w:val="16"/>
              </w:rPr>
              <w:t>0</w:t>
            </w:r>
          </w:p>
        </w:tc>
      </w:tr>
      <w:tr w14:paraId="329C09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7DE3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6DAD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F8AB7">
            <w:pPr>
              <w:jc w:val="center"/>
            </w:pPr>
            <w:r>
              <w:rPr>
                <w:rFonts w:ascii="宋体" w:hAnsi="宋体" w:eastAsia="宋体"/>
                <w:sz w:val="16"/>
              </w:rPr>
              <w:t>农业技术员培训（次）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BCA28">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BC107">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3B5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B42FB">
            <w:pPr>
              <w:jc w:val="center"/>
            </w:pPr>
            <w:r>
              <w:rPr>
                <w:rFonts w:ascii="宋体" w:hAnsi="宋体" w:eastAsia="宋体"/>
                <w:sz w:val="16"/>
              </w:rPr>
              <w:t>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EFCA7">
            <w:pPr>
              <w:jc w:val="center"/>
            </w:pPr>
            <w:r>
              <w:rPr>
                <w:rFonts w:ascii="宋体" w:hAnsi="宋体" w:eastAsia="宋体"/>
                <w:sz w:val="16"/>
              </w:rPr>
              <w:t>0</w:t>
            </w:r>
          </w:p>
        </w:tc>
      </w:tr>
      <w:tr w14:paraId="789D9A1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3AAD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D9F4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4EB6D">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B21F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A884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47A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1C5A3">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6538E">
            <w:pPr>
              <w:jc w:val="center"/>
            </w:pPr>
            <w:r>
              <w:rPr>
                <w:rFonts w:ascii="宋体" w:hAnsi="宋体" w:eastAsia="宋体"/>
                <w:sz w:val="16"/>
              </w:rPr>
              <w:t>0</w:t>
            </w:r>
          </w:p>
        </w:tc>
      </w:tr>
      <w:tr w14:paraId="60DD2A3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C0B08">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6DE1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2F6C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5E06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FB2AB">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8BC9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B2C87">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AFD42">
            <w:pPr>
              <w:jc w:val="center"/>
            </w:pPr>
            <w:r>
              <w:rPr>
                <w:rFonts w:ascii="宋体" w:hAnsi="宋体" w:eastAsia="宋体"/>
                <w:sz w:val="16"/>
              </w:rPr>
              <w:t>0</w:t>
            </w:r>
          </w:p>
        </w:tc>
      </w:tr>
      <w:tr w14:paraId="4120DF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265B0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2294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7472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DE03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A1DC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7E91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A59A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611F7">
            <w:pPr>
              <w:jc w:val="center"/>
            </w:pPr>
            <w:r>
              <w:rPr>
                <w:rFonts w:ascii="宋体" w:hAnsi="宋体" w:eastAsia="宋体"/>
                <w:sz w:val="16"/>
              </w:rPr>
              <w:t>5</w:t>
            </w:r>
          </w:p>
        </w:tc>
      </w:tr>
    </w:tbl>
    <w:p w14:paraId="54586174">
      <w:r>
        <w:br w:type="page"/>
      </w:r>
    </w:p>
    <w:p w14:paraId="69CEDF7F">
      <w:pPr>
        <w:spacing w:line="640" w:lineRule="exact"/>
        <w:ind w:firstLine="640"/>
        <w:jc w:val="both"/>
        <w:outlineLvl w:val="2"/>
      </w:pPr>
      <w:r>
        <w:rPr>
          <w:rFonts w:ascii="黑体" w:hAnsi="黑体" w:eastAsia="黑体"/>
          <w:sz w:val="32"/>
        </w:rPr>
        <w:t>十二、其他需说明的事项</w:t>
      </w:r>
    </w:p>
    <w:p w14:paraId="07D046E9">
      <w:pPr>
        <w:spacing w:line="580" w:lineRule="exact"/>
        <w:ind w:firstLine="640"/>
        <w:jc w:val="both"/>
      </w:pPr>
      <w:r>
        <w:rPr>
          <w:rFonts w:ascii="仿宋_GB2312" w:hAnsi="仿宋_GB2312" w:eastAsia="仿宋_GB2312"/>
          <w:b w:val="0"/>
          <w:sz w:val="32"/>
        </w:rPr>
        <w:t>本单位无其他需说明的事项。</w:t>
      </w:r>
    </w:p>
    <w:p w14:paraId="7A0D0E15">
      <w:r>
        <w:br w:type="page"/>
      </w:r>
    </w:p>
    <w:p w14:paraId="19F4FE35">
      <w:pPr>
        <w:spacing w:line="240" w:lineRule="auto"/>
        <w:jc w:val="center"/>
        <w:outlineLvl w:val="1"/>
      </w:pPr>
      <w:r>
        <w:rPr>
          <w:rFonts w:ascii="黑体" w:hAnsi="黑体" w:eastAsia="黑体"/>
          <w:sz w:val="32"/>
        </w:rPr>
        <w:t>第三部分 专业名词解释</w:t>
      </w:r>
    </w:p>
    <w:p w14:paraId="7DC432F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FF826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8271B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7D8FAD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91A15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49C93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B1E3A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69FF8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6A935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52A55B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F82C4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22ADA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A54A8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3F16B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67BCB8">
      <w:r>
        <w:br w:type="page"/>
      </w:r>
    </w:p>
    <w:p w14:paraId="027BAC83">
      <w:pPr>
        <w:spacing w:line="240" w:lineRule="auto"/>
        <w:jc w:val="center"/>
        <w:outlineLvl w:val="1"/>
      </w:pPr>
      <w:r>
        <w:rPr>
          <w:rFonts w:ascii="黑体" w:hAnsi="黑体" w:eastAsia="黑体"/>
          <w:sz w:val="32"/>
        </w:rPr>
        <w:t>第四部分 部门决算报表（见附表）</w:t>
      </w:r>
    </w:p>
    <w:p w14:paraId="5C7D2C77">
      <w:pPr>
        <w:spacing w:line="240" w:lineRule="auto"/>
        <w:ind w:firstLine="640"/>
        <w:jc w:val="both"/>
      </w:pPr>
      <w:r>
        <w:rPr>
          <w:rFonts w:ascii="仿宋_GB2312" w:hAnsi="仿宋_GB2312" w:eastAsia="仿宋_GB2312"/>
          <w:b w:val="0"/>
          <w:sz w:val="32"/>
        </w:rPr>
        <w:t>一、《收入支出决算总表》</w:t>
      </w:r>
    </w:p>
    <w:p w14:paraId="23F09C1C">
      <w:pPr>
        <w:spacing w:line="240" w:lineRule="auto"/>
        <w:ind w:firstLine="640"/>
        <w:jc w:val="both"/>
      </w:pPr>
      <w:r>
        <w:rPr>
          <w:rFonts w:ascii="仿宋_GB2312" w:hAnsi="仿宋_GB2312" w:eastAsia="仿宋_GB2312"/>
          <w:b w:val="0"/>
          <w:sz w:val="32"/>
        </w:rPr>
        <w:t>二、《收入决算表》</w:t>
      </w:r>
    </w:p>
    <w:p w14:paraId="377030E1">
      <w:pPr>
        <w:spacing w:line="240" w:lineRule="auto"/>
        <w:ind w:firstLine="640"/>
        <w:jc w:val="both"/>
      </w:pPr>
      <w:r>
        <w:rPr>
          <w:rFonts w:ascii="仿宋_GB2312" w:hAnsi="仿宋_GB2312" w:eastAsia="仿宋_GB2312"/>
          <w:b w:val="0"/>
          <w:sz w:val="32"/>
        </w:rPr>
        <w:t>三、《支出决算表》</w:t>
      </w:r>
    </w:p>
    <w:p w14:paraId="283A5A4C">
      <w:pPr>
        <w:spacing w:line="240" w:lineRule="auto"/>
        <w:ind w:firstLine="640"/>
        <w:jc w:val="both"/>
      </w:pPr>
      <w:r>
        <w:rPr>
          <w:rFonts w:ascii="仿宋_GB2312" w:hAnsi="仿宋_GB2312" w:eastAsia="仿宋_GB2312"/>
          <w:b w:val="0"/>
          <w:sz w:val="32"/>
        </w:rPr>
        <w:t>四、《财政拨款收入支出决算总表》</w:t>
      </w:r>
    </w:p>
    <w:p w14:paraId="0A413123">
      <w:pPr>
        <w:spacing w:line="240" w:lineRule="auto"/>
        <w:ind w:firstLine="640"/>
        <w:jc w:val="both"/>
      </w:pPr>
      <w:r>
        <w:rPr>
          <w:rFonts w:ascii="仿宋_GB2312" w:hAnsi="仿宋_GB2312" w:eastAsia="仿宋_GB2312"/>
          <w:b w:val="0"/>
          <w:sz w:val="32"/>
        </w:rPr>
        <w:t>五、《一般公共预算财政拨款支出决算表》</w:t>
      </w:r>
    </w:p>
    <w:p w14:paraId="6CAF28D1">
      <w:pPr>
        <w:spacing w:line="240" w:lineRule="auto"/>
        <w:ind w:firstLine="640"/>
        <w:jc w:val="both"/>
      </w:pPr>
      <w:r>
        <w:rPr>
          <w:rFonts w:ascii="仿宋_GB2312" w:hAnsi="仿宋_GB2312" w:eastAsia="仿宋_GB2312"/>
          <w:b w:val="0"/>
          <w:sz w:val="32"/>
        </w:rPr>
        <w:t>六、《一般公共预算财政拨款基本支出决算表》</w:t>
      </w:r>
    </w:p>
    <w:p w14:paraId="43E148AC">
      <w:pPr>
        <w:spacing w:line="240" w:lineRule="auto"/>
        <w:ind w:firstLine="640"/>
        <w:jc w:val="both"/>
      </w:pPr>
      <w:r>
        <w:rPr>
          <w:rFonts w:ascii="仿宋_GB2312" w:hAnsi="仿宋_GB2312" w:eastAsia="仿宋_GB2312"/>
          <w:b w:val="0"/>
          <w:sz w:val="32"/>
        </w:rPr>
        <w:t>七、《政府性基金预算财政拨款收入支出决算表》</w:t>
      </w:r>
    </w:p>
    <w:p w14:paraId="280705F5">
      <w:pPr>
        <w:spacing w:line="240" w:lineRule="auto"/>
        <w:ind w:firstLine="640"/>
        <w:jc w:val="both"/>
      </w:pPr>
      <w:r>
        <w:rPr>
          <w:rFonts w:ascii="仿宋_GB2312" w:hAnsi="仿宋_GB2312" w:eastAsia="仿宋_GB2312"/>
          <w:b w:val="0"/>
          <w:sz w:val="32"/>
        </w:rPr>
        <w:t>八、《国有资本经营预算财政拨款收入支出决算表》</w:t>
      </w:r>
    </w:p>
    <w:p w14:paraId="401BDCA7">
      <w:pPr>
        <w:spacing w:line="240" w:lineRule="auto"/>
        <w:ind w:firstLine="640"/>
        <w:jc w:val="both"/>
      </w:pPr>
      <w:r>
        <w:rPr>
          <w:rFonts w:ascii="仿宋_GB2312" w:hAnsi="仿宋_GB2312" w:eastAsia="仿宋_GB2312"/>
          <w:b w:val="0"/>
          <w:sz w:val="32"/>
        </w:rPr>
        <w:t>九、《财政拨款“三公”经费支出决算表》</w:t>
      </w:r>
    </w:p>
    <w:p w14:paraId="7BB39768">
      <w:pPr>
        <w:spacing w:line="240" w:lineRule="auto"/>
        <w:ind w:firstLine="640"/>
        <w:jc w:val="both"/>
      </w:pPr>
    </w:p>
    <w:p w14:paraId="40696366">
      <w:pPr>
        <w:spacing w:line="240" w:lineRule="auto"/>
        <w:ind w:firstLine="640"/>
        <w:jc w:val="both"/>
      </w:pPr>
    </w:p>
    <w:p w14:paraId="73181AB1">
      <w:pPr>
        <w:spacing w:line="240" w:lineRule="auto"/>
        <w:ind w:firstLine="640"/>
        <w:jc w:val="both"/>
      </w:pPr>
    </w:p>
    <w:p w14:paraId="713340AB">
      <w:pPr>
        <w:spacing w:line="240" w:lineRule="auto"/>
        <w:ind w:firstLine="640"/>
        <w:jc w:val="both"/>
      </w:pPr>
    </w:p>
    <w:p w14:paraId="697C2E8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983EFC-A055-457B-8116-8A404B7BA6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14A4320-018D-4256-BCAE-C8B6D853DCE0}"/>
  </w:font>
  <w:font w:name="仿宋_GB2312">
    <w:panose1 w:val="02010609030101010101"/>
    <w:charset w:val="86"/>
    <w:family w:val="modern"/>
    <w:pitch w:val="default"/>
    <w:sig w:usb0="00000001" w:usb1="080E0000" w:usb2="00000000" w:usb3="00000000" w:csb0="00040000" w:csb1="00000000"/>
    <w:embedRegular r:id="rId3" w:fontKey="{32AB0114-570D-413B-B832-C70184B7F5A8}"/>
  </w:font>
  <w:font w:name="楷体_GB2312">
    <w:panose1 w:val="02010609030101010101"/>
    <w:charset w:val="86"/>
    <w:family w:val="auto"/>
    <w:pitch w:val="default"/>
    <w:sig w:usb0="00000001" w:usb1="080E0000" w:usb2="00000000" w:usb3="00000000" w:csb0="00040000" w:csb1="00000000"/>
    <w:embedRegular r:id="rId4" w:fontKey="{B1BF5B8B-CE39-4FA6-BF17-8A5C6E60A0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57374D"/>
    <w:rsid w:val="11E15093"/>
    <w:rsid w:val="120E0809"/>
    <w:rsid w:val="13E0546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4367</Words>
  <Characters>4938</Characters>
  <Lines>0</Lines>
  <Paragraphs>0</Paragraphs>
  <TotalTime>1</TotalTime>
  <ScaleCrop>false</ScaleCrop>
  <LinksUpToDate>false</LinksUpToDate>
  <CharactersWithSpaces>4946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