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5A7404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阿克陶县喀热开其克乡中心幼儿园</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07D49AF">
      <w:r>
        <w:br w:type="page"/>
      </w:r>
    </w:p>
    <w:p w14:paraId="50A152D5">
      <w:pPr>
        <w:spacing w:line="640" w:lineRule="exact"/>
        <w:jc w:val="center"/>
        <w:outlineLvl w:val="1"/>
      </w:pPr>
      <w:r>
        <w:rPr>
          <w:rFonts w:ascii="黑体" w:hAnsi="黑体" w:eastAsia="黑体"/>
          <w:sz w:val="32"/>
        </w:rPr>
        <w:t>第一部分 单位概况</w:t>
      </w:r>
    </w:p>
    <w:p w14:paraId="22A39FFB">
      <w:pPr>
        <w:spacing w:line="640" w:lineRule="exact"/>
        <w:ind w:firstLine="640"/>
        <w:jc w:val="both"/>
        <w:outlineLvl w:val="2"/>
      </w:pPr>
      <w:r>
        <w:rPr>
          <w:rFonts w:ascii="黑体" w:hAnsi="黑体" w:eastAsia="黑体"/>
          <w:sz w:val="32"/>
        </w:rPr>
        <w:t>一、主要职能</w:t>
      </w:r>
    </w:p>
    <w:p w14:paraId="452A3358">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课程管理：按照国家规定的计划,严格落实课程设置，开齐开足各类课程、保证学生每天不少于一个小时的体育活动。抓好三表的制定和管理：作息时间表、教学计划表和课程表的贯彻落实是教学秩序稳定的关键。严格按照自治区素质教育要求，制定春季、夏季作息时间表，并认真执行。抓好教研组、备课组、教师的教学计划的制定，使各阶段的教学活动有计划、有措施、有总结。教师必须严格按课程表上课，不迟到、不早退，不擅自调课。保证均衡分班排课。根据学校工作计划对教学工作的要求，协调年级组长和学科组长制定教学工作计划，做好各年级的分课排课工作。</w:t>
      </w:r>
    </w:p>
    <w:p w14:paraId="707190A1">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学籍管理：安排专门负责学校学生学籍管理工作。做好学生学籍管理工作和师生实名制工作、严格执行学籍管理的有关规定，抓好学生档案、加强转入转出学生学籍管理。转学、休学、毕业的相关资料，并妥善保管。按上级要求，及时上传上报相关表册或数据，使学籍管理制度化，规范化。每学期对各年级组织一次学生成长记录袋的填写培训工作。</w:t>
      </w:r>
    </w:p>
    <w:p w14:paraId="34202A13">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考试管理;认真组织好每月测评、期中、期末和班级学业水平考试，积极配合县教育局组织的各级各类考试，加强考试期间的管理，做好考试前的各项准备工作，如编排布置考场、编印监考表等，做到每次考试都有专人负责。加强学生的考风考纪教育，杜绝一切作弊行为；考试后认真分析成绩、力求公正、做好各年级的质量分析工作，认真研究分析教与学情况，及时发现问题、做出正确的客观评价；召开师生座谈会，开展学生问卷调查，分析教学情况，提出针对性的改进措施，将质量分析落到实处。</w:t>
      </w:r>
    </w:p>
    <w:p w14:paraId="75979A4C">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切实加强学科组的建设:进一步统一思想，提振精神，再鼓干劲，以更加扎实的作风全面推进克州教育事业发展。我们要随着贯彻落实党的十九大精神和推进国家通用语言文字使用的不断深入，要求每位教师转变观念、提高认识，形成新型的教育观、质量观。</w:t>
      </w:r>
    </w:p>
    <w:p w14:paraId="69DF85E1">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加强全体师生安全教育:利用周一升旗活动时间强调安全事项。利用主题班会、德育活动、学科渗透，校园广播等途径，对学生开展安全</w:t>
      </w:r>
      <w:r>
        <w:rPr>
          <w:rFonts w:hint="eastAsia" w:ascii="仿宋_GB2312" w:hAnsi="仿宋_GB2312" w:eastAsia="仿宋_GB2312"/>
          <w:sz w:val="32"/>
          <w:lang w:eastAsia="zh-CN"/>
        </w:rPr>
        <w:t>国防教育</w:t>
      </w:r>
      <w:r>
        <w:rPr>
          <w:rFonts w:ascii="仿宋_GB2312" w:hAnsi="仿宋_GB2312" w:eastAsia="仿宋_GB2312"/>
          <w:sz w:val="32"/>
        </w:rPr>
        <w:t>，使学生接受比较系统的防溺水、防交通事故、防触电、防食物中毒、防传染病、防火、防盗、防震、防煤气中毒、防电信诈骗等安全知识和技能教育。开展安全逃生演练活动。为了提高师生的安全防范意识和逃生技能，学校每个月开展一次安全演练逃生活动。教师和学生必须明确要求与路线，责任到人，确保演练取得成效，提高学生的自我救护能力。学校每月至少开展一次防震减灾安全逃生疏散演练、消防器材灭火演练活动。</w:t>
      </w:r>
    </w:p>
    <w:p w14:paraId="3D3921C2">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加强安全保卫与值班工作:把好门卫安全第一关，学校加强门卫的管理工作，严格落实24小时“四位一体”值班制度，严格来客登记制度，与各部门联系的外来人员，必须要电话告知，外来人员经防疫检测合格后方可入校。学生在校期间家长无特殊情况不得进入校园，并要求学生在校期间不准离校。配备对讲机、防刺背心、头盔、防割手套、防爆棍、钢叉、强光手电、一键式报警器等器械，严格保证“三防”建设。</w:t>
      </w:r>
    </w:p>
    <w:p w14:paraId="1B2ECE63">
      <w:pPr>
        <w:spacing w:line="640" w:lineRule="exact"/>
        <w:ind w:firstLine="640"/>
        <w:jc w:val="both"/>
        <w:outlineLvl w:val="2"/>
      </w:pPr>
      <w:r>
        <w:rPr>
          <w:rFonts w:ascii="黑体" w:hAnsi="黑体" w:eastAsia="黑体"/>
          <w:sz w:val="32"/>
        </w:rPr>
        <w:t>二、机构设置及人员情况</w:t>
      </w:r>
    </w:p>
    <w:p w14:paraId="31561EF3">
      <w:pPr>
        <w:spacing w:line="580" w:lineRule="exact"/>
        <w:ind w:firstLine="640"/>
        <w:jc w:val="both"/>
      </w:pPr>
      <w:r>
        <w:rPr>
          <w:rFonts w:ascii="仿宋_GB2312" w:hAnsi="仿宋_GB2312" w:eastAsia="仿宋_GB2312"/>
          <w:sz w:val="32"/>
        </w:rPr>
        <w:t>阿克陶县喀热开其克乡中心幼儿园2024年度，实有人数40人，其中：在职人员39人，增加0人；离休人员0人，增加0人；退休人员1人,增加0人。</w:t>
      </w:r>
    </w:p>
    <w:p w14:paraId="4357D38A">
      <w:pPr>
        <w:spacing w:line="580" w:lineRule="exact"/>
        <w:ind w:firstLine="640"/>
        <w:jc w:val="both"/>
      </w:pPr>
      <w:r>
        <w:rPr>
          <w:rFonts w:ascii="仿宋_GB2312" w:hAnsi="仿宋_GB2312" w:eastAsia="仿宋_GB2312"/>
          <w:sz w:val="32"/>
        </w:rPr>
        <w:t>阿克陶县喀热开其克乡中心幼儿园无下属预算单位，下设6个科室，分别是：党建办、德育办、教务处、财务室、保健室、后勤部。</w:t>
      </w:r>
    </w:p>
    <w:p w14:paraId="1DC1C3B7">
      <w:r>
        <w:br w:type="page"/>
      </w:r>
    </w:p>
    <w:p w14:paraId="29CBC57D">
      <w:pPr>
        <w:spacing w:line="240" w:lineRule="auto"/>
        <w:jc w:val="center"/>
        <w:outlineLvl w:val="1"/>
      </w:pPr>
      <w:r>
        <w:rPr>
          <w:rFonts w:ascii="黑体" w:hAnsi="黑体" w:eastAsia="黑体"/>
          <w:sz w:val="32"/>
        </w:rPr>
        <w:t>第二部分 部门决算情况说明</w:t>
      </w:r>
    </w:p>
    <w:p w14:paraId="708A9B80">
      <w:pPr>
        <w:spacing w:line="640" w:lineRule="exact"/>
        <w:ind w:firstLine="640"/>
        <w:jc w:val="both"/>
        <w:outlineLvl w:val="2"/>
      </w:pPr>
      <w:r>
        <w:rPr>
          <w:rFonts w:ascii="黑体" w:hAnsi="黑体" w:eastAsia="黑体"/>
          <w:sz w:val="32"/>
        </w:rPr>
        <w:t>一、收入支出决算总体情况说明</w:t>
      </w:r>
    </w:p>
    <w:p w14:paraId="3553AB62">
      <w:pPr>
        <w:spacing w:line="580" w:lineRule="exact"/>
        <w:ind w:firstLine="640"/>
        <w:jc w:val="both"/>
      </w:pPr>
      <w:r>
        <w:rPr>
          <w:rFonts w:ascii="仿宋_GB2312" w:hAnsi="仿宋_GB2312" w:eastAsia="仿宋_GB2312"/>
          <w:b/>
          <w:sz w:val="32"/>
        </w:rPr>
        <w:t>2024年度收入总计841.63万元，</w:t>
      </w:r>
      <w:r>
        <w:rPr>
          <w:rFonts w:ascii="仿宋_GB2312" w:hAnsi="仿宋_GB2312" w:eastAsia="仿宋_GB2312"/>
          <w:b w:val="0"/>
          <w:sz w:val="32"/>
        </w:rPr>
        <w:t>其中：本年收入合计841.63万元，使用非财政拨款结余（含专用结余）0.00万元，年初结转和结余0.00万元。</w:t>
      </w:r>
    </w:p>
    <w:p w14:paraId="20F0E568">
      <w:pPr>
        <w:spacing w:line="580" w:lineRule="exact"/>
        <w:ind w:firstLine="640"/>
        <w:jc w:val="both"/>
      </w:pPr>
      <w:r>
        <w:rPr>
          <w:rFonts w:ascii="仿宋_GB2312" w:hAnsi="仿宋_GB2312" w:eastAsia="仿宋_GB2312"/>
          <w:b/>
          <w:sz w:val="32"/>
        </w:rPr>
        <w:t>2024年度支出总计841.63万元，</w:t>
      </w:r>
      <w:r>
        <w:rPr>
          <w:rFonts w:ascii="仿宋_GB2312" w:hAnsi="仿宋_GB2312" w:eastAsia="仿宋_GB2312"/>
          <w:b w:val="0"/>
          <w:sz w:val="32"/>
        </w:rPr>
        <w:t>其中：本年支出合计841.63万元，结余分配0.00万元，年末结转和结余0.00万元。</w:t>
      </w:r>
    </w:p>
    <w:p w14:paraId="1CECE2BE">
      <w:pPr>
        <w:spacing w:line="580" w:lineRule="exact"/>
        <w:ind w:firstLine="640"/>
        <w:jc w:val="both"/>
      </w:pPr>
      <w:r>
        <w:rPr>
          <w:rFonts w:ascii="仿宋_GB2312" w:hAnsi="仿宋_GB2312" w:eastAsia="仿宋_GB2312"/>
          <w:b w:val="0"/>
          <w:sz w:val="32"/>
        </w:rPr>
        <w:t>收入支出总体与上年相比，减少27.71万元，下降3.19%，主要原因是：本年减少小学教育助学金项目经费，导致相关经费减少。</w:t>
      </w:r>
    </w:p>
    <w:p w14:paraId="6B3B1E66">
      <w:pPr>
        <w:spacing w:line="640" w:lineRule="exact"/>
        <w:ind w:firstLine="640"/>
        <w:jc w:val="both"/>
        <w:outlineLvl w:val="2"/>
      </w:pPr>
      <w:r>
        <w:rPr>
          <w:rFonts w:ascii="黑体" w:hAnsi="黑体" w:eastAsia="黑体"/>
          <w:sz w:val="32"/>
        </w:rPr>
        <w:t>二、收入决算情况说明</w:t>
      </w:r>
    </w:p>
    <w:p w14:paraId="3DA75DB1">
      <w:pPr>
        <w:spacing w:line="580" w:lineRule="exact"/>
        <w:ind w:firstLine="640"/>
        <w:jc w:val="both"/>
      </w:pPr>
      <w:r>
        <w:rPr>
          <w:rFonts w:ascii="仿宋_GB2312" w:hAnsi="仿宋_GB2312" w:eastAsia="仿宋_GB2312"/>
          <w:b/>
          <w:sz w:val="32"/>
        </w:rPr>
        <w:t>本年收入841.63万元，</w:t>
      </w:r>
      <w:r>
        <w:rPr>
          <w:rFonts w:ascii="仿宋_GB2312" w:hAnsi="仿宋_GB2312" w:eastAsia="仿宋_GB2312"/>
          <w:b w:val="0"/>
          <w:sz w:val="32"/>
        </w:rPr>
        <w:t>其中：财政拨款收入841.63万元，占100.00%；上级补助收入0.00万元，占0.00%；事业收入0.00万元，占0.00%；经营收入0.00万元，占0.00%；附属单位上缴收入0.00万元，占0.00%；其他收入0.00万元，占0.00%。</w:t>
      </w:r>
    </w:p>
    <w:p w14:paraId="023E7BAC">
      <w:pPr>
        <w:spacing w:line="640" w:lineRule="exact"/>
        <w:ind w:firstLine="640"/>
        <w:jc w:val="both"/>
        <w:outlineLvl w:val="2"/>
      </w:pPr>
      <w:r>
        <w:rPr>
          <w:rFonts w:ascii="黑体" w:hAnsi="黑体" w:eastAsia="黑体"/>
          <w:sz w:val="32"/>
        </w:rPr>
        <w:t>三、支出决算情况说明</w:t>
      </w:r>
    </w:p>
    <w:p w14:paraId="33CB1D04">
      <w:pPr>
        <w:spacing w:line="580" w:lineRule="exact"/>
        <w:ind w:firstLine="640"/>
        <w:jc w:val="both"/>
      </w:pPr>
      <w:r>
        <w:rPr>
          <w:rFonts w:ascii="仿宋_GB2312" w:hAnsi="仿宋_GB2312" w:eastAsia="仿宋_GB2312"/>
          <w:b/>
          <w:sz w:val="32"/>
        </w:rPr>
        <w:t>本年支出841.63万元，</w:t>
      </w:r>
      <w:r>
        <w:rPr>
          <w:rFonts w:ascii="仿宋_GB2312" w:hAnsi="仿宋_GB2312" w:eastAsia="仿宋_GB2312"/>
          <w:b w:val="0"/>
          <w:sz w:val="32"/>
        </w:rPr>
        <w:t>其中：基本支出809.30万元，占96.16%；项目支出32.33万元，占3.84%；上缴上级支出0.00万元，占0.00%；经营支出0.00万元，占0.00%；对附属单位补助支出0.00万元，占0.00%。</w:t>
      </w:r>
    </w:p>
    <w:p w14:paraId="134C58AA">
      <w:pPr>
        <w:spacing w:line="640" w:lineRule="exact"/>
        <w:ind w:firstLine="640"/>
        <w:jc w:val="both"/>
        <w:outlineLvl w:val="2"/>
      </w:pPr>
      <w:r>
        <w:rPr>
          <w:rFonts w:ascii="黑体" w:hAnsi="黑体" w:eastAsia="黑体"/>
          <w:sz w:val="32"/>
        </w:rPr>
        <w:t>四、财政拨款收入支出决算总体情况说明</w:t>
      </w:r>
    </w:p>
    <w:p w14:paraId="688CA424">
      <w:pPr>
        <w:spacing w:line="580" w:lineRule="exact"/>
        <w:ind w:firstLine="640"/>
        <w:jc w:val="both"/>
      </w:pPr>
      <w:r>
        <w:rPr>
          <w:rFonts w:ascii="仿宋_GB2312" w:hAnsi="仿宋_GB2312" w:eastAsia="仿宋_GB2312"/>
          <w:b/>
          <w:sz w:val="32"/>
        </w:rPr>
        <w:t>2024年度财政拨款收入总计841.63万元，</w:t>
      </w:r>
      <w:r>
        <w:rPr>
          <w:rFonts w:ascii="仿宋_GB2312" w:hAnsi="仿宋_GB2312" w:eastAsia="仿宋_GB2312"/>
          <w:b w:val="0"/>
          <w:sz w:val="32"/>
        </w:rPr>
        <w:t>其中：年初财政拨款结转和结余0.00万元，本年财政拨款收入841.63万元。</w:t>
      </w:r>
      <w:r>
        <w:rPr>
          <w:rFonts w:ascii="仿宋_GB2312" w:hAnsi="仿宋_GB2312" w:eastAsia="仿宋_GB2312"/>
          <w:b/>
          <w:sz w:val="32"/>
        </w:rPr>
        <w:t>财政拨款支出总计841.63万元，</w:t>
      </w:r>
      <w:r>
        <w:rPr>
          <w:rFonts w:ascii="仿宋_GB2312" w:hAnsi="仿宋_GB2312" w:eastAsia="仿宋_GB2312"/>
          <w:b w:val="0"/>
          <w:sz w:val="32"/>
        </w:rPr>
        <w:t>其中：年末财政拨款结转和结余0.00万元，本年财政拨款支出841.63万元。</w:t>
      </w:r>
    </w:p>
    <w:p w14:paraId="06C30E2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减少27.61万元，下降3.18%，主要原因是：本年减少小学教育助学金项目经费，导致相关经费减少。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年初预算数813.22万元，决算数841.63万元，预决算差异率3.49%，主要原因是：年中追加人员工资、社保、公积金基数调增部分资金，导致预决算存在差异。</w:t>
      </w:r>
    </w:p>
    <w:p w14:paraId="7DCC2D3A">
      <w:pPr>
        <w:spacing w:line="640" w:lineRule="exact"/>
        <w:ind w:firstLine="640"/>
        <w:jc w:val="both"/>
        <w:outlineLvl w:val="2"/>
      </w:pPr>
      <w:r>
        <w:rPr>
          <w:rFonts w:ascii="黑体" w:hAnsi="黑体" w:eastAsia="黑体"/>
          <w:sz w:val="32"/>
        </w:rPr>
        <w:t>五、一般公共预算财政拨款支出决算情况说明</w:t>
      </w:r>
    </w:p>
    <w:p w14:paraId="78C94A49">
      <w:pPr>
        <w:spacing w:line="640" w:lineRule="exact"/>
        <w:ind w:firstLine="640"/>
        <w:jc w:val="both"/>
        <w:outlineLvl w:val="3"/>
      </w:pPr>
      <w:r>
        <w:rPr>
          <w:rFonts w:ascii="楷体_GB2312" w:hAnsi="楷体_GB2312" w:eastAsia="楷体_GB2312"/>
          <w:b/>
          <w:sz w:val="32"/>
        </w:rPr>
        <w:t>（一）一般公共预算财政拨款支出决算总体情况</w:t>
      </w:r>
    </w:p>
    <w:p w14:paraId="02B72B25">
      <w:pPr>
        <w:spacing w:line="580" w:lineRule="exact"/>
        <w:ind w:firstLine="640"/>
        <w:jc w:val="both"/>
      </w:pPr>
      <w:r>
        <w:rPr>
          <w:rFonts w:ascii="仿宋_GB2312" w:hAnsi="仿宋_GB2312" w:eastAsia="仿宋_GB2312"/>
          <w:b/>
          <w:sz w:val="32"/>
        </w:rPr>
        <w:t>2024年度一般公共预算财政拨款支出841.63万元，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减少27.61万元，下降3.18%，主要原因是：本年减少小学教育助学金项目经费，导致相关经费减少。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年初预算数813.22万元，决算数841.63万元，预决算差异率3.49%，主要原因是：年中追加人员工资、社保、公积金基数调增部分资金，导致预决算存在差异。</w:t>
      </w:r>
    </w:p>
    <w:p w14:paraId="030A5EB1">
      <w:pPr>
        <w:spacing w:line="640" w:lineRule="exact"/>
        <w:ind w:firstLine="640"/>
        <w:jc w:val="both"/>
        <w:outlineLvl w:val="3"/>
      </w:pPr>
      <w:r>
        <w:rPr>
          <w:rFonts w:ascii="楷体_GB2312" w:hAnsi="楷体_GB2312" w:eastAsia="楷体_GB2312"/>
          <w:b/>
          <w:sz w:val="32"/>
        </w:rPr>
        <w:t>（二）一般公共预算财政拨款支出决算结构情况</w:t>
      </w:r>
    </w:p>
    <w:p w14:paraId="072C939B">
      <w:pPr>
        <w:spacing w:line="580" w:lineRule="exact"/>
        <w:ind w:firstLine="640"/>
        <w:jc w:val="both"/>
      </w:pPr>
      <w:r>
        <w:rPr>
          <w:rFonts w:ascii="仿宋_GB2312" w:hAnsi="仿宋_GB2312" w:eastAsia="仿宋_GB2312"/>
          <w:b w:val="0"/>
          <w:sz w:val="32"/>
        </w:rPr>
        <w:t>1.教育支出(类)841.63万元,占100.00%。</w:t>
      </w:r>
    </w:p>
    <w:p w14:paraId="30CE629D">
      <w:pPr>
        <w:spacing w:line="640" w:lineRule="exact"/>
        <w:ind w:firstLine="640"/>
        <w:jc w:val="both"/>
        <w:outlineLvl w:val="3"/>
      </w:pPr>
      <w:r>
        <w:rPr>
          <w:rFonts w:ascii="楷体_GB2312" w:hAnsi="楷体_GB2312" w:eastAsia="楷体_GB2312"/>
          <w:b/>
          <w:sz w:val="32"/>
        </w:rPr>
        <w:t>（三）一般公共预算财政拨款支出决算具体情况</w:t>
      </w:r>
    </w:p>
    <w:p w14:paraId="22E0A904">
      <w:pPr>
        <w:spacing w:line="580" w:lineRule="exact"/>
        <w:ind w:firstLine="640"/>
        <w:jc w:val="both"/>
      </w:pPr>
      <w:r>
        <w:rPr>
          <w:rFonts w:ascii="仿宋_GB2312" w:hAnsi="仿宋_GB2312" w:eastAsia="仿宋_GB2312"/>
          <w:b w:val="0"/>
          <w:sz w:val="32"/>
        </w:rPr>
        <w:t>1.教育支出(类)普通教育(款)学前教育(项):支出决算数为838.43万元，比上年决算增加73.21万元，增长9.57%,主要原因是：本年功能科目调整，养老保险缴费上年度单独列支，本年调整至主科目列支，导致经费较上年增加。</w:t>
      </w:r>
    </w:p>
    <w:p w14:paraId="313430E5">
      <w:pPr>
        <w:spacing w:line="580" w:lineRule="exact"/>
        <w:ind w:firstLine="640"/>
        <w:jc w:val="both"/>
      </w:pPr>
      <w:r>
        <w:rPr>
          <w:rFonts w:ascii="仿宋_GB2312" w:hAnsi="仿宋_GB2312" w:eastAsia="仿宋_GB2312"/>
          <w:b w:val="0"/>
          <w:sz w:val="32"/>
        </w:rPr>
        <w:t>2.教育支出(类)普通教育(款)小学教育(项):支出决算数为3.21万元，比上年决算减少28.50万元，下降89.88%,主要原因是：本年减少小学教育助学金项目经费，导致相关经费减少。</w:t>
      </w:r>
    </w:p>
    <w:p w14:paraId="3686693B">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0.00万元，比上年决算减少72.31万元，下降100.00%,主要原因是：本年功能科目调整，养老保险缴费上年度单独列支，本年调整至主科目列支，导致经费较上年减少。</w:t>
      </w:r>
    </w:p>
    <w:p w14:paraId="4F887864">
      <w:pPr>
        <w:spacing w:line="640" w:lineRule="exact"/>
        <w:ind w:firstLine="640"/>
        <w:jc w:val="both"/>
        <w:outlineLvl w:val="2"/>
      </w:pPr>
      <w:r>
        <w:rPr>
          <w:rFonts w:ascii="黑体" w:hAnsi="黑体" w:eastAsia="黑体"/>
          <w:sz w:val="32"/>
        </w:rPr>
        <w:t>六、一般公共预算财政拨款基本支出决算情况说明</w:t>
      </w:r>
    </w:p>
    <w:p w14:paraId="3BA245E9">
      <w:pPr>
        <w:spacing w:line="580" w:lineRule="exact"/>
        <w:ind w:firstLine="640"/>
        <w:jc w:val="both"/>
      </w:pPr>
      <w:r>
        <w:rPr>
          <w:rFonts w:ascii="仿宋_GB2312" w:hAnsi="仿宋_GB2312" w:eastAsia="仿宋_GB2312"/>
          <w:b w:val="0"/>
          <w:sz w:val="32"/>
        </w:rPr>
        <w:t>2024年度一般公共预算财政拨款基本支出809.30万元，其中：</w:t>
      </w:r>
      <w:r>
        <w:rPr>
          <w:rFonts w:ascii="仿宋_GB2312" w:hAnsi="仿宋_GB2312" w:eastAsia="仿宋_GB2312"/>
          <w:b/>
          <w:sz w:val="32"/>
        </w:rPr>
        <w:t>人员经费809.30万元，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2C8B51D1">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29EFF93">
      <w:pPr>
        <w:spacing w:line="640" w:lineRule="exact"/>
        <w:ind w:firstLine="640"/>
        <w:jc w:val="both"/>
        <w:outlineLvl w:val="2"/>
      </w:pPr>
      <w:r>
        <w:rPr>
          <w:rFonts w:ascii="黑体" w:hAnsi="黑体" w:eastAsia="黑体"/>
          <w:sz w:val="32"/>
        </w:rPr>
        <w:t>七、政府性基金预算财政拨款收入支出决算情况说明</w:t>
      </w:r>
    </w:p>
    <w:p w14:paraId="413692D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C10BF3C">
      <w:pPr>
        <w:spacing w:line="640" w:lineRule="exact"/>
        <w:ind w:firstLine="640"/>
        <w:jc w:val="both"/>
        <w:outlineLvl w:val="2"/>
      </w:pPr>
      <w:r>
        <w:rPr>
          <w:rFonts w:ascii="黑体" w:hAnsi="黑体" w:eastAsia="黑体"/>
          <w:sz w:val="32"/>
        </w:rPr>
        <w:t>八、国有资本经营预算财政拨款收入支出决算情况说明</w:t>
      </w:r>
    </w:p>
    <w:p w14:paraId="398CDE8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1925320">
      <w:pPr>
        <w:spacing w:line="640" w:lineRule="exact"/>
        <w:ind w:firstLine="640"/>
        <w:jc w:val="both"/>
        <w:outlineLvl w:val="2"/>
      </w:pPr>
      <w:r>
        <w:rPr>
          <w:rFonts w:ascii="黑体" w:hAnsi="黑体" w:eastAsia="黑体"/>
          <w:sz w:val="32"/>
        </w:rPr>
        <w:t>九、财政拨款“三公”经费支出决算情况说明</w:t>
      </w:r>
    </w:p>
    <w:p w14:paraId="5C3B6BB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D51C48A">
      <w:pPr>
        <w:spacing w:line="580" w:lineRule="exact"/>
        <w:ind w:firstLine="640"/>
        <w:jc w:val="both"/>
      </w:pPr>
      <w:r>
        <w:rPr>
          <w:rFonts w:ascii="仿宋_GB2312" w:hAnsi="仿宋_GB2312" w:eastAsia="仿宋_GB2312"/>
          <w:b/>
          <w:sz w:val="32"/>
        </w:rPr>
        <w:t>具体情况如下：</w:t>
      </w:r>
    </w:p>
    <w:p w14:paraId="5F2FAD5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074792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65020F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C619D1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59870A5">
      <w:pPr>
        <w:spacing w:line="640" w:lineRule="exact"/>
        <w:ind w:firstLine="640"/>
        <w:jc w:val="both"/>
        <w:outlineLvl w:val="2"/>
      </w:pPr>
      <w:r>
        <w:rPr>
          <w:rFonts w:ascii="黑体" w:hAnsi="黑体" w:eastAsia="黑体"/>
          <w:sz w:val="32"/>
        </w:rPr>
        <w:t>十、其他重要事项的情况说明</w:t>
      </w:r>
    </w:p>
    <w:p w14:paraId="2E7F381B">
      <w:pPr>
        <w:spacing w:line="640" w:lineRule="exact"/>
        <w:ind w:firstLine="640"/>
        <w:jc w:val="both"/>
        <w:outlineLvl w:val="3"/>
      </w:pPr>
      <w:r>
        <w:rPr>
          <w:rFonts w:ascii="楷体_GB2312" w:hAnsi="楷体_GB2312" w:eastAsia="楷体_GB2312"/>
          <w:b/>
          <w:sz w:val="32"/>
        </w:rPr>
        <w:t>（一）机关运行经费及公用经费支出情况</w:t>
      </w:r>
    </w:p>
    <w:p w14:paraId="5D6A65AE">
      <w:pPr>
        <w:spacing w:line="580" w:lineRule="exact"/>
        <w:ind w:firstLine="640"/>
        <w:jc w:val="both"/>
      </w:pPr>
      <w:r>
        <w:rPr>
          <w:rFonts w:ascii="仿宋_GB2312" w:hAnsi="仿宋_GB2312" w:eastAsia="仿宋_GB2312"/>
          <w:b w:val="0"/>
          <w:sz w:val="32"/>
        </w:rPr>
        <w:t>2024年度阿克陶县喀热开其克乡中心幼儿园（事业单位）公用经费支出0.00万元，比上年增加0.00万元，增长0.00%，主要原因是：2023年与2024年均未安排公用经费支出。</w:t>
      </w:r>
    </w:p>
    <w:p w14:paraId="48D1D6B2">
      <w:pPr>
        <w:spacing w:line="640" w:lineRule="exact"/>
        <w:ind w:firstLine="640"/>
        <w:jc w:val="both"/>
        <w:outlineLvl w:val="3"/>
      </w:pPr>
      <w:r>
        <w:rPr>
          <w:rFonts w:ascii="楷体_GB2312" w:hAnsi="楷体_GB2312" w:eastAsia="楷体_GB2312"/>
          <w:b/>
          <w:sz w:val="32"/>
        </w:rPr>
        <w:t>（二）政府采购情况</w:t>
      </w:r>
    </w:p>
    <w:p w14:paraId="314B0A72">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0E25731C">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A59CC88">
      <w:pPr>
        <w:spacing w:line="640" w:lineRule="exact"/>
        <w:ind w:firstLine="640"/>
        <w:jc w:val="both"/>
        <w:outlineLvl w:val="3"/>
      </w:pPr>
      <w:r>
        <w:rPr>
          <w:rFonts w:ascii="楷体_GB2312" w:hAnsi="楷体_GB2312" w:eastAsia="楷体_GB2312"/>
          <w:b/>
          <w:sz w:val="32"/>
        </w:rPr>
        <w:t>（三）国有资产占用情况说明</w:t>
      </w:r>
    </w:p>
    <w:p w14:paraId="153F36FB">
      <w:pPr>
        <w:spacing w:line="580" w:lineRule="exact"/>
        <w:ind w:firstLine="640"/>
        <w:jc w:val="both"/>
      </w:pPr>
      <w:r>
        <w:rPr>
          <w:rFonts w:ascii="仿宋_GB2312" w:hAnsi="仿宋_GB2312" w:eastAsia="仿宋_GB2312"/>
          <w:b w:val="0"/>
          <w:sz w:val="32"/>
        </w:rPr>
        <w:t>截至2024年12月31日，房屋1,096.00平方米，价值182.46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bookmarkStart w:id="0" w:name="_GoBack"/>
      <w:bookmarkEnd w:id="0"/>
    </w:p>
    <w:p w14:paraId="19DDD58C">
      <w:pPr>
        <w:spacing w:line="640" w:lineRule="exact"/>
        <w:ind w:firstLine="640"/>
        <w:jc w:val="both"/>
        <w:outlineLvl w:val="2"/>
      </w:pPr>
      <w:r>
        <w:rPr>
          <w:rFonts w:ascii="黑体" w:hAnsi="黑体" w:eastAsia="黑体"/>
          <w:sz w:val="32"/>
        </w:rPr>
        <w:t>十一、预算绩效的情况说明</w:t>
      </w:r>
    </w:p>
    <w:p w14:paraId="0DC7151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841.63万元，实际执行总额841.63万元；预算绩效评价项目0个，全年预算数0.00万元，全年执行数0.00万元。预算绩效管理取得的成效：本年本单位无绩效自评项目。发现的问题及原因：本年本单位无绩效自评项目。下一步改进措施：本年本单位无绩效自评项目。具体附整体支出绩效自评表。</w:t>
      </w:r>
    </w:p>
    <w:p w14:paraId="2BF1F97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5588326">
        <w:tblPrEx>
          <w:tblCellMar>
            <w:top w:w="0" w:type="dxa"/>
            <w:left w:w="108" w:type="dxa"/>
            <w:bottom w:w="0" w:type="dxa"/>
            <w:right w:w="108" w:type="dxa"/>
          </w:tblCellMar>
        </w:tblPrEx>
        <w:tc>
          <w:tcPr>
            <w:tcW w:w="8840" w:type="dxa"/>
            <w:gridSpan w:val="8"/>
            <w:vAlign w:val="center"/>
          </w:tcPr>
          <w:p w14:paraId="6E97CD94">
            <w:pPr>
              <w:jc w:val="center"/>
            </w:pPr>
            <w:r>
              <w:rPr>
                <w:rFonts w:ascii="宋体" w:hAnsi="宋体" w:eastAsia="宋体"/>
                <w:sz w:val="24"/>
              </w:rPr>
              <w:t>单位整体支出绩效自评表</w:t>
            </w:r>
          </w:p>
        </w:tc>
      </w:tr>
      <w:tr w14:paraId="39DE5D05">
        <w:tblPrEx>
          <w:tblCellMar>
            <w:top w:w="0" w:type="dxa"/>
            <w:left w:w="108" w:type="dxa"/>
            <w:bottom w:w="0" w:type="dxa"/>
            <w:right w:w="108" w:type="dxa"/>
          </w:tblCellMar>
        </w:tblPrEx>
        <w:tc>
          <w:tcPr>
            <w:tcW w:w="8840" w:type="dxa"/>
            <w:gridSpan w:val="8"/>
            <w:vAlign w:val="center"/>
          </w:tcPr>
          <w:p w14:paraId="23BBDA76">
            <w:pPr>
              <w:jc w:val="center"/>
            </w:pPr>
            <w:r>
              <w:rPr>
                <w:rFonts w:ascii="宋体" w:hAnsi="宋体" w:eastAsia="宋体"/>
                <w:sz w:val="24"/>
              </w:rPr>
              <w:t>（2024年度）</w:t>
            </w:r>
          </w:p>
        </w:tc>
      </w:tr>
      <w:tr w14:paraId="1E67C3F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9168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5292A8">
            <w:pPr>
              <w:jc w:val="center"/>
            </w:pPr>
            <w:r>
              <w:rPr>
                <w:rFonts w:ascii="宋体" w:hAnsi="宋体" w:eastAsia="宋体"/>
                <w:sz w:val="16"/>
              </w:rPr>
              <w:t>阿克陶县喀热开其克乡中心幼儿园</w:t>
            </w:r>
          </w:p>
        </w:tc>
      </w:tr>
      <w:tr w14:paraId="21D3E78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37D67">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F53C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AEAE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7DE0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5887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0F88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88436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EA061">
            <w:pPr>
              <w:jc w:val="center"/>
            </w:pPr>
            <w:r>
              <w:rPr>
                <w:rFonts w:ascii="宋体" w:hAnsi="宋体" w:eastAsia="宋体"/>
                <w:sz w:val="16"/>
              </w:rPr>
              <w:t>得分</w:t>
            </w:r>
          </w:p>
        </w:tc>
      </w:tr>
      <w:tr w14:paraId="20CF63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E35A2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31B58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CFEDB">
            <w:pPr>
              <w:jc w:val="center"/>
            </w:pPr>
            <w:r>
              <w:rPr>
                <w:rFonts w:ascii="宋体" w:hAnsi="宋体" w:eastAsia="宋体"/>
                <w:sz w:val="16"/>
              </w:rPr>
              <w:t>808.84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8CCAD">
            <w:pPr>
              <w:jc w:val="center"/>
            </w:pPr>
            <w:r>
              <w:rPr>
                <w:rFonts w:ascii="宋体" w:hAnsi="宋体" w:eastAsia="宋体"/>
                <w:sz w:val="16"/>
              </w:rPr>
              <w:t>841.63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17B08">
            <w:pPr>
              <w:jc w:val="center"/>
            </w:pPr>
            <w:r>
              <w:rPr>
                <w:rFonts w:ascii="宋体" w:hAnsi="宋体" w:eastAsia="宋体"/>
                <w:sz w:val="16"/>
              </w:rPr>
              <w:t>841.63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6100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0F5CE">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42B81">
            <w:pPr>
              <w:jc w:val="center"/>
            </w:pPr>
            <w:r>
              <w:rPr>
                <w:rFonts w:ascii="宋体" w:hAnsi="宋体" w:eastAsia="宋体"/>
                <w:sz w:val="16"/>
              </w:rPr>
              <w:t>10</w:t>
            </w:r>
          </w:p>
        </w:tc>
      </w:tr>
      <w:tr w14:paraId="654A7FC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55D4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3B8302">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0AD9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92BB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BE27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537D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2FA0E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474171">
            <w:pPr>
              <w:jc w:val="center"/>
            </w:pPr>
            <w:r>
              <w:rPr>
                <w:rFonts w:ascii="宋体" w:hAnsi="宋体" w:eastAsia="宋体"/>
                <w:sz w:val="16"/>
              </w:rPr>
              <w:t>—</w:t>
            </w:r>
          </w:p>
        </w:tc>
      </w:tr>
      <w:tr w14:paraId="79AD6C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18675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2648A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907A6">
            <w:pPr>
              <w:jc w:val="center"/>
            </w:pPr>
            <w:r>
              <w:rPr>
                <w:rFonts w:ascii="宋体" w:hAnsi="宋体" w:eastAsia="宋体"/>
                <w:sz w:val="16"/>
              </w:rPr>
              <w:t>808.84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E0B956">
            <w:pPr>
              <w:jc w:val="center"/>
            </w:pPr>
            <w:r>
              <w:rPr>
                <w:rFonts w:ascii="宋体" w:hAnsi="宋体" w:eastAsia="宋体"/>
                <w:sz w:val="16"/>
              </w:rPr>
              <w:t>841.63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33B82">
            <w:pPr>
              <w:jc w:val="center"/>
            </w:pPr>
            <w:r>
              <w:rPr>
                <w:rFonts w:ascii="宋体" w:hAnsi="宋体" w:eastAsia="宋体"/>
                <w:sz w:val="16"/>
              </w:rPr>
              <w:t>841.63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4C04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D36A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0182D">
            <w:pPr>
              <w:jc w:val="center"/>
            </w:pPr>
            <w:r>
              <w:rPr>
                <w:rFonts w:ascii="宋体" w:hAnsi="宋体" w:eastAsia="宋体"/>
                <w:sz w:val="16"/>
              </w:rPr>
              <w:t>—</w:t>
            </w:r>
          </w:p>
        </w:tc>
      </w:tr>
      <w:tr w14:paraId="2D557E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0326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264B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A0B12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4F77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7E47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4D6A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A238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27EF7">
            <w:pPr>
              <w:jc w:val="center"/>
            </w:pPr>
            <w:r>
              <w:rPr>
                <w:rFonts w:ascii="宋体" w:hAnsi="宋体" w:eastAsia="宋体"/>
                <w:sz w:val="16"/>
              </w:rPr>
              <w:t>—</w:t>
            </w:r>
          </w:p>
        </w:tc>
      </w:tr>
      <w:tr w14:paraId="4FAAED7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0374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C6116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6340B2">
            <w:pPr>
              <w:jc w:val="center"/>
            </w:pPr>
            <w:r>
              <w:rPr>
                <w:rFonts w:ascii="宋体" w:hAnsi="宋体" w:eastAsia="宋体"/>
                <w:sz w:val="16"/>
              </w:rPr>
              <w:t>实际完成情况</w:t>
            </w:r>
          </w:p>
        </w:tc>
      </w:tr>
      <w:tr w14:paraId="20CFF39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FB227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0FD53E">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E204CC">
            <w:pPr>
              <w:jc w:val="both"/>
            </w:pPr>
            <w:r>
              <w:rPr>
                <w:rFonts w:ascii="宋体" w:hAnsi="宋体" w:eastAsia="宋体"/>
                <w:sz w:val="16"/>
              </w:rPr>
              <w:t>确保了39人在职人员的工资、津贴、补贴、社保、医保、公积金等能够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3F16CA4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7413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857C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CE132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5C35C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53A6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8428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66F2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13DE37">
            <w:pPr>
              <w:jc w:val="center"/>
            </w:pPr>
            <w:r>
              <w:rPr>
                <w:rFonts w:ascii="宋体" w:hAnsi="宋体" w:eastAsia="宋体"/>
                <w:sz w:val="16"/>
              </w:rPr>
              <w:t>得分</w:t>
            </w:r>
          </w:p>
        </w:tc>
      </w:tr>
      <w:tr w14:paraId="766D6CB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07CC5">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A9FF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73DFB2">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F77FB">
            <w:pPr>
              <w:jc w:val="center"/>
            </w:pPr>
            <w:r>
              <w:rPr>
                <w:rFonts w:ascii="宋体" w:hAnsi="宋体" w:eastAsia="宋体"/>
                <w:sz w:val="16"/>
              </w:rPr>
              <w:t>&gt;=39人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5266B">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823D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B3E8FE">
            <w:pPr>
              <w:jc w:val="center"/>
            </w:pPr>
            <w:r>
              <w:rPr>
                <w:rFonts w:ascii="宋体" w:hAnsi="宋体" w:eastAsia="宋体"/>
                <w:sz w:val="16"/>
              </w:rPr>
              <w:t>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389CF">
            <w:pPr>
              <w:jc w:val="center"/>
            </w:pPr>
            <w:r>
              <w:rPr>
                <w:rFonts w:ascii="宋体" w:hAnsi="宋体" w:eastAsia="宋体"/>
                <w:sz w:val="16"/>
              </w:rPr>
              <w:t>10</w:t>
            </w:r>
          </w:p>
        </w:tc>
      </w:tr>
      <w:tr w14:paraId="7ED17B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1EDFC6"/>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444B5">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C954A">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59C21">
            <w:pPr>
              <w:jc w:val="center"/>
            </w:pPr>
            <w:r>
              <w:rPr>
                <w:rFonts w:ascii="宋体" w:hAnsi="宋体" w:eastAsia="宋体"/>
                <w:sz w:val="16"/>
              </w:rPr>
              <w:t>&lt;=799.09万元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C9A774">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3000C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667DC">
            <w:pPr>
              <w:jc w:val="center"/>
            </w:pPr>
            <w:r>
              <w:rPr>
                <w:rFonts w:ascii="宋体" w:hAnsi="宋体" w:eastAsia="宋体"/>
                <w:sz w:val="16"/>
              </w:rPr>
              <w:t>809.30万元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588A6">
            <w:pPr>
              <w:jc w:val="center"/>
            </w:pPr>
            <w:r>
              <w:rPr>
                <w:rFonts w:ascii="宋体" w:hAnsi="宋体" w:eastAsia="宋体"/>
                <w:sz w:val="16"/>
              </w:rPr>
              <w:t>9.87</w:t>
            </w:r>
          </w:p>
        </w:tc>
      </w:tr>
      <w:tr w14:paraId="101CFE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8A312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E762B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F1510">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E6434">
            <w:pPr>
              <w:jc w:val="center"/>
            </w:pPr>
            <w:r>
              <w:rPr>
                <w:rFonts w:ascii="宋体" w:hAnsi="宋体" w:eastAsia="宋体"/>
                <w:sz w:val="16"/>
              </w:rPr>
              <w:t>&lt;=9.76万元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034D2">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0FB4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FA25A">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92428">
            <w:pPr>
              <w:jc w:val="center"/>
            </w:pPr>
            <w:r>
              <w:rPr>
                <w:rFonts w:ascii="宋体" w:hAnsi="宋体" w:eastAsia="宋体"/>
                <w:sz w:val="16"/>
              </w:rPr>
              <w:t>0</w:t>
            </w:r>
          </w:p>
        </w:tc>
      </w:tr>
      <w:tr w14:paraId="4B41C94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F70D0">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B0FC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9FBE6">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A53BC">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58F598">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53D8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5EABC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8781B">
            <w:pPr>
              <w:jc w:val="center"/>
            </w:pPr>
            <w:r>
              <w:rPr>
                <w:rFonts w:ascii="宋体" w:hAnsi="宋体" w:eastAsia="宋体"/>
                <w:sz w:val="16"/>
              </w:rPr>
              <w:t>15</w:t>
            </w:r>
          </w:p>
        </w:tc>
      </w:tr>
      <w:tr w14:paraId="636CEC1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7DC0E">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DD63F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D1BC3">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6C92D5">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9784A">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E9972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F106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537373">
            <w:pPr>
              <w:jc w:val="center"/>
            </w:pPr>
            <w:r>
              <w:rPr>
                <w:rFonts w:ascii="宋体" w:hAnsi="宋体" w:eastAsia="宋体"/>
                <w:sz w:val="16"/>
              </w:rPr>
              <w:t>15</w:t>
            </w:r>
          </w:p>
        </w:tc>
      </w:tr>
      <w:tr w14:paraId="485F438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FAE648">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A3BDF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06D5F">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D0FEAD">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DA553">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26FC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2DDA5">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1857D">
            <w:pPr>
              <w:jc w:val="center"/>
            </w:pPr>
            <w:r>
              <w:rPr>
                <w:rFonts w:ascii="宋体" w:hAnsi="宋体" w:eastAsia="宋体"/>
                <w:sz w:val="16"/>
              </w:rPr>
              <w:t>10</w:t>
            </w:r>
          </w:p>
        </w:tc>
      </w:tr>
      <w:tr w14:paraId="4252CE1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8877E">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1FB51">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A61C6">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F732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8E768B">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1277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894D6A">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94701">
            <w:pPr>
              <w:jc w:val="center"/>
            </w:pPr>
            <w:r>
              <w:rPr>
                <w:rFonts w:ascii="宋体" w:hAnsi="宋体" w:eastAsia="宋体"/>
                <w:sz w:val="16"/>
              </w:rPr>
              <w:t>10</w:t>
            </w:r>
          </w:p>
        </w:tc>
      </w:tr>
      <w:tr w14:paraId="1CD8D64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68C3D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9C3C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F7EC68">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E9F8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77B7E">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7FA2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3E4E9">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84919A">
            <w:pPr>
              <w:jc w:val="center"/>
            </w:pPr>
            <w:r>
              <w:rPr>
                <w:rFonts w:ascii="宋体" w:hAnsi="宋体" w:eastAsia="宋体"/>
                <w:sz w:val="16"/>
              </w:rPr>
              <w:t>10</w:t>
            </w:r>
          </w:p>
        </w:tc>
      </w:tr>
    </w:tbl>
    <w:p w14:paraId="36EA28F6">
      <w:r>
        <w:br w:type="page"/>
      </w:r>
    </w:p>
    <w:p w14:paraId="04FD4EA6">
      <w:pPr>
        <w:spacing w:line="640" w:lineRule="exact"/>
        <w:ind w:firstLine="640"/>
        <w:jc w:val="both"/>
        <w:outlineLvl w:val="2"/>
      </w:pPr>
      <w:r>
        <w:rPr>
          <w:rFonts w:ascii="黑体" w:hAnsi="黑体" w:eastAsia="黑体"/>
          <w:sz w:val="32"/>
        </w:rPr>
        <w:t>十二、其他需说明的事项</w:t>
      </w:r>
    </w:p>
    <w:p w14:paraId="76C9C2D7">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7E324827">
      <w:r>
        <w:br w:type="page"/>
      </w:r>
    </w:p>
    <w:p w14:paraId="3102C16F">
      <w:pPr>
        <w:spacing w:line="240" w:lineRule="auto"/>
        <w:jc w:val="center"/>
        <w:outlineLvl w:val="1"/>
      </w:pPr>
      <w:r>
        <w:rPr>
          <w:rFonts w:ascii="黑体" w:hAnsi="黑体" w:eastAsia="黑体"/>
          <w:sz w:val="32"/>
        </w:rPr>
        <w:t>第三部分 专业名词解释</w:t>
      </w:r>
    </w:p>
    <w:p w14:paraId="4AC8E77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3520D6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ED6344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84B3C7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1AD573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BB03F4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9282CE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02125D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84641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E12ABE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4CD68F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F0A2CE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5995F2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46D4D6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ECC9EEE">
      <w:r>
        <w:br w:type="page"/>
      </w:r>
    </w:p>
    <w:p w14:paraId="69F8A21E">
      <w:pPr>
        <w:spacing w:line="240" w:lineRule="auto"/>
        <w:jc w:val="center"/>
        <w:outlineLvl w:val="1"/>
      </w:pPr>
      <w:r>
        <w:rPr>
          <w:rFonts w:ascii="黑体" w:hAnsi="黑体" w:eastAsia="黑体"/>
          <w:sz w:val="32"/>
        </w:rPr>
        <w:t>第四部分 部门决算报表（见附表）</w:t>
      </w:r>
    </w:p>
    <w:p w14:paraId="322498A7">
      <w:pPr>
        <w:spacing w:line="240" w:lineRule="auto"/>
        <w:ind w:firstLine="640"/>
        <w:jc w:val="both"/>
      </w:pPr>
      <w:r>
        <w:rPr>
          <w:rFonts w:ascii="仿宋_GB2312" w:hAnsi="仿宋_GB2312" w:eastAsia="仿宋_GB2312"/>
          <w:b w:val="0"/>
          <w:sz w:val="32"/>
        </w:rPr>
        <w:t>一、《收入支出决算总表》</w:t>
      </w:r>
    </w:p>
    <w:p w14:paraId="6501B4BF">
      <w:pPr>
        <w:spacing w:line="240" w:lineRule="auto"/>
        <w:ind w:firstLine="640"/>
        <w:jc w:val="both"/>
      </w:pPr>
      <w:r>
        <w:rPr>
          <w:rFonts w:ascii="仿宋_GB2312" w:hAnsi="仿宋_GB2312" w:eastAsia="仿宋_GB2312"/>
          <w:b w:val="0"/>
          <w:sz w:val="32"/>
        </w:rPr>
        <w:t>二、《收入决算表》</w:t>
      </w:r>
    </w:p>
    <w:p w14:paraId="5AF38286">
      <w:pPr>
        <w:spacing w:line="240" w:lineRule="auto"/>
        <w:ind w:firstLine="640"/>
        <w:jc w:val="both"/>
      </w:pPr>
      <w:r>
        <w:rPr>
          <w:rFonts w:ascii="仿宋_GB2312" w:hAnsi="仿宋_GB2312" w:eastAsia="仿宋_GB2312"/>
          <w:b w:val="0"/>
          <w:sz w:val="32"/>
        </w:rPr>
        <w:t>三、《支出决算表》</w:t>
      </w:r>
    </w:p>
    <w:p w14:paraId="4418DFC6">
      <w:pPr>
        <w:spacing w:line="240" w:lineRule="auto"/>
        <w:ind w:firstLine="640"/>
        <w:jc w:val="both"/>
      </w:pPr>
      <w:r>
        <w:rPr>
          <w:rFonts w:ascii="仿宋_GB2312" w:hAnsi="仿宋_GB2312" w:eastAsia="仿宋_GB2312"/>
          <w:b w:val="0"/>
          <w:sz w:val="32"/>
        </w:rPr>
        <w:t>四、《财政拨款收入支出决算总表》</w:t>
      </w:r>
    </w:p>
    <w:p w14:paraId="09216E93">
      <w:pPr>
        <w:spacing w:line="240" w:lineRule="auto"/>
        <w:ind w:firstLine="640"/>
        <w:jc w:val="both"/>
      </w:pPr>
      <w:r>
        <w:rPr>
          <w:rFonts w:ascii="仿宋_GB2312" w:hAnsi="仿宋_GB2312" w:eastAsia="仿宋_GB2312"/>
          <w:b w:val="0"/>
          <w:sz w:val="32"/>
        </w:rPr>
        <w:t>五、《一般公共预算财政拨款支出决算表》</w:t>
      </w:r>
    </w:p>
    <w:p w14:paraId="45D9A1D2">
      <w:pPr>
        <w:spacing w:line="240" w:lineRule="auto"/>
        <w:ind w:firstLine="640"/>
        <w:jc w:val="both"/>
      </w:pPr>
      <w:r>
        <w:rPr>
          <w:rFonts w:ascii="仿宋_GB2312" w:hAnsi="仿宋_GB2312" w:eastAsia="仿宋_GB2312"/>
          <w:b w:val="0"/>
          <w:sz w:val="32"/>
        </w:rPr>
        <w:t>六、《一般公共预算财政拨款基本支出决算表》</w:t>
      </w:r>
    </w:p>
    <w:p w14:paraId="03286AEF">
      <w:pPr>
        <w:spacing w:line="240" w:lineRule="auto"/>
        <w:ind w:firstLine="640"/>
        <w:jc w:val="both"/>
      </w:pPr>
      <w:r>
        <w:rPr>
          <w:rFonts w:ascii="仿宋_GB2312" w:hAnsi="仿宋_GB2312" w:eastAsia="仿宋_GB2312"/>
          <w:b w:val="0"/>
          <w:sz w:val="32"/>
        </w:rPr>
        <w:t>七、《政府性基金预算财政拨款收入支出决算表》</w:t>
      </w:r>
    </w:p>
    <w:p w14:paraId="4AA71217">
      <w:pPr>
        <w:spacing w:line="240" w:lineRule="auto"/>
        <w:ind w:firstLine="640"/>
        <w:jc w:val="both"/>
      </w:pPr>
      <w:r>
        <w:rPr>
          <w:rFonts w:ascii="仿宋_GB2312" w:hAnsi="仿宋_GB2312" w:eastAsia="仿宋_GB2312"/>
          <w:b w:val="0"/>
          <w:sz w:val="32"/>
        </w:rPr>
        <w:t>八、《国有资本经营预算财政拨款收入支出决算表》</w:t>
      </w:r>
    </w:p>
    <w:p w14:paraId="1AAC98E5">
      <w:pPr>
        <w:spacing w:line="240" w:lineRule="auto"/>
        <w:ind w:firstLine="640"/>
        <w:jc w:val="both"/>
      </w:pPr>
      <w:r>
        <w:rPr>
          <w:rFonts w:ascii="仿宋_GB2312" w:hAnsi="仿宋_GB2312" w:eastAsia="仿宋_GB2312"/>
          <w:b w:val="0"/>
          <w:sz w:val="32"/>
        </w:rPr>
        <w:t>九、《财政拨款“三公”经费支出决算表》</w:t>
      </w:r>
    </w:p>
    <w:p w14:paraId="3A5E9639">
      <w:pPr>
        <w:spacing w:line="240" w:lineRule="auto"/>
        <w:ind w:firstLine="640"/>
        <w:jc w:val="both"/>
      </w:pPr>
    </w:p>
    <w:p w14:paraId="110F66C3">
      <w:pPr>
        <w:spacing w:line="240" w:lineRule="auto"/>
        <w:ind w:firstLine="640"/>
        <w:jc w:val="both"/>
      </w:pPr>
    </w:p>
    <w:p w14:paraId="649DC214">
      <w:pPr>
        <w:spacing w:line="240" w:lineRule="auto"/>
        <w:ind w:firstLine="640"/>
        <w:jc w:val="both"/>
      </w:pPr>
    </w:p>
    <w:p w14:paraId="6BF67DD6">
      <w:pPr>
        <w:spacing w:line="240" w:lineRule="auto"/>
        <w:ind w:firstLine="640"/>
        <w:jc w:val="both"/>
      </w:pPr>
    </w:p>
    <w:p w14:paraId="30FE77B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98359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213A27"/>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5178</Words>
  <Characters>5824</Characters>
  <Lines>0</Lines>
  <Paragraphs>0</Paragraphs>
  <TotalTime>2</TotalTime>
  <ScaleCrop>false</ScaleCrop>
  <LinksUpToDate>false</LinksUpToDate>
  <CharactersWithSpaces>5832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2025-09-15T08:54:13Z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