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阿克陶县丝路佳苑幼儿园2024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E92233">
      <w:r>
        <w:br w:type="page"/>
      </w:r>
    </w:p>
    <w:p w14:paraId="5D49AAB5">
      <w:pPr>
        <w:spacing w:line="640" w:lineRule="exact"/>
        <w:jc w:val="center"/>
        <w:outlineLvl w:val="1"/>
      </w:pPr>
      <w:r>
        <w:rPr>
          <w:rFonts w:ascii="黑体" w:hAnsi="黑体" w:eastAsia="黑体"/>
          <w:sz w:val="32"/>
        </w:rPr>
        <w:t>第一部分 单位概况</w:t>
      </w:r>
    </w:p>
    <w:p w14:paraId="55F2E8F1">
      <w:pPr>
        <w:spacing w:line="640" w:lineRule="exact"/>
        <w:ind w:firstLine="640"/>
        <w:jc w:val="both"/>
        <w:outlineLvl w:val="2"/>
      </w:pPr>
      <w:r>
        <w:rPr>
          <w:rFonts w:ascii="黑体" w:hAnsi="黑体" w:eastAsia="黑体"/>
          <w:sz w:val="32"/>
        </w:rPr>
        <w:t>一、主要职能</w:t>
      </w:r>
    </w:p>
    <w:p w14:paraId="3B2A9DFE">
      <w:pPr>
        <w:spacing w:line="580" w:lineRule="exact"/>
        <w:ind w:firstLine="640"/>
        <w:jc w:val="both"/>
      </w:pPr>
      <w:r>
        <w:rPr>
          <w:rFonts w:ascii="仿宋_GB2312" w:hAnsi="仿宋_GB2312" w:eastAsia="仿宋_GB2312"/>
          <w:sz w:val="32"/>
        </w:rPr>
        <w:t>宣传贯彻执行党和国家的教育方针、教育政策、教育法律和法规</w:t>
      </w:r>
      <w:r>
        <w:rPr>
          <w:rFonts w:hint="eastAsia" w:ascii="仿宋_GB2312" w:hAnsi="仿宋_GB2312" w:eastAsia="仿宋_GB2312"/>
          <w:sz w:val="32"/>
          <w:lang w:eastAsia="zh-CN"/>
        </w:rPr>
        <w:t>，</w:t>
      </w:r>
      <w:r>
        <w:rPr>
          <w:rFonts w:ascii="仿宋_GB2312" w:hAnsi="仿宋_GB2312" w:eastAsia="仿宋_GB2312"/>
          <w:sz w:val="32"/>
        </w:rPr>
        <w:t>贯彻执行上级教育行政单位的各项规章制度，教育目标和计划能够体现全面发展的培养目标，并做到层层分解，落实于各项活动之中。认真贯彻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原则，面向全体幼儿，做好分类指导因材施教。按照教育课程计划</w:t>
      </w:r>
      <w:r>
        <w:rPr>
          <w:rFonts w:hint="eastAsia" w:ascii="仿宋_GB2312" w:hAnsi="仿宋_GB2312" w:eastAsia="仿宋_GB2312"/>
          <w:sz w:val="32"/>
          <w:lang w:eastAsia="zh-CN"/>
        </w:rPr>
        <w:t>，</w:t>
      </w:r>
      <w:r>
        <w:rPr>
          <w:rFonts w:ascii="仿宋_GB2312" w:hAnsi="仿宋_GB2312" w:eastAsia="仿宋_GB2312"/>
          <w:sz w:val="32"/>
        </w:rPr>
        <w:t>开齐课程</w:t>
      </w:r>
      <w:r>
        <w:rPr>
          <w:rFonts w:hint="eastAsia" w:ascii="仿宋_GB2312" w:hAnsi="仿宋_GB2312" w:eastAsia="仿宋_GB2312"/>
          <w:sz w:val="32"/>
          <w:lang w:eastAsia="zh-CN"/>
        </w:rPr>
        <w:t>，</w:t>
      </w:r>
      <w:r>
        <w:rPr>
          <w:rFonts w:ascii="仿宋_GB2312" w:hAnsi="仿宋_GB2312" w:eastAsia="仿宋_GB2312"/>
          <w:sz w:val="32"/>
        </w:rPr>
        <w:t>开足课时</w:t>
      </w:r>
      <w:r>
        <w:rPr>
          <w:rFonts w:hint="eastAsia" w:ascii="仿宋_GB2312" w:hAnsi="仿宋_GB2312" w:eastAsia="仿宋_GB2312"/>
          <w:sz w:val="32"/>
          <w:lang w:eastAsia="zh-CN"/>
        </w:rPr>
        <w:t>，</w:t>
      </w:r>
      <w:r>
        <w:rPr>
          <w:rFonts w:ascii="仿宋_GB2312" w:hAnsi="仿宋_GB2312" w:eastAsia="仿宋_GB2312"/>
          <w:sz w:val="32"/>
        </w:rPr>
        <w:t>认真实施幼儿的教育教学管理</w:t>
      </w:r>
      <w:r>
        <w:rPr>
          <w:rFonts w:hint="eastAsia" w:ascii="仿宋_GB2312" w:hAnsi="仿宋_GB2312" w:eastAsia="仿宋_GB2312"/>
          <w:sz w:val="32"/>
          <w:lang w:eastAsia="zh-CN"/>
        </w:rPr>
        <w:t>，</w:t>
      </w:r>
      <w:r>
        <w:rPr>
          <w:rFonts w:ascii="仿宋_GB2312" w:hAnsi="仿宋_GB2312" w:eastAsia="仿宋_GB2312"/>
          <w:sz w:val="32"/>
        </w:rPr>
        <w:t>全面推进素质教育</w:t>
      </w:r>
      <w:r>
        <w:rPr>
          <w:rFonts w:hint="eastAsia" w:ascii="仿宋_GB2312" w:hAnsi="仿宋_GB2312" w:eastAsia="仿宋_GB2312"/>
          <w:sz w:val="32"/>
          <w:lang w:eastAsia="zh-CN"/>
        </w:rPr>
        <w:t>，</w:t>
      </w:r>
      <w:r>
        <w:rPr>
          <w:rFonts w:ascii="仿宋_GB2312" w:hAnsi="仿宋_GB2312" w:eastAsia="仿宋_GB2312"/>
          <w:sz w:val="32"/>
        </w:rPr>
        <w:t>全面提高教育教学质量，日常教学活动注重学生的个体差异，注重学生主体地位的发挥与幼儿行为习惯的培养，注重教学环境的创设及幼儿愉快学习方法的引导，多方位的开展教学，全面实施幼儿教育，</w:t>
      </w:r>
      <w:r>
        <w:rPr>
          <w:rFonts w:hint="eastAsia" w:ascii="仿宋_GB2312" w:hAnsi="仿宋_GB2312" w:eastAsia="仿宋_GB2312"/>
          <w:sz w:val="32"/>
          <w:lang w:eastAsia="zh-CN"/>
        </w:rPr>
        <w:t>在</w:t>
      </w:r>
      <w:r>
        <w:rPr>
          <w:rFonts w:ascii="仿宋_GB2312" w:hAnsi="仿宋_GB2312" w:eastAsia="仿宋_GB2312"/>
          <w:sz w:val="32"/>
        </w:rPr>
        <w:t>注重教学的同时紧抓德育教育。</w:t>
      </w:r>
    </w:p>
    <w:p w14:paraId="5F430B1D">
      <w:pPr>
        <w:spacing w:line="640" w:lineRule="exact"/>
        <w:ind w:firstLine="640"/>
        <w:jc w:val="both"/>
        <w:outlineLvl w:val="2"/>
      </w:pPr>
      <w:r>
        <w:rPr>
          <w:rFonts w:ascii="黑体" w:hAnsi="黑体" w:eastAsia="黑体"/>
          <w:sz w:val="32"/>
        </w:rPr>
        <w:t>二、机构设置及人员情况</w:t>
      </w:r>
    </w:p>
    <w:p w14:paraId="1DCE77AB">
      <w:pPr>
        <w:spacing w:line="580" w:lineRule="exact"/>
        <w:ind w:firstLine="640"/>
        <w:jc w:val="both"/>
      </w:pPr>
      <w:r>
        <w:rPr>
          <w:rFonts w:ascii="仿宋_GB2312" w:hAnsi="仿宋_GB2312" w:eastAsia="仿宋_GB2312"/>
          <w:sz w:val="32"/>
        </w:rPr>
        <w:t>阿克陶县丝路佳苑幼儿园2024年度，实有人数29人，其中：在职人员29人，增加0人；离休人员0人，增加0人；退休人员0人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669DA8AA">
      <w:pPr>
        <w:spacing w:line="580" w:lineRule="exact"/>
        <w:ind w:firstLine="640"/>
        <w:jc w:val="both"/>
      </w:pPr>
      <w:r>
        <w:rPr>
          <w:rFonts w:ascii="仿宋_GB2312" w:hAnsi="仿宋_GB2312" w:eastAsia="仿宋_GB2312"/>
          <w:sz w:val="32"/>
        </w:rPr>
        <w:t>阿克陶县丝路佳苑幼儿园无下属预算单位，下设4个科室，分别是：书记园长办公室、财务室、教师办公室、党员活动室。</w:t>
      </w:r>
    </w:p>
    <w:p w14:paraId="5D5489A9">
      <w:r>
        <w:br w:type="page"/>
      </w:r>
    </w:p>
    <w:p w14:paraId="08720E31">
      <w:pPr>
        <w:spacing w:line="240" w:lineRule="auto"/>
        <w:jc w:val="center"/>
        <w:outlineLvl w:val="1"/>
      </w:pPr>
      <w:r>
        <w:rPr>
          <w:rFonts w:ascii="黑体" w:hAnsi="黑体" w:eastAsia="黑体"/>
          <w:sz w:val="32"/>
        </w:rPr>
        <w:t>第二部分 部门决算情况说明</w:t>
      </w:r>
    </w:p>
    <w:p w14:paraId="41F7D82F">
      <w:pPr>
        <w:spacing w:line="640" w:lineRule="exact"/>
        <w:ind w:firstLine="640"/>
        <w:jc w:val="both"/>
        <w:outlineLvl w:val="2"/>
      </w:pPr>
      <w:r>
        <w:rPr>
          <w:rFonts w:ascii="黑体" w:hAnsi="黑体" w:eastAsia="黑体"/>
          <w:sz w:val="32"/>
        </w:rPr>
        <w:t>一、收入支出决算总体情况说明</w:t>
      </w:r>
    </w:p>
    <w:p w14:paraId="3CDDC121">
      <w:pPr>
        <w:spacing w:line="580" w:lineRule="exact"/>
        <w:ind w:firstLine="640"/>
        <w:jc w:val="both"/>
      </w:pPr>
      <w:r>
        <w:rPr>
          <w:rFonts w:ascii="仿宋_GB2312" w:hAnsi="仿宋_GB2312" w:eastAsia="仿宋_GB2312"/>
          <w:b/>
          <w:sz w:val="32"/>
        </w:rPr>
        <w:t>2024年度收入总计650.28万元，</w:t>
      </w:r>
      <w:r>
        <w:rPr>
          <w:rFonts w:ascii="仿宋_GB2312" w:hAnsi="仿宋_GB2312" w:eastAsia="仿宋_GB2312"/>
          <w:b w:val="0"/>
          <w:sz w:val="32"/>
        </w:rPr>
        <w:t>其中：本年收入合计650.28万元，使用非财政拨款结余（含专用结余）0.00万元，年初结转和结余0.00万元。</w:t>
      </w:r>
    </w:p>
    <w:p w14:paraId="7EAFA570">
      <w:pPr>
        <w:spacing w:line="580" w:lineRule="exact"/>
        <w:ind w:firstLine="640"/>
        <w:jc w:val="both"/>
      </w:pPr>
      <w:r>
        <w:rPr>
          <w:rFonts w:ascii="仿宋_GB2312" w:hAnsi="仿宋_GB2312" w:eastAsia="仿宋_GB2312"/>
          <w:b/>
          <w:sz w:val="32"/>
        </w:rPr>
        <w:t>2024年度支出总计650.28万元，</w:t>
      </w:r>
      <w:r>
        <w:rPr>
          <w:rFonts w:ascii="仿宋_GB2312" w:hAnsi="仿宋_GB2312" w:eastAsia="仿宋_GB2312"/>
          <w:b w:val="0"/>
          <w:sz w:val="32"/>
        </w:rPr>
        <w:t>其中：本年支出合计650.28万元，结余分配0.00万元，年末结转和结余0.00万元。</w:t>
      </w:r>
    </w:p>
    <w:p w14:paraId="532CA1FD">
      <w:pPr>
        <w:spacing w:line="580" w:lineRule="exact"/>
        <w:ind w:firstLine="640"/>
        <w:jc w:val="both"/>
      </w:pPr>
      <w:r>
        <w:rPr>
          <w:rFonts w:ascii="仿宋_GB2312" w:hAnsi="仿宋_GB2312" w:eastAsia="仿宋_GB2312"/>
          <w:b w:val="0"/>
          <w:sz w:val="32"/>
        </w:rPr>
        <w:t>收入支出总体与上年相比，减少30.85万元，下降4.53%，主要原因是：本年幼儿数减少，学前教育保障资金较上年减少。</w:t>
      </w:r>
    </w:p>
    <w:p w14:paraId="183E4578">
      <w:pPr>
        <w:spacing w:line="640" w:lineRule="exact"/>
        <w:ind w:firstLine="640"/>
        <w:jc w:val="both"/>
        <w:outlineLvl w:val="2"/>
      </w:pPr>
      <w:r>
        <w:rPr>
          <w:rFonts w:ascii="黑体" w:hAnsi="黑体" w:eastAsia="黑体"/>
          <w:sz w:val="32"/>
        </w:rPr>
        <w:t>二、收入决算情况说明</w:t>
      </w:r>
    </w:p>
    <w:p w14:paraId="737C7A6A">
      <w:pPr>
        <w:spacing w:line="580" w:lineRule="exact"/>
        <w:ind w:firstLine="640"/>
        <w:jc w:val="both"/>
      </w:pPr>
      <w:r>
        <w:rPr>
          <w:rFonts w:ascii="仿宋_GB2312" w:hAnsi="仿宋_GB2312" w:eastAsia="仿宋_GB2312"/>
          <w:b/>
          <w:sz w:val="32"/>
        </w:rPr>
        <w:t>本年收入650.28万元，</w:t>
      </w:r>
      <w:r>
        <w:rPr>
          <w:rFonts w:ascii="仿宋_GB2312" w:hAnsi="仿宋_GB2312" w:eastAsia="仿宋_GB2312"/>
          <w:b w:val="0"/>
          <w:sz w:val="32"/>
        </w:rPr>
        <w:t>其中：财政拨款收入650.28万元，占100.00%；上级补助收入0.00万元，占0.00%；事业收入0.00万元，占0.00%；经营收入0.00万元，占0.00%；附属单位上缴收入0.00万元，占0.00%；其他收入0.00万元，占0.00%。</w:t>
      </w:r>
    </w:p>
    <w:p w14:paraId="24BB6035">
      <w:pPr>
        <w:spacing w:line="640" w:lineRule="exact"/>
        <w:ind w:firstLine="640"/>
        <w:jc w:val="both"/>
        <w:outlineLvl w:val="2"/>
      </w:pPr>
      <w:r>
        <w:rPr>
          <w:rFonts w:ascii="黑体" w:hAnsi="黑体" w:eastAsia="黑体"/>
          <w:sz w:val="32"/>
        </w:rPr>
        <w:t>三、支出决算情况说明</w:t>
      </w:r>
    </w:p>
    <w:p w14:paraId="7B8C75A4">
      <w:pPr>
        <w:spacing w:line="580" w:lineRule="exact"/>
        <w:ind w:firstLine="640"/>
        <w:jc w:val="both"/>
      </w:pPr>
      <w:r>
        <w:rPr>
          <w:rFonts w:ascii="仿宋_GB2312" w:hAnsi="仿宋_GB2312" w:eastAsia="仿宋_GB2312"/>
          <w:b/>
          <w:sz w:val="32"/>
        </w:rPr>
        <w:t>本年支出650.28万元，</w:t>
      </w:r>
      <w:r>
        <w:rPr>
          <w:rFonts w:ascii="仿宋_GB2312" w:hAnsi="仿宋_GB2312" w:eastAsia="仿宋_GB2312"/>
          <w:b w:val="0"/>
          <w:sz w:val="32"/>
        </w:rPr>
        <w:t>其中：基本支出605.24万元，占93.07%；项目支出45.03万元，占6.92%；上缴上级支出0.00万元，占0.00%；经营支出0.00万元，占0.00%；对附属单位补助支出0.00万元，占0.00%。</w:t>
      </w:r>
    </w:p>
    <w:p w14:paraId="0E4421E6">
      <w:pPr>
        <w:spacing w:line="640" w:lineRule="exact"/>
        <w:ind w:firstLine="640"/>
        <w:jc w:val="both"/>
        <w:outlineLvl w:val="2"/>
      </w:pPr>
      <w:r>
        <w:rPr>
          <w:rFonts w:ascii="黑体" w:hAnsi="黑体" w:eastAsia="黑体"/>
          <w:sz w:val="32"/>
        </w:rPr>
        <w:t>四、财政拨款收入支出决算总体情况说明</w:t>
      </w:r>
    </w:p>
    <w:p w14:paraId="72160CFC">
      <w:pPr>
        <w:spacing w:line="580" w:lineRule="exact"/>
        <w:ind w:firstLine="640"/>
        <w:jc w:val="both"/>
      </w:pPr>
      <w:r>
        <w:rPr>
          <w:rFonts w:ascii="仿宋_GB2312" w:hAnsi="仿宋_GB2312" w:eastAsia="仿宋_GB2312"/>
          <w:b/>
          <w:sz w:val="32"/>
        </w:rPr>
        <w:t>2024年度财政拨款收入总计650.28万元，</w:t>
      </w:r>
      <w:r>
        <w:rPr>
          <w:rFonts w:ascii="仿宋_GB2312" w:hAnsi="仿宋_GB2312" w:eastAsia="仿宋_GB2312"/>
          <w:b w:val="0"/>
          <w:sz w:val="32"/>
        </w:rPr>
        <w:t>其中：年初财政拨款结转和结余0.00万元，本年财政拨款收入650.28万元。</w:t>
      </w:r>
      <w:r>
        <w:rPr>
          <w:rFonts w:ascii="仿宋_GB2312" w:hAnsi="仿宋_GB2312" w:eastAsia="仿宋_GB2312"/>
          <w:b/>
          <w:sz w:val="32"/>
        </w:rPr>
        <w:t>财政拨款支出总计650.28万元，</w:t>
      </w:r>
      <w:r>
        <w:rPr>
          <w:rFonts w:ascii="仿宋_GB2312" w:hAnsi="仿宋_GB2312" w:eastAsia="仿宋_GB2312"/>
          <w:b w:val="0"/>
          <w:sz w:val="32"/>
        </w:rPr>
        <w:t>其中：年末财政拨款结转和结余0.00万元，本年财政拨款支出650.28万元。</w:t>
      </w:r>
    </w:p>
    <w:p w14:paraId="23EA378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减少30.84万元，下降4.53%，主要原因是：本年幼儿数减少，学前教育保障资金较上年减少。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年初预算数610.16万元，决算数650.28万元，预决算差异率6.58%，主要原因是：年中追加人员工资、社保、公积金基数调增部分资金，导致预决算存在差异。</w:t>
      </w:r>
    </w:p>
    <w:p w14:paraId="5466A0C0">
      <w:pPr>
        <w:spacing w:line="640" w:lineRule="exact"/>
        <w:ind w:firstLine="640"/>
        <w:jc w:val="both"/>
        <w:outlineLvl w:val="2"/>
      </w:pPr>
      <w:r>
        <w:rPr>
          <w:rFonts w:ascii="黑体" w:hAnsi="黑体" w:eastAsia="黑体"/>
          <w:sz w:val="32"/>
        </w:rPr>
        <w:t>五、一般公共预算财政拨款支出决算情况说明</w:t>
      </w:r>
    </w:p>
    <w:p w14:paraId="2B408914">
      <w:pPr>
        <w:spacing w:line="640" w:lineRule="exact"/>
        <w:ind w:firstLine="640"/>
        <w:jc w:val="both"/>
        <w:outlineLvl w:val="3"/>
      </w:pPr>
      <w:r>
        <w:rPr>
          <w:rFonts w:ascii="楷体_GB2312" w:hAnsi="楷体_GB2312" w:eastAsia="楷体_GB2312"/>
          <w:b/>
          <w:sz w:val="32"/>
        </w:rPr>
        <w:t>（一）一般公共预算财政拨款支出决算总体情况</w:t>
      </w:r>
    </w:p>
    <w:p w14:paraId="214E2521">
      <w:pPr>
        <w:spacing w:line="580" w:lineRule="exact"/>
        <w:ind w:firstLine="640"/>
        <w:jc w:val="both"/>
      </w:pPr>
      <w:r>
        <w:rPr>
          <w:rFonts w:ascii="仿宋_GB2312" w:hAnsi="仿宋_GB2312" w:eastAsia="仿宋_GB2312"/>
          <w:b/>
          <w:sz w:val="32"/>
        </w:rPr>
        <w:t>2024年度一般公共预算财政拨款支出650.28万元，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减少30.84万元，下降4.53%，主要原因是：本年幼儿数减少，学前教育保障资金较上年减少。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年初预算数610.16万元，决算数650.28万元，预决算差异率6.58%，主要原因是：年中追加人员工资、社保、公积金基数调增部分资金，导致预决算存在差异。</w:t>
      </w:r>
    </w:p>
    <w:p w14:paraId="4D53C39E">
      <w:pPr>
        <w:spacing w:line="640" w:lineRule="exact"/>
        <w:ind w:firstLine="640"/>
        <w:jc w:val="both"/>
        <w:outlineLvl w:val="3"/>
      </w:pPr>
      <w:r>
        <w:rPr>
          <w:rFonts w:ascii="楷体_GB2312" w:hAnsi="楷体_GB2312" w:eastAsia="楷体_GB2312"/>
          <w:b/>
          <w:sz w:val="32"/>
        </w:rPr>
        <w:t>（二）一般公共预算财政拨款支出决算结构情况</w:t>
      </w:r>
    </w:p>
    <w:p w14:paraId="46EAAADC">
      <w:pPr>
        <w:spacing w:line="580" w:lineRule="exact"/>
        <w:ind w:firstLine="640"/>
        <w:jc w:val="both"/>
      </w:pPr>
      <w:r>
        <w:rPr>
          <w:rFonts w:ascii="仿宋_GB2312" w:hAnsi="仿宋_GB2312" w:eastAsia="仿宋_GB2312"/>
          <w:b w:val="0"/>
          <w:sz w:val="32"/>
        </w:rPr>
        <w:t>1.教育支出(类)650.28万元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58110A8B">
      <w:pPr>
        <w:spacing w:line="640" w:lineRule="exact"/>
        <w:ind w:firstLine="640"/>
        <w:jc w:val="both"/>
        <w:outlineLvl w:val="3"/>
      </w:pPr>
      <w:r>
        <w:rPr>
          <w:rFonts w:ascii="楷体_GB2312" w:hAnsi="楷体_GB2312" w:eastAsia="楷体_GB2312"/>
          <w:b/>
          <w:sz w:val="32"/>
        </w:rPr>
        <w:t>（三）一般公共预算财政拨款支出决算具体情况</w:t>
      </w:r>
    </w:p>
    <w:p w14:paraId="0BE42E09">
      <w:pPr>
        <w:spacing w:line="580" w:lineRule="exact"/>
        <w:ind w:firstLine="640"/>
        <w:jc w:val="both"/>
      </w:pPr>
      <w:r>
        <w:rPr>
          <w:rFonts w:ascii="仿宋_GB2312" w:hAnsi="仿宋_GB2312" w:eastAsia="仿宋_GB2312"/>
          <w:b w:val="0"/>
          <w:sz w:val="32"/>
        </w:rPr>
        <w:t>1.教育支出(类)普通教育(款)学前教育(项):支出决算数为650.28万元，比上年决算增加23.10万元，增长3.68%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主要原因是：本年在职人员工资调增，相关人员经费增加；科目调整，养老保险上年单独列支，本年调整至此科目，导致经费增加。</w:t>
      </w:r>
    </w:p>
    <w:p w14:paraId="6E140E5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2.社会保障和就业支出(类)行政事业单位养老支出(款)机关事业单位基本养老保险缴费支出(项):支出决算数为0.00万元，比上年决算减少53.94万元，下降100.00%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6E703B87">
      <w:pPr>
        <w:spacing w:line="640" w:lineRule="exact"/>
        <w:ind w:firstLine="640"/>
        <w:jc w:val="both"/>
        <w:outlineLvl w:val="2"/>
      </w:pPr>
      <w:r>
        <w:rPr>
          <w:rFonts w:ascii="黑体" w:hAnsi="黑体" w:eastAsia="黑体"/>
          <w:sz w:val="32"/>
        </w:rPr>
        <w:t>六、一般公共预算财政拨款基本支出决算情况说明</w:t>
      </w:r>
    </w:p>
    <w:p w14:paraId="222F2D2E">
      <w:pPr>
        <w:spacing w:line="580" w:lineRule="exact"/>
        <w:ind w:firstLine="640"/>
        <w:jc w:val="both"/>
      </w:pPr>
      <w:r>
        <w:rPr>
          <w:rFonts w:ascii="仿宋_GB2312" w:hAnsi="仿宋_GB2312" w:eastAsia="仿宋_GB2312"/>
          <w:b w:val="0"/>
          <w:sz w:val="32"/>
        </w:rPr>
        <w:t>2024年度一般公共预算财政拨款基本支出605.24万元，其中：</w:t>
      </w:r>
      <w:r>
        <w:rPr>
          <w:rFonts w:ascii="仿宋_GB2312" w:hAnsi="仿宋_GB2312" w:eastAsia="仿宋_GB2312"/>
          <w:b/>
          <w:sz w:val="32"/>
        </w:rPr>
        <w:t>人员经费605.24万元，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21D75C2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C7A750F">
      <w:pPr>
        <w:spacing w:line="640" w:lineRule="exact"/>
        <w:ind w:firstLine="640"/>
        <w:jc w:val="both"/>
        <w:outlineLvl w:val="2"/>
      </w:pPr>
      <w:r>
        <w:rPr>
          <w:rFonts w:ascii="黑体" w:hAnsi="黑体" w:eastAsia="黑体"/>
          <w:sz w:val="32"/>
        </w:rPr>
        <w:t>七、政府性基金预算财政拨款收入支出决算情况说明</w:t>
      </w:r>
    </w:p>
    <w:p w14:paraId="290466D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28AF802">
      <w:pPr>
        <w:spacing w:line="640" w:lineRule="exact"/>
        <w:ind w:firstLine="640"/>
        <w:jc w:val="both"/>
        <w:outlineLvl w:val="2"/>
      </w:pPr>
      <w:r>
        <w:rPr>
          <w:rFonts w:ascii="黑体" w:hAnsi="黑体" w:eastAsia="黑体"/>
          <w:sz w:val="32"/>
        </w:rPr>
        <w:t>八、国有资本经营预算财政拨款收入支出决算情况说明</w:t>
      </w:r>
    </w:p>
    <w:p w14:paraId="7673AC1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D1CCCD">
      <w:pPr>
        <w:spacing w:line="640" w:lineRule="exact"/>
        <w:ind w:firstLine="640"/>
        <w:jc w:val="both"/>
        <w:outlineLvl w:val="2"/>
      </w:pPr>
      <w:r>
        <w:rPr>
          <w:rFonts w:ascii="黑体" w:hAnsi="黑体" w:eastAsia="黑体"/>
          <w:sz w:val="32"/>
        </w:rPr>
        <w:t>九、财政拨款“三公”经费支出决算情况说明</w:t>
      </w:r>
    </w:p>
    <w:p w14:paraId="46E5849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E960B80">
      <w:pPr>
        <w:spacing w:line="580" w:lineRule="exact"/>
        <w:ind w:firstLine="640"/>
        <w:jc w:val="both"/>
      </w:pPr>
      <w:r>
        <w:rPr>
          <w:rFonts w:ascii="仿宋_GB2312" w:hAnsi="仿宋_GB2312" w:eastAsia="仿宋_GB2312"/>
          <w:b/>
          <w:sz w:val="32"/>
        </w:rPr>
        <w:t>具体情况如下：</w:t>
      </w:r>
    </w:p>
    <w:p w14:paraId="06F1403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24018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068566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0C212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BBA8663">
      <w:pPr>
        <w:spacing w:line="640" w:lineRule="exact"/>
        <w:ind w:firstLine="640"/>
        <w:jc w:val="both"/>
        <w:outlineLvl w:val="2"/>
      </w:pPr>
      <w:r>
        <w:rPr>
          <w:rFonts w:ascii="黑体" w:hAnsi="黑体" w:eastAsia="黑体"/>
          <w:sz w:val="32"/>
        </w:rPr>
        <w:t>十、其他重要事项的情况说明</w:t>
      </w:r>
    </w:p>
    <w:p w14:paraId="51834A9A">
      <w:pPr>
        <w:spacing w:line="640" w:lineRule="exact"/>
        <w:ind w:firstLine="640"/>
        <w:jc w:val="both"/>
        <w:outlineLvl w:val="3"/>
      </w:pPr>
      <w:r>
        <w:rPr>
          <w:rFonts w:ascii="楷体_GB2312" w:hAnsi="楷体_GB2312" w:eastAsia="楷体_GB2312"/>
          <w:b/>
          <w:sz w:val="32"/>
        </w:rPr>
        <w:t>（一）机关运行经费及公用经费支出情况</w:t>
      </w:r>
    </w:p>
    <w:p w14:paraId="4439BC4C">
      <w:pPr>
        <w:spacing w:line="580" w:lineRule="exact"/>
        <w:ind w:firstLine="640"/>
        <w:jc w:val="both"/>
      </w:pPr>
      <w:r>
        <w:rPr>
          <w:rFonts w:ascii="仿宋_GB2312" w:hAnsi="仿宋_GB2312" w:eastAsia="仿宋_GB2312"/>
          <w:b w:val="0"/>
          <w:sz w:val="32"/>
        </w:rPr>
        <w:t>2024年度阿克陶县丝路佳苑幼儿园（事业单位）公用经费支出0.00万元，比上年增加0.00万元，增长0.00%，主要原因是：2023年与2024年均未安排公用经费支出。</w:t>
      </w:r>
    </w:p>
    <w:p w14:paraId="66DC4A3C">
      <w:pPr>
        <w:spacing w:line="640" w:lineRule="exact"/>
        <w:ind w:firstLine="640"/>
        <w:jc w:val="both"/>
        <w:outlineLvl w:val="3"/>
      </w:pPr>
      <w:r>
        <w:rPr>
          <w:rFonts w:ascii="楷体_GB2312" w:hAnsi="楷体_GB2312" w:eastAsia="楷体_GB2312"/>
          <w:b/>
          <w:sz w:val="32"/>
        </w:rPr>
        <w:t>（二）政府采购情况</w:t>
      </w:r>
    </w:p>
    <w:p w14:paraId="448B7A70">
      <w:pPr>
        <w:spacing w:line="580" w:lineRule="exact"/>
        <w:ind w:firstLine="640"/>
        <w:jc w:val="both"/>
      </w:pPr>
      <w:r>
        <w:rPr>
          <w:rFonts w:ascii="仿宋_GB2312" w:hAnsi="仿宋_GB2312" w:eastAsia="仿宋_GB2312"/>
          <w:b w:val="0"/>
          <w:sz w:val="32"/>
        </w:rPr>
        <w:t>2024年度政府采购支出总额0.08万元，其中：政府采购货物支出0.08万元、政府采购工程支出0.00万元、政府采购服务支出0.00万元。</w:t>
      </w:r>
    </w:p>
    <w:p w14:paraId="115EBD45">
      <w:pPr>
        <w:spacing w:line="580" w:lineRule="exact"/>
        <w:ind w:firstLine="640"/>
        <w:jc w:val="both"/>
      </w:pPr>
      <w:r>
        <w:rPr>
          <w:rFonts w:ascii="仿宋_GB2312" w:hAnsi="仿宋_GB2312" w:eastAsia="仿宋_GB2312"/>
          <w:b w:val="0"/>
          <w:sz w:val="32"/>
        </w:rPr>
        <w:t>授予中小企业合同金额0.08万元，占政府采购支出总额的100.00%，其中：授予小微企业合同金额0.08万元，占政府采购支出总额的100.00%。</w:t>
      </w:r>
    </w:p>
    <w:p w14:paraId="2197411C">
      <w:pPr>
        <w:spacing w:line="640" w:lineRule="exact"/>
        <w:ind w:firstLine="640"/>
        <w:jc w:val="both"/>
        <w:outlineLvl w:val="3"/>
      </w:pPr>
      <w:r>
        <w:rPr>
          <w:rFonts w:ascii="楷体_GB2312" w:hAnsi="楷体_GB2312" w:eastAsia="楷体_GB2312"/>
          <w:b/>
          <w:sz w:val="32"/>
        </w:rPr>
        <w:t>（三）国有资产占用情况说明</w:t>
      </w:r>
    </w:p>
    <w:p w14:paraId="186885A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80C90E3">
      <w:pPr>
        <w:spacing w:line="640" w:lineRule="exact"/>
        <w:ind w:firstLine="640"/>
        <w:jc w:val="both"/>
        <w:outlineLvl w:val="2"/>
      </w:pPr>
      <w:r>
        <w:rPr>
          <w:rFonts w:ascii="黑体" w:hAnsi="黑体" w:eastAsia="黑体"/>
          <w:sz w:val="32"/>
        </w:rPr>
        <w:t>十一、预算绩效的情况说明</w:t>
      </w:r>
    </w:p>
    <w:p w14:paraId="14F9A0C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650.28万元，实际执行总额650.28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无预算绩效项目自评表。具体附整体支出绩效自评表。</w:t>
      </w:r>
    </w:p>
    <w:p w14:paraId="4CF7E24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6480EDB">
        <w:tblPrEx>
          <w:tblCellMar>
            <w:top w:w="0" w:type="dxa"/>
            <w:left w:w="108" w:type="dxa"/>
            <w:bottom w:w="0" w:type="dxa"/>
            <w:right w:w="108" w:type="dxa"/>
          </w:tblCellMar>
        </w:tblPrEx>
        <w:tc>
          <w:tcPr>
            <w:tcW w:w="8840" w:type="dxa"/>
            <w:gridSpan w:val="8"/>
            <w:vAlign w:val="center"/>
          </w:tcPr>
          <w:p w14:paraId="0FC11017">
            <w:pPr>
              <w:jc w:val="center"/>
            </w:pPr>
            <w:r>
              <w:rPr>
                <w:rFonts w:ascii="宋体" w:hAnsi="宋体" w:eastAsia="宋体"/>
                <w:sz w:val="24"/>
              </w:rPr>
              <w:t>单位整体支出绩效自评表</w:t>
            </w:r>
          </w:p>
        </w:tc>
      </w:tr>
      <w:tr w14:paraId="3B506F62">
        <w:tblPrEx>
          <w:tblCellMar>
            <w:top w:w="0" w:type="dxa"/>
            <w:left w:w="108" w:type="dxa"/>
            <w:bottom w:w="0" w:type="dxa"/>
            <w:right w:w="108" w:type="dxa"/>
          </w:tblCellMar>
        </w:tblPrEx>
        <w:tc>
          <w:tcPr>
            <w:tcW w:w="8840" w:type="dxa"/>
            <w:gridSpan w:val="8"/>
            <w:vAlign w:val="center"/>
          </w:tcPr>
          <w:p w14:paraId="5803BD74">
            <w:pPr>
              <w:jc w:val="center"/>
            </w:pPr>
            <w:r>
              <w:rPr>
                <w:rFonts w:ascii="宋体" w:hAnsi="宋体" w:eastAsia="宋体"/>
                <w:sz w:val="24"/>
              </w:rPr>
              <w:t>（2024年度）</w:t>
            </w:r>
          </w:p>
        </w:tc>
      </w:tr>
      <w:tr w14:paraId="597078C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3A78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5EB782">
            <w:pPr>
              <w:jc w:val="center"/>
            </w:pPr>
            <w:r>
              <w:rPr>
                <w:rFonts w:ascii="宋体" w:hAnsi="宋体" w:eastAsia="宋体"/>
                <w:sz w:val="16"/>
              </w:rPr>
              <w:t>阿克陶县丝路佳苑幼儿园</w:t>
            </w:r>
          </w:p>
        </w:tc>
      </w:tr>
      <w:tr w14:paraId="035FC45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3F76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CA3D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D1EA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D8AB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3E78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3C4B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022D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4CBEF">
            <w:pPr>
              <w:jc w:val="center"/>
            </w:pPr>
            <w:r>
              <w:rPr>
                <w:rFonts w:ascii="宋体" w:hAnsi="宋体" w:eastAsia="宋体"/>
                <w:sz w:val="16"/>
              </w:rPr>
              <w:t>得分</w:t>
            </w:r>
          </w:p>
        </w:tc>
      </w:tr>
      <w:tr w14:paraId="64ECA2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7F7C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1909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AAC80">
            <w:pPr>
              <w:jc w:val="center"/>
            </w:pPr>
            <w:r>
              <w:rPr>
                <w:rFonts w:ascii="宋体" w:hAnsi="宋体" w:eastAsia="宋体"/>
                <w:sz w:val="16"/>
              </w:rPr>
              <w:t>609.49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9687E">
            <w:pPr>
              <w:jc w:val="center"/>
            </w:pPr>
            <w:r>
              <w:rPr>
                <w:rFonts w:ascii="宋体" w:hAnsi="宋体" w:eastAsia="宋体"/>
                <w:sz w:val="16"/>
              </w:rPr>
              <w:t>650.28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3A562">
            <w:pPr>
              <w:jc w:val="center"/>
            </w:pPr>
            <w:r>
              <w:rPr>
                <w:rFonts w:ascii="宋体" w:hAnsi="宋体" w:eastAsia="宋体"/>
                <w:sz w:val="16"/>
              </w:rPr>
              <w:t>650.28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6A8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F4E1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54C7B">
            <w:pPr>
              <w:jc w:val="center"/>
            </w:pPr>
            <w:r>
              <w:rPr>
                <w:rFonts w:ascii="宋体" w:hAnsi="宋体" w:eastAsia="宋体"/>
                <w:sz w:val="16"/>
              </w:rPr>
              <w:t>10</w:t>
            </w:r>
          </w:p>
        </w:tc>
      </w:tr>
      <w:tr w14:paraId="57AB21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CBC6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00D3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DC0F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6E04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7DCC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021B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1B1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C9BE4">
            <w:pPr>
              <w:jc w:val="center"/>
            </w:pPr>
            <w:r>
              <w:rPr>
                <w:rFonts w:ascii="宋体" w:hAnsi="宋体" w:eastAsia="宋体"/>
                <w:sz w:val="16"/>
              </w:rPr>
              <w:t>—</w:t>
            </w:r>
          </w:p>
        </w:tc>
      </w:tr>
      <w:tr w14:paraId="352831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FCD9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369C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A791F">
            <w:pPr>
              <w:jc w:val="center"/>
            </w:pPr>
            <w:r>
              <w:rPr>
                <w:rFonts w:ascii="宋体" w:hAnsi="宋体" w:eastAsia="宋体"/>
                <w:sz w:val="16"/>
              </w:rPr>
              <w:t>609.49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3B54F">
            <w:pPr>
              <w:jc w:val="center"/>
            </w:pPr>
            <w:r>
              <w:rPr>
                <w:rFonts w:ascii="宋体" w:hAnsi="宋体" w:eastAsia="宋体"/>
                <w:sz w:val="16"/>
              </w:rPr>
              <w:t>650.28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12F3A">
            <w:pPr>
              <w:jc w:val="center"/>
            </w:pPr>
            <w:r>
              <w:rPr>
                <w:rFonts w:ascii="宋体" w:hAnsi="宋体" w:eastAsia="宋体"/>
                <w:sz w:val="16"/>
              </w:rPr>
              <w:t>650.28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D48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82E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61655">
            <w:pPr>
              <w:jc w:val="center"/>
            </w:pPr>
            <w:r>
              <w:rPr>
                <w:rFonts w:ascii="宋体" w:hAnsi="宋体" w:eastAsia="宋体"/>
                <w:sz w:val="16"/>
              </w:rPr>
              <w:t>—</w:t>
            </w:r>
          </w:p>
        </w:tc>
      </w:tr>
      <w:tr w14:paraId="78E4F1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C3C0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D64A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281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7A88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047C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530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D75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BBEF6">
            <w:pPr>
              <w:jc w:val="center"/>
            </w:pPr>
            <w:r>
              <w:rPr>
                <w:rFonts w:ascii="宋体" w:hAnsi="宋体" w:eastAsia="宋体"/>
                <w:sz w:val="16"/>
              </w:rPr>
              <w:t>—</w:t>
            </w:r>
          </w:p>
        </w:tc>
      </w:tr>
      <w:tr w14:paraId="025701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C518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D765C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090220">
            <w:pPr>
              <w:jc w:val="center"/>
            </w:pPr>
            <w:r>
              <w:rPr>
                <w:rFonts w:ascii="宋体" w:hAnsi="宋体" w:eastAsia="宋体"/>
                <w:sz w:val="16"/>
              </w:rPr>
              <w:t>实际完成情况</w:t>
            </w:r>
          </w:p>
        </w:tc>
      </w:tr>
      <w:tr w14:paraId="585C14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3E394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771CF6">
            <w:pPr>
              <w:jc w:val="both"/>
            </w:pPr>
            <w:r>
              <w:rPr>
                <w:rFonts w:ascii="宋体" w:hAnsi="宋体" w:eastAsia="宋体"/>
                <w:sz w:val="16"/>
              </w:rPr>
              <w:t>确保在职人员的工资、津贴、补贴、社保、医保、公积金等以及离退休人员的工资等人员保障性经费能够依规、按时、足额发放或缴纳，提升部门人员工作积极性和服务质量；全面贯彻执行党和国家的教育方针、政策、法规，坚持社会主义办学方向，努力培养德、智、体全面发展的社会主义事业的建设者和接班人。实行保育与教育相结合的原则，促进幼儿身体机能协调发展，增强体质，培养良好的行为习惯；同时，加强幼儿国家通用语言文字的掌握和使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96B588">
            <w:pPr>
              <w:jc w:val="both"/>
            </w:pPr>
            <w:r>
              <w:rPr>
                <w:rFonts w:ascii="宋体" w:hAnsi="宋体" w:eastAsia="宋体"/>
                <w:sz w:val="16"/>
              </w:rPr>
              <w:t>确保了在职人员29人的工资、津贴、补贴、社保、医保、公积金等以及离退休人员的工资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251E54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3CA4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4570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ACD4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0216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5EFC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9992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867A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898A6">
            <w:pPr>
              <w:jc w:val="center"/>
            </w:pPr>
            <w:r>
              <w:rPr>
                <w:rFonts w:ascii="宋体" w:hAnsi="宋体" w:eastAsia="宋体"/>
                <w:sz w:val="16"/>
              </w:rPr>
              <w:t>得分</w:t>
            </w:r>
          </w:p>
        </w:tc>
      </w:tr>
      <w:tr w14:paraId="41369E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5919C">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C833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DF9AE">
            <w:pPr>
              <w:jc w:val="center"/>
            </w:pPr>
            <w:r>
              <w:rPr>
                <w:rFonts w:ascii="宋体" w:hAnsi="宋体" w:eastAsia="宋体"/>
                <w:sz w:val="16"/>
              </w:rPr>
              <w:t>人员工资福利支出保障在职人员人数（人)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5B7DF">
            <w:pPr>
              <w:jc w:val="center"/>
            </w:pPr>
            <w:r>
              <w:rPr>
                <w:rFonts w:ascii="宋体" w:hAnsi="宋体" w:eastAsia="宋体"/>
                <w:sz w:val="16"/>
              </w:rPr>
              <w:t>=29人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4A5F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1F6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F770F">
            <w:pPr>
              <w:jc w:val="center"/>
            </w:pPr>
            <w:r>
              <w:rPr>
                <w:rFonts w:ascii="宋体" w:hAnsi="宋体" w:eastAsia="宋体"/>
                <w:sz w:val="16"/>
              </w:rPr>
              <w:t>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6EF59">
            <w:pPr>
              <w:jc w:val="center"/>
            </w:pPr>
            <w:r>
              <w:rPr>
                <w:rFonts w:ascii="宋体" w:hAnsi="宋体" w:eastAsia="宋体"/>
                <w:sz w:val="16"/>
              </w:rPr>
              <w:t>10</w:t>
            </w:r>
          </w:p>
        </w:tc>
      </w:tr>
      <w:tr w14:paraId="05265C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6FBA1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4B49A">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8CB94">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B3085">
            <w:pPr>
              <w:jc w:val="center"/>
            </w:pPr>
            <w:r>
              <w:rPr>
                <w:rFonts w:ascii="宋体" w:hAnsi="宋体" w:eastAsia="宋体"/>
                <w:sz w:val="16"/>
              </w:rPr>
              <w:t>&lt;=599.36万元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D2B1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054E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0FB2B">
            <w:pPr>
              <w:jc w:val="center"/>
            </w:pPr>
            <w:r>
              <w:rPr>
                <w:rFonts w:ascii="宋体" w:hAnsi="宋体" w:eastAsia="宋体"/>
                <w:sz w:val="16"/>
              </w:rPr>
              <w:t>605.24万元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0F206">
            <w:pPr>
              <w:jc w:val="center"/>
            </w:pPr>
            <w:r>
              <w:rPr>
                <w:rFonts w:ascii="宋体" w:hAnsi="宋体" w:eastAsia="宋体"/>
                <w:sz w:val="16"/>
              </w:rPr>
              <w:t>9.9</w:t>
            </w:r>
          </w:p>
        </w:tc>
      </w:tr>
      <w:tr w14:paraId="4AC71E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94A4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57F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9DB9F">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7C23E">
            <w:pPr>
              <w:jc w:val="center"/>
            </w:pPr>
            <w:r>
              <w:rPr>
                <w:rFonts w:ascii="宋体" w:hAnsi="宋体" w:eastAsia="宋体"/>
                <w:sz w:val="16"/>
              </w:rPr>
              <w:t>&lt;=10.13万元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5E81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C643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9C229">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AFAE0">
            <w:pPr>
              <w:jc w:val="center"/>
            </w:pPr>
            <w:r>
              <w:rPr>
                <w:rFonts w:ascii="宋体" w:hAnsi="宋体" w:eastAsia="宋体"/>
                <w:sz w:val="16"/>
              </w:rPr>
              <w:t>0</w:t>
            </w:r>
          </w:p>
        </w:tc>
      </w:tr>
      <w:tr w14:paraId="3A7568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A247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EBAF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A648A">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6EEE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EEEE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75C3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FB02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8D7A1">
            <w:pPr>
              <w:jc w:val="center"/>
            </w:pPr>
            <w:r>
              <w:rPr>
                <w:rFonts w:ascii="宋体" w:hAnsi="宋体" w:eastAsia="宋体"/>
                <w:sz w:val="16"/>
              </w:rPr>
              <w:t>15</w:t>
            </w:r>
          </w:p>
        </w:tc>
      </w:tr>
      <w:tr w14:paraId="7D0B7F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3B89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9586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7980C">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EDC7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A6F9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08D1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3B01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EC9E1">
            <w:pPr>
              <w:jc w:val="center"/>
            </w:pPr>
            <w:r>
              <w:rPr>
                <w:rFonts w:ascii="宋体" w:hAnsi="宋体" w:eastAsia="宋体"/>
                <w:sz w:val="16"/>
              </w:rPr>
              <w:t>15</w:t>
            </w:r>
          </w:p>
        </w:tc>
      </w:tr>
      <w:tr w14:paraId="3D82032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70B76">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2B6F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C87E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4A1D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4AFCE">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CA1B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65C5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73ABE">
            <w:pPr>
              <w:jc w:val="center"/>
            </w:pPr>
            <w:r>
              <w:rPr>
                <w:rFonts w:ascii="宋体" w:hAnsi="宋体" w:eastAsia="宋体"/>
                <w:sz w:val="16"/>
              </w:rPr>
              <w:t>10</w:t>
            </w:r>
          </w:p>
        </w:tc>
      </w:tr>
      <w:tr w14:paraId="7444A24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E3245">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4A2B8">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9BEEC">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C874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6946E">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CBD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92AD0">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86AF7">
            <w:pPr>
              <w:jc w:val="center"/>
            </w:pPr>
            <w:r>
              <w:rPr>
                <w:rFonts w:ascii="宋体" w:hAnsi="宋体" w:eastAsia="宋体"/>
                <w:sz w:val="16"/>
              </w:rPr>
              <w:t>10</w:t>
            </w:r>
          </w:p>
        </w:tc>
      </w:tr>
      <w:tr w14:paraId="7D4BA6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D1FC7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CED5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A7036">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263A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D3383">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6190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8DECA">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0AC4F">
            <w:pPr>
              <w:jc w:val="center"/>
            </w:pPr>
            <w:r>
              <w:rPr>
                <w:rFonts w:ascii="宋体" w:hAnsi="宋体" w:eastAsia="宋体"/>
                <w:sz w:val="16"/>
              </w:rPr>
              <w:t>10</w:t>
            </w:r>
          </w:p>
        </w:tc>
      </w:tr>
    </w:tbl>
    <w:p w14:paraId="53F0F468">
      <w:r>
        <w:br w:type="page"/>
      </w:r>
    </w:p>
    <w:p w14:paraId="5365D710">
      <w:pPr>
        <w:spacing w:line="640" w:lineRule="exact"/>
        <w:ind w:firstLine="640"/>
        <w:jc w:val="both"/>
        <w:outlineLvl w:val="2"/>
      </w:pPr>
      <w:r>
        <w:rPr>
          <w:rFonts w:ascii="黑体" w:hAnsi="黑体" w:eastAsia="黑体"/>
          <w:sz w:val="32"/>
        </w:rPr>
        <w:t>十二、其他需说明的事项</w:t>
      </w:r>
    </w:p>
    <w:p w14:paraId="4E2D3B5F">
      <w:pPr>
        <w:spacing w:line="580" w:lineRule="exact"/>
        <w:ind w:firstLine="640"/>
        <w:jc w:val="both"/>
      </w:pPr>
      <w:r>
        <w:rPr>
          <w:rFonts w:ascii="仿宋_GB2312" w:hAnsi="仿宋_GB2312" w:eastAsia="仿宋_GB2312"/>
          <w:b w:val="0"/>
          <w:sz w:val="32"/>
        </w:rPr>
        <w:t>本单位无其他需说明的事项。</w:t>
      </w:r>
    </w:p>
    <w:p w14:paraId="02AB0C38">
      <w:r>
        <w:br w:type="page"/>
      </w:r>
    </w:p>
    <w:p w14:paraId="47C1AAF5">
      <w:pPr>
        <w:spacing w:line="240" w:lineRule="auto"/>
        <w:jc w:val="center"/>
        <w:outlineLvl w:val="1"/>
      </w:pPr>
      <w:r>
        <w:rPr>
          <w:rFonts w:ascii="黑体" w:hAnsi="黑体" w:eastAsia="黑体"/>
          <w:sz w:val="32"/>
        </w:rPr>
        <w:t>第三部分 专业名词解释</w:t>
      </w:r>
    </w:p>
    <w:p w14:paraId="5AB4598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83883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04041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E652D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288915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4C7DB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427764">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1C6ED6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C7151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85BF4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41666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E2BBD8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43E00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53AD5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4B4EEE">
      <w:r>
        <w:br w:type="page"/>
      </w:r>
    </w:p>
    <w:p w14:paraId="3B7D7847">
      <w:pPr>
        <w:spacing w:line="240" w:lineRule="auto"/>
        <w:jc w:val="center"/>
        <w:outlineLvl w:val="1"/>
      </w:pPr>
      <w:r>
        <w:rPr>
          <w:rFonts w:ascii="黑体" w:hAnsi="黑体" w:eastAsia="黑体"/>
          <w:sz w:val="32"/>
        </w:rPr>
        <w:t>第四部分 部门决算报表（见附表）</w:t>
      </w:r>
    </w:p>
    <w:p w14:paraId="1899F93B">
      <w:pPr>
        <w:spacing w:line="240" w:lineRule="auto"/>
        <w:ind w:firstLine="640"/>
        <w:jc w:val="both"/>
      </w:pPr>
      <w:r>
        <w:rPr>
          <w:rFonts w:ascii="仿宋_GB2312" w:hAnsi="仿宋_GB2312" w:eastAsia="仿宋_GB2312"/>
          <w:b w:val="0"/>
          <w:sz w:val="32"/>
        </w:rPr>
        <w:t>一、《收入支出决算总表》</w:t>
      </w:r>
    </w:p>
    <w:p w14:paraId="7D7B4D35">
      <w:pPr>
        <w:spacing w:line="240" w:lineRule="auto"/>
        <w:ind w:firstLine="640"/>
        <w:jc w:val="both"/>
      </w:pPr>
      <w:r>
        <w:rPr>
          <w:rFonts w:ascii="仿宋_GB2312" w:hAnsi="仿宋_GB2312" w:eastAsia="仿宋_GB2312"/>
          <w:b w:val="0"/>
          <w:sz w:val="32"/>
        </w:rPr>
        <w:t>二、《收入决算表》</w:t>
      </w:r>
    </w:p>
    <w:p w14:paraId="1BFFF2BB">
      <w:pPr>
        <w:spacing w:line="240" w:lineRule="auto"/>
        <w:ind w:firstLine="640"/>
        <w:jc w:val="both"/>
      </w:pPr>
      <w:r>
        <w:rPr>
          <w:rFonts w:ascii="仿宋_GB2312" w:hAnsi="仿宋_GB2312" w:eastAsia="仿宋_GB2312"/>
          <w:b w:val="0"/>
          <w:sz w:val="32"/>
        </w:rPr>
        <w:t>三、《支出决算表》</w:t>
      </w:r>
    </w:p>
    <w:p w14:paraId="0FC8A9F5">
      <w:pPr>
        <w:spacing w:line="240" w:lineRule="auto"/>
        <w:ind w:firstLine="640"/>
        <w:jc w:val="both"/>
      </w:pPr>
      <w:r>
        <w:rPr>
          <w:rFonts w:ascii="仿宋_GB2312" w:hAnsi="仿宋_GB2312" w:eastAsia="仿宋_GB2312"/>
          <w:b w:val="0"/>
          <w:sz w:val="32"/>
        </w:rPr>
        <w:t>四、《财政拨款收入支出决算总表》</w:t>
      </w:r>
    </w:p>
    <w:p w14:paraId="19743536">
      <w:pPr>
        <w:spacing w:line="240" w:lineRule="auto"/>
        <w:ind w:firstLine="640"/>
        <w:jc w:val="both"/>
      </w:pPr>
      <w:r>
        <w:rPr>
          <w:rFonts w:ascii="仿宋_GB2312" w:hAnsi="仿宋_GB2312" w:eastAsia="仿宋_GB2312"/>
          <w:b w:val="0"/>
          <w:sz w:val="32"/>
        </w:rPr>
        <w:t>五、《一般公共预算财政拨款支出决算表》</w:t>
      </w:r>
    </w:p>
    <w:p w14:paraId="71729ED9">
      <w:pPr>
        <w:spacing w:line="240" w:lineRule="auto"/>
        <w:ind w:firstLine="640"/>
        <w:jc w:val="both"/>
      </w:pPr>
      <w:r>
        <w:rPr>
          <w:rFonts w:ascii="仿宋_GB2312" w:hAnsi="仿宋_GB2312" w:eastAsia="仿宋_GB2312"/>
          <w:b w:val="0"/>
          <w:sz w:val="32"/>
        </w:rPr>
        <w:t>六、《一般公共预算财政拨款基本支出决算表》</w:t>
      </w:r>
    </w:p>
    <w:p w14:paraId="03B5C582">
      <w:pPr>
        <w:spacing w:line="240" w:lineRule="auto"/>
        <w:ind w:firstLine="640"/>
        <w:jc w:val="both"/>
      </w:pPr>
      <w:r>
        <w:rPr>
          <w:rFonts w:ascii="仿宋_GB2312" w:hAnsi="仿宋_GB2312" w:eastAsia="仿宋_GB2312"/>
          <w:b w:val="0"/>
          <w:sz w:val="32"/>
        </w:rPr>
        <w:t>七、《政府性基金预算财政拨款收入支出决算表》</w:t>
      </w:r>
    </w:p>
    <w:p w14:paraId="0ADA6960">
      <w:pPr>
        <w:spacing w:line="240" w:lineRule="auto"/>
        <w:ind w:firstLine="640"/>
        <w:jc w:val="both"/>
      </w:pPr>
      <w:r>
        <w:rPr>
          <w:rFonts w:ascii="仿宋_GB2312" w:hAnsi="仿宋_GB2312" w:eastAsia="仿宋_GB2312"/>
          <w:b w:val="0"/>
          <w:sz w:val="32"/>
        </w:rPr>
        <w:t>八、《国有资本经营预算财政拨款收入支出决算表》</w:t>
      </w:r>
    </w:p>
    <w:p w14:paraId="55172DA7">
      <w:pPr>
        <w:spacing w:line="240" w:lineRule="auto"/>
        <w:ind w:firstLine="640"/>
        <w:jc w:val="both"/>
      </w:pPr>
      <w:r>
        <w:rPr>
          <w:rFonts w:ascii="仿宋_GB2312" w:hAnsi="仿宋_GB2312" w:eastAsia="仿宋_GB2312"/>
          <w:b w:val="0"/>
          <w:sz w:val="32"/>
        </w:rPr>
        <w:t>九、《财政拨款“三公”经费支出决算表》</w:t>
      </w:r>
    </w:p>
    <w:p w14:paraId="79877222">
      <w:pPr>
        <w:spacing w:line="240" w:lineRule="auto"/>
        <w:ind w:firstLine="640"/>
        <w:jc w:val="both"/>
      </w:pPr>
    </w:p>
    <w:p w14:paraId="6F7C1812">
      <w:pPr>
        <w:spacing w:line="240" w:lineRule="auto"/>
        <w:ind w:firstLine="640"/>
        <w:jc w:val="both"/>
      </w:pPr>
    </w:p>
    <w:p w14:paraId="31ABA3FD">
      <w:pPr>
        <w:spacing w:line="240" w:lineRule="auto"/>
        <w:ind w:firstLine="640"/>
        <w:jc w:val="both"/>
      </w:pPr>
    </w:p>
    <w:p w14:paraId="14FE766C">
      <w:pPr>
        <w:spacing w:line="240" w:lineRule="auto"/>
        <w:ind w:firstLine="640"/>
        <w:jc w:val="both"/>
      </w:pPr>
    </w:p>
    <w:p w14:paraId="314E609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8755B9"/>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423857"/>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1992</Words>
  <Characters>2273</Characters>
  <Lines>0</Lines>
  <Paragraphs>0</Paragraphs>
  <TotalTime>2</TotalTime>
  <ScaleCrop>false</ScaleCrop>
  <LinksUpToDate>false</LinksUpToDate>
  <CharactersWithSpaces>2281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