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阿克陶县喀尔克其克乡卫生院2024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FDA1E02">
      <w:r>
        <w:br w:type="page"/>
      </w:r>
    </w:p>
    <w:p w14:paraId="1AA44AD4">
      <w:pPr>
        <w:spacing w:line="640" w:lineRule="exact"/>
        <w:jc w:val="center"/>
        <w:outlineLvl w:val="1"/>
      </w:pPr>
      <w:r>
        <w:rPr>
          <w:rFonts w:ascii="黑体" w:hAnsi="黑体" w:eastAsia="黑体"/>
          <w:sz w:val="32"/>
        </w:rPr>
        <w:t>第一部分 单位概况</w:t>
      </w:r>
    </w:p>
    <w:p w14:paraId="66B9CC58">
      <w:pPr>
        <w:spacing w:line="640" w:lineRule="exact"/>
        <w:ind w:firstLine="640"/>
        <w:jc w:val="both"/>
        <w:outlineLvl w:val="2"/>
      </w:pPr>
      <w:r>
        <w:rPr>
          <w:rFonts w:ascii="黑体" w:hAnsi="黑体" w:eastAsia="黑体"/>
          <w:sz w:val="32"/>
        </w:rPr>
        <w:t>一、主要职能</w:t>
      </w:r>
    </w:p>
    <w:p w14:paraId="4FE7E011">
      <w:pPr>
        <w:spacing w:line="580" w:lineRule="exact"/>
        <w:ind w:firstLine="640"/>
        <w:jc w:val="both"/>
      </w:pPr>
      <w:r>
        <w:rPr>
          <w:rFonts w:ascii="仿宋_GB2312" w:hAnsi="仿宋_GB2312" w:eastAsia="仿宋_GB2312"/>
          <w:sz w:val="32"/>
        </w:rPr>
        <w:t>1.承担本乡农村居民健康档案规范建档、管理及服务。</w:t>
      </w:r>
    </w:p>
    <w:p w14:paraId="720279E1">
      <w:pPr>
        <w:spacing w:line="580" w:lineRule="exact"/>
        <w:ind w:firstLine="640"/>
        <w:jc w:val="both"/>
      </w:pPr>
      <w:r>
        <w:rPr>
          <w:rFonts w:ascii="仿宋_GB2312" w:hAnsi="仿宋_GB2312" w:eastAsia="仿宋_GB2312"/>
          <w:sz w:val="32"/>
        </w:rPr>
        <w:t>2.普及卫生保健常识，在重点人群和重点场所开展健康教育，帮助居民形成有利于维护和增进健康的行为方式；指导开展爱国卫生工作。</w:t>
      </w:r>
    </w:p>
    <w:p w14:paraId="31715D2F">
      <w:pPr>
        <w:keepNext w:val="0"/>
        <w:keepLines w:val="0"/>
        <w:pageBreakBefore w:val="0"/>
        <w:widowControl w:val="0"/>
        <w:kinsoku/>
        <w:wordWrap/>
        <w:overflowPunct/>
        <w:topLinePunct w:val="0"/>
        <w:autoSpaceDE/>
        <w:autoSpaceDN/>
        <w:bidi w:val="0"/>
        <w:adjustRightInd/>
        <w:snapToGrid/>
        <w:spacing w:line="580" w:lineRule="exact"/>
        <w:ind w:firstLine="641"/>
        <w:jc w:val="both"/>
        <w:textAlignment w:val="auto"/>
        <w:rPr>
          <w:rFonts w:ascii="仿宋_GB2312" w:hAnsi="仿宋_GB2312" w:eastAsia="仿宋_GB2312"/>
          <w:sz w:val="32"/>
        </w:rPr>
      </w:pPr>
      <w:r>
        <w:rPr>
          <w:rFonts w:ascii="仿宋_GB2312" w:hAnsi="仿宋_GB2312" w:eastAsia="仿宋_GB2312"/>
          <w:sz w:val="32"/>
        </w:rPr>
        <w:t>3.提供并组织实施本乡预防接种服务，落实国家免疫规划。</w:t>
      </w:r>
    </w:p>
    <w:p w14:paraId="6F84E4AF">
      <w:pPr>
        <w:keepNext w:val="0"/>
        <w:keepLines w:val="0"/>
        <w:pageBreakBefore w:val="0"/>
        <w:widowControl w:val="0"/>
        <w:kinsoku/>
        <w:wordWrap/>
        <w:overflowPunct/>
        <w:topLinePunct w:val="0"/>
        <w:autoSpaceDE/>
        <w:autoSpaceDN/>
        <w:bidi w:val="0"/>
        <w:adjustRightInd/>
        <w:snapToGrid/>
        <w:spacing w:line="580" w:lineRule="exact"/>
        <w:ind w:firstLine="641"/>
        <w:jc w:val="both"/>
        <w:textAlignment w:val="auto"/>
      </w:pPr>
      <w:r>
        <w:rPr>
          <w:rFonts w:ascii="仿宋_GB2312" w:hAnsi="仿宋_GB2312" w:eastAsia="仿宋_GB2312"/>
          <w:sz w:val="32"/>
        </w:rPr>
        <w:t>4.做好卫生行政部门规定的其他公共卫生服务。在农村医疗卫生服务网络中发挥着重要的基础性作用。</w:t>
      </w:r>
    </w:p>
    <w:p w14:paraId="66A2219E">
      <w:pPr>
        <w:spacing w:line="580" w:lineRule="exact"/>
        <w:ind w:firstLine="640"/>
        <w:jc w:val="both"/>
      </w:pPr>
      <w:r>
        <w:rPr>
          <w:rFonts w:ascii="仿宋_GB2312" w:hAnsi="仿宋_GB2312" w:eastAsia="仿宋_GB2312"/>
          <w:sz w:val="32"/>
        </w:rPr>
        <w:t>5.开展新生儿访视及儿童保健系统管理，进行体格检查和生长发育监测及评价，开展健康指导。</w:t>
      </w:r>
    </w:p>
    <w:p w14:paraId="1507F24D">
      <w:pPr>
        <w:spacing w:line="580" w:lineRule="exact"/>
        <w:ind w:firstLine="640"/>
        <w:jc w:val="both"/>
      </w:pPr>
      <w:r>
        <w:rPr>
          <w:rFonts w:ascii="仿宋_GB2312" w:hAnsi="仿宋_GB2312" w:eastAsia="仿宋_GB2312"/>
          <w:sz w:val="32"/>
        </w:rPr>
        <w:t>6.开展孕产妇保健系统管理和产后访视，进行一般体格检查及孕期营养、心理等健康指导。</w:t>
      </w:r>
    </w:p>
    <w:p w14:paraId="28020AFA">
      <w:pPr>
        <w:spacing w:line="580" w:lineRule="exact"/>
        <w:ind w:firstLine="640"/>
        <w:jc w:val="both"/>
      </w:pPr>
      <w:r>
        <w:rPr>
          <w:rFonts w:ascii="仿宋_GB2312" w:hAnsi="仿宋_GB2312" w:eastAsia="仿宋_GB2312"/>
          <w:sz w:val="32"/>
        </w:rPr>
        <w:t>7.对本乡65岁及以上老年人进行登记管理，进行健康危险因素调查和一般体格检查，开展健康指导。</w:t>
      </w:r>
    </w:p>
    <w:p w14:paraId="4E20A1A5">
      <w:pPr>
        <w:spacing w:line="580" w:lineRule="exact"/>
        <w:ind w:firstLine="640"/>
        <w:jc w:val="both"/>
      </w:pPr>
      <w:r>
        <w:rPr>
          <w:rFonts w:ascii="仿宋_GB2312" w:hAnsi="仿宋_GB2312" w:eastAsia="仿宋_GB2312"/>
          <w:sz w:val="32"/>
        </w:rPr>
        <w:t>8.对高血压、糖尿病等慢性病高危人群进行指导，对确诊高血压、糖尿病等慢性病病例进行登记管理、定期随访和健康指导。</w:t>
      </w:r>
    </w:p>
    <w:p w14:paraId="33F82C76">
      <w:pPr>
        <w:spacing w:line="580" w:lineRule="exact"/>
        <w:ind w:firstLine="640"/>
        <w:jc w:val="both"/>
      </w:pPr>
      <w:r>
        <w:rPr>
          <w:rFonts w:ascii="仿宋_GB2312" w:hAnsi="仿宋_GB2312" w:eastAsia="仿宋_GB2312"/>
          <w:sz w:val="32"/>
        </w:rPr>
        <w:t>9.对本乡重性精神疾病患者进行登记管理、治疗随访和康复指导。</w:t>
      </w:r>
    </w:p>
    <w:p w14:paraId="73C4E41C">
      <w:pPr>
        <w:spacing w:line="580" w:lineRule="exact"/>
        <w:ind w:firstLine="640"/>
        <w:jc w:val="both"/>
      </w:pPr>
      <w:r>
        <w:rPr>
          <w:rFonts w:ascii="仿宋_GB2312" w:hAnsi="仿宋_GB2312" w:eastAsia="仿宋_GB2312"/>
          <w:sz w:val="32"/>
        </w:rPr>
        <w:t>10.负责本乡内突发公共卫生事件的报告并协助处理。</w:t>
      </w:r>
    </w:p>
    <w:p w14:paraId="2C7E147F">
      <w:pPr>
        <w:spacing w:line="640" w:lineRule="exact"/>
        <w:ind w:firstLine="640"/>
        <w:jc w:val="both"/>
        <w:outlineLvl w:val="2"/>
      </w:pPr>
      <w:r>
        <w:rPr>
          <w:rFonts w:ascii="黑体" w:hAnsi="黑体" w:eastAsia="黑体"/>
          <w:sz w:val="32"/>
        </w:rPr>
        <w:t>二、机构设置及人员情况</w:t>
      </w:r>
    </w:p>
    <w:p w14:paraId="235E98BE">
      <w:pPr>
        <w:spacing w:line="580" w:lineRule="exact"/>
        <w:ind w:firstLine="640"/>
        <w:jc w:val="both"/>
      </w:pPr>
      <w:r>
        <w:rPr>
          <w:rFonts w:ascii="仿宋_GB2312" w:hAnsi="仿宋_GB2312" w:eastAsia="仿宋_GB2312"/>
          <w:sz w:val="32"/>
        </w:rPr>
        <w:t>阿克陶县喀尔克其克乡卫生院2024年度，实有人数25人，其中：在职人员22人，增加0人；离休人员0人，增加0人；退休人员3人</w:t>
      </w:r>
      <w:r>
        <w:rPr>
          <w:rFonts w:hint="eastAsia" w:ascii="仿宋_GB2312" w:hAnsi="仿宋_GB2312" w:eastAsia="仿宋_GB2312"/>
          <w:sz w:val="32"/>
          <w:lang w:eastAsia="zh-CN"/>
        </w:rPr>
        <w:t>，</w:t>
      </w:r>
      <w:r>
        <w:rPr>
          <w:rFonts w:ascii="仿宋_GB2312" w:hAnsi="仿宋_GB2312" w:eastAsia="仿宋_GB2312"/>
          <w:sz w:val="32"/>
        </w:rPr>
        <w:t>增加0人。</w:t>
      </w:r>
    </w:p>
    <w:p w14:paraId="425254BB">
      <w:pPr>
        <w:spacing w:line="580" w:lineRule="exact"/>
        <w:ind w:firstLine="640"/>
        <w:jc w:val="both"/>
      </w:pPr>
      <w:r>
        <w:rPr>
          <w:rFonts w:ascii="仿宋_GB2312" w:hAnsi="仿宋_GB2312" w:eastAsia="仿宋_GB2312"/>
          <w:sz w:val="32"/>
        </w:rPr>
        <w:t>阿克陶县喀尔克其克乡卫生院无下属预算单位，下设12个科室，分别是：财务室、药房、公卫科、防疫科、B超市、化验室、护理部、住院办公室、中医科、办公室、妇幼办公室、放射科。</w:t>
      </w:r>
    </w:p>
    <w:p w14:paraId="1C373C55">
      <w:r>
        <w:br w:type="page"/>
      </w:r>
    </w:p>
    <w:p w14:paraId="20AEC003">
      <w:pPr>
        <w:spacing w:line="240" w:lineRule="auto"/>
        <w:jc w:val="center"/>
        <w:outlineLvl w:val="1"/>
      </w:pPr>
      <w:r>
        <w:rPr>
          <w:rFonts w:ascii="黑体" w:hAnsi="黑体" w:eastAsia="黑体"/>
          <w:sz w:val="32"/>
        </w:rPr>
        <w:t>第二部分 部门决算情况说明</w:t>
      </w:r>
    </w:p>
    <w:p w14:paraId="0F01BD16">
      <w:pPr>
        <w:spacing w:line="640" w:lineRule="exact"/>
        <w:ind w:firstLine="640"/>
        <w:jc w:val="both"/>
        <w:outlineLvl w:val="2"/>
      </w:pPr>
      <w:r>
        <w:rPr>
          <w:rFonts w:ascii="黑体" w:hAnsi="黑体" w:eastAsia="黑体"/>
          <w:sz w:val="32"/>
        </w:rPr>
        <w:t>一、收入支出决算总体情况说明</w:t>
      </w:r>
    </w:p>
    <w:p w14:paraId="2C8E67F6">
      <w:pPr>
        <w:spacing w:line="580" w:lineRule="exact"/>
        <w:ind w:firstLine="640"/>
        <w:jc w:val="both"/>
      </w:pPr>
      <w:r>
        <w:rPr>
          <w:rFonts w:ascii="仿宋_GB2312" w:hAnsi="仿宋_GB2312" w:eastAsia="仿宋_GB2312"/>
          <w:b/>
          <w:sz w:val="32"/>
        </w:rPr>
        <w:t>2024年度收入总计753.68万元，</w:t>
      </w:r>
      <w:r>
        <w:rPr>
          <w:rFonts w:ascii="仿宋_GB2312" w:hAnsi="仿宋_GB2312" w:eastAsia="仿宋_GB2312"/>
          <w:b w:val="0"/>
          <w:sz w:val="32"/>
        </w:rPr>
        <w:t>其中：本年收入合计712.00万元，使用非财政拨款结余（含专用结余）0.00万元，年初结转和结余41.68万元。</w:t>
      </w:r>
    </w:p>
    <w:p w14:paraId="2465A6D2">
      <w:pPr>
        <w:spacing w:line="580" w:lineRule="exact"/>
        <w:ind w:firstLine="640"/>
        <w:jc w:val="both"/>
      </w:pPr>
      <w:r>
        <w:rPr>
          <w:rFonts w:ascii="仿宋_GB2312" w:hAnsi="仿宋_GB2312" w:eastAsia="仿宋_GB2312"/>
          <w:b/>
          <w:sz w:val="32"/>
        </w:rPr>
        <w:t>2024年度支出总计753.68万元，</w:t>
      </w:r>
      <w:r>
        <w:rPr>
          <w:rFonts w:ascii="仿宋_GB2312" w:hAnsi="仿宋_GB2312" w:eastAsia="仿宋_GB2312"/>
          <w:b w:val="0"/>
          <w:sz w:val="32"/>
        </w:rPr>
        <w:t>其中：本年支出合计708.47万元，结余分配0.00万元，年末结转和结余45.21万元。</w:t>
      </w:r>
    </w:p>
    <w:p w14:paraId="11EA5FE9">
      <w:pPr>
        <w:spacing w:line="580" w:lineRule="exact"/>
        <w:ind w:firstLine="640"/>
        <w:jc w:val="both"/>
      </w:pPr>
      <w:r>
        <w:rPr>
          <w:rFonts w:ascii="仿宋_GB2312" w:hAnsi="仿宋_GB2312" w:eastAsia="仿宋_GB2312"/>
          <w:b w:val="0"/>
          <w:sz w:val="32"/>
        </w:rPr>
        <w:t>收入支出总体与上年相比，增加18.68万元，增长2.54%，主要原因是：本年事业收入较上年增加。</w:t>
      </w:r>
    </w:p>
    <w:p w14:paraId="421701BE">
      <w:pPr>
        <w:spacing w:line="640" w:lineRule="exact"/>
        <w:ind w:firstLine="640"/>
        <w:jc w:val="both"/>
        <w:outlineLvl w:val="2"/>
      </w:pPr>
      <w:r>
        <w:rPr>
          <w:rFonts w:ascii="黑体" w:hAnsi="黑体" w:eastAsia="黑体"/>
          <w:sz w:val="32"/>
        </w:rPr>
        <w:t>二、收入决算情况说明</w:t>
      </w:r>
    </w:p>
    <w:p w14:paraId="7045AAEA">
      <w:pPr>
        <w:spacing w:line="580" w:lineRule="exact"/>
        <w:ind w:firstLine="640"/>
        <w:jc w:val="both"/>
      </w:pPr>
      <w:r>
        <w:rPr>
          <w:rFonts w:ascii="仿宋_GB2312" w:hAnsi="仿宋_GB2312" w:eastAsia="仿宋_GB2312"/>
          <w:b/>
          <w:sz w:val="32"/>
        </w:rPr>
        <w:t>本年收入712.00万元，</w:t>
      </w:r>
      <w:r>
        <w:rPr>
          <w:rFonts w:ascii="仿宋_GB2312" w:hAnsi="仿宋_GB2312" w:eastAsia="仿宋_GB2312"/>
          <w:b w:val="0"/>
          <w:sz w:val="32"/>
        </w:rPr>
        <w:t>其中：财政拨款收入548.31万元，占77.01%；上级补助收入0.00万元，占0.00%；事业收入163.61万元，占22.98%；经营收入0.00万元，占0.00%；附属单位上缴收入0.00万元，占0.00%；其他收入0.08万元，占0.01%。</w:t>
      </w:r>
    </w:p>
    <w:p w14:paraId="34966D6C">
      <w:pPr>
        <w:spacing w:line="640" w:lineRule="exact"/>
        <w:ind w:firstLine="640"/>
        <w:jc w:val="both"/>
        <w:outlineLvl w:val="2"/>
      </w:pPr>
      <w:r>
        <w:rPr>
          <w:rFonts w:ascii="黑体" w:hAnsi="黑体" w:eastAsia="黑体"/>
          <w:sz w:val="32"/>
        </w:rPr>
        <w:t>三、支出决算情况说明</w:t>
      </w:r>
    </w:p>
    <w:p w14:paraId="5BFD1113">
      <w:pPr>
        <w:spacing w:line="580" w:lineRule="exact"/>
        <w:ind w:firstLine="640"/>
        <w:jc w:val="both"/>
      </w:pPr>
      <w:r>
        <w:rPr>
          <w:rFonts w:ascii="仿宋_GB2312" w:hAnsi="仿宋_GB2312" w:eastAsia="仿宋_GB2312"/>
          <w:b/>
          <w:sz w:val="32"/>
        </w:rPr>
        <w:t>本年支出708.47万元，</w:t>
      </w:r>
      <w:r>
        <w:rPr>
          <w:rFonts w:ascii="仿宋_GB2312" w:hAnsi="仿宋_GB2312" w:eastAsia="仿宋_GB2312"/>
          <w:b w:val="0"/>
          <w:sz w:val="32"/>
        </w:rPr>
        <w:t>其中：基本支出632.35万元，占89.26%；项目支出76.12万元，占10.74%；上缴上级支出0.00万元，占0.00%；经营支出0.00万元，占0.00%；对附属单位补助支出0.00万元，占0.00%。</w:t>
      </w:r>
    </w:p>
    <w:p w14:paraId="14440E34">
      <w:pPr>
        <w:spacing w:line="640" w:lineRule="exact"/>
        <w:ind w:firstLine="640"/>
        <w:jc w:val="both"/>
        <w:outlineLvl w:val="2"/>
      </w:pPr>
      <w:r>
        <w:rPr>
          <w:rFonts w:ascii="黑体" w:hAnsi="黑体" w:eastAsia="黑体"/>
          <w:sz w:val="32"/>
        </w:rPr>
        <w:t>四、财政拨款收入支出决算总体情况说明</w:t>
      </w:r>
    </w:p>
    <w:p w14:paraId="4BC1EA63">
      <w:pPr>
        <w:spacing w:line="580" w:lineRule="exact"/>
        <w:ind w:firstLine="640"/>
        <w:jc w:val="both"/>
      </w:pPr>
      <w:r>
        <w:rPr>
          <w:rFonts w:ascii="仿宋_GB2312" w:hAnsi="仿宋_GB2312" w:eastAsia="仿宋_GB2312"/>
          <w:b/>
          <w:sz w:val="32"/>
        </w:rPr>
        <w:t>2024年度财政拨款收入总计548.31万元，</w:t>
      </w:r>
      <w:r>
        <w:rPr>
          <w:rFonts w:ascii="仿宋_GB2312" w:hAnsi="仿宋_GB2312" w:eastAsia="仿宋_GB2312"/>
          <w:b w:val="0"/>
          <w:sz w:val="32"/>
        </w:rPr>
        <w:t>其中：年初财政拨款结转和结余0.00万元，本年财政拨款收入548.31万元。</w:t>
      </w:r>
      <w:r>
        <w:rPr>
          <w:rFonts w:ascii="仿宋_GB2312" w:hAnsi="仿宋_GB2312" w:eastAsia="仿宋_GB2312"/>
          <w:b/>
          <w:sz w:val="32"/>
        </w:rPr>
        <w:t>财政拨款支出总计548.31万元，</w:t>
      </w:r>
      <w:r>
        <w:rPr>
          <w:rFonts w:ascii="仿宋_GB2312" w:hAnsi="仿宋_GB2312" w:eastAsia="仿宋_GB2312"/>
          <w:b w:val="0"/>
          <w:sz w:val="32"/>
        </w:rPr>
        <w:t>其中：年末财政拨款结转和结余0.00万元，本年财政拨款支出548.31万元。</w:t>
      </w:r>
    </w:p>
    <w:p w14:paraId="009FE0A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减少4.76万元，下降0.86%，主要原因是：本年</w:t>
      </w:r>
      <w:r>
        <w:rPr>
          <w:rFonts w:hint="eastAsia" w:ascii="仿宋_GB2312" w:hAnsi="仿宋_GB2312" w:eastAsia="仿宋_GB2312"/>
          <w:b w:val="0"/>
          <w:sz w:val="32"/>
          <w:lang w:val="en-US" w:eastAsia="zh-CN"/>
        </w:rPr>
        <w:t>减少</w:t>
      </w:r>
      <w:r>
        <w:rPr>
          <w:rFonts w:ascii="仿宋_GB2312" w:hAnsi="仿宋_GB2312" w:eastAsia="仿宋_GB2312"/>
          <w:b w:val="0"/>
          <w:sz w:val="32"/>
        </w:rPr>
        <w:t>全民健康体检费用。</w:t>
      </w:r>
      <w:r>
        <w:rPr>
          <w:rFonts w:ascii="仿宋_GB2312" w:hAnsi="仿宋_GB2312" w:eastAsia="仿宋_GB2312"/>
          <w:b/>
          <w:sz w:val="32"/>
        </w:rPr>
        <w:t>与年初预算相比，</w:t>
      </w:r>
      <w:r>
        <w:rPr>
          <w:rFonts w:ascii="仿宋_GB2312" w:hAnsi="仿宋_GB2312" w:eastAsia="仿宋_GB2312"/>
          <w:b w:val="0"/>
          <w:sz w:val="32"/>
        </w:rPr>
        <w:t>年初预算数517.78万元，决算数548.31万元，预决算差异率5.90%，主要原因是：年中追加中央财政基本公共卫生服务补助项目，导致预决算存在差异。</w:t>
      </w:r>
    </w:p>
    <w:p w14:paraId="4623E667">
      <w:pPr>
        <w:spacing w:line="640" w:lineRule="exact"/>
        <w:ind w:firstLine="640"/>
        <w:jc w:val="both"/>
        <w:outlineLvl w:val="2"/>
      </w:pPr>
      <w:r>
        <w:rPr>
          <w:rFonts w:ascii="黑体" w:hAnsi="黑体" w:eastAsia="黑体"/>
          <w:sz w:val="32"/>
        </w:rPr>
        <w:t>五、一般公共预算财政拨款支出决算情况说明</w:t>
      </w:r>
    </w:p>
    <w:p w14:paraId="09277FD8">
      <w:pPr>
        <w:spacing w:line="640" w:lineRule="exact"/>
        <w:ind w:firstLine="640"/>
        <w:jc w:val="both"/>
        <w:outlineLvl w:val="3"/>
      </w:pPr>
      <w:r>
        <w:rPr>
          <w:rFonts w:ascii="楷体_GB2312" w:hAnsi="楷体_GB2312" w:eastAsia="楷体_GB2312"/>
          <w:b/>
          <w:sz w:val="32"/>
        </w:rPr>
        <w:t>（一）一般公共预算财政拨款支出决算总体情况</w:t>
      </w:r>
    </w:p>
    <w:p w14:paraId="66251B17">
      <w:pPr>
        <w:spacing w:line="580" w:lineRule="exact"/>
        <w:ind w:firstLine="640"/>
        <w:jc w:val="both"/>
      </w:pPr>
      <w:r>
        <w:rPr>
          <w:rFonts w:ascii="仿宋_GB2312" w:hAnsi="仿宋_GB2312" w:eastAsia="仿宋_GB2312"/>
          <w:b/>
          <w:sz w:val="32"/>
        </w:rPr>
        <w:t>2024年度一般公共预算财政拨款支出548.31万元，</w:t>
      </w:r>
      <w:r>
        <w:rPr>
          <w:rFonts w:ascii="仿宋_GB2312" w:hAnsi="仿宋_GB2312" w:eastAsia="仿宋_GB2312"/>
          <w:b w:val="0"/>
          <w:sz w:val="32"/>
        </w:rPr>
        <w:t>占本年支出合计的77.39%。</w:t>
      </w:r>
      <w:r>
        <w:rPr>
          <w:rFonts w:ascii="仿宋_GB2312" w:hAnsi="仿宋_GB2312" w:eastAsia="仿宋_GB2312"/>
          <w:b/>
          <w:sz w:val="32"/>
        </w:rPr>
        <w:t>与上年相比，</w:t>
      </w:r>
      <w:r>
        <w:rPr>
          <w:rFonts w:ascii="仿宋_GB2312" w:hAnsi="仿宋_GB2312" w:eastAsia="仿宋_GB2312"/>
          <w:b w:val="0"/>
          <w:sz w:val="32"/>
        </w:rPr>
        <w:t>减少4.76万元，下降0.86%，主要原因是：本年</w:t>
      </w:r>
      <w:r>
        <w:rPr>
          <w:rFonts w:hint="eastAsia" w:ascii="仿宋_GB2312" w:hAnsi="仿宋_GB2312" w:eastAsia="仿宋_GB2312"/>
          <w:b w:val="0"/>
          <w:sz w:val="32"/>
          <w:lang w:val="en-US" w:eastAsia="zh-CN"/>
        </w:rPr>
        <w:t>减少</w:t>
      </w:r>
      <w:r>
        <w:rPr>
          <w:rFonts w:ascii="仿宋_GB2312" w:hAnsi="仿宋_GB2312" w:eastAsia="仿宋_GB2312"/>
          <w:b w:val="0"/>
          <w:sz w:val="32"/>
        </w:rPr>
        <w:t>全民健康体检费用。</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年初预算数517.78万元，决算数548.31万元，预决算差异率5.90%，主要原因是：年中追加中央财政基本公共卫生服务补助项目，导致预决算存在差异。</w:t>
      </w:r>
    </w:p>
    <w:p w14:paraId="1F1AE03A">
      <w:pPr>
        <w:spacing w:line="640" w:lineRule="exact"/>
        <w:ind w:firstLine="640"/>
        <w:jc w:val="both"/>
        <w:outlineLvl w:val="3"/>
      </w:pPr>
      <w:r>
        <w:rPr>
          <w:rFonts w:ascii="楷体_GB2312" w:hAnsi="楷体_GB2312" w:eastAsia="楷体_GB2312"/>
          <w:b/>
          <w:sz w:val="32"/>
        </w:rPr>
        <w:t>（二）一般公共预算财政拨款支出决算结构情况</w:t>
      </w:r>
    </w:p>
    <w:p w14:paraId="29B4DBD1">
      <w:pPr>
        <w:spacing w:line="580" w:lineRule="exact"/>
        <w:ind w:firstLine="640"/>
        <w:jc w:val="both"/>
      </w:pPr>
      <w:r>
        <w:rPr>
          <w:rFonts w:ascii="仿宋_GB2312" w:hAnsi="仿宋_GB2312" w:eastAsia="仿宋_GB2312"/>
          <w:b w:val="0"/>
          <w:sz w:val="32"/>
        </w:rPr>
        <w:t>1.社会保障和就业支出(类)50.68万元</w:t>
      </w:r>
      <w:r>
        <w:rPr>
          <w:rFonts w:hint="eastAsia" w:ascii="仿宋_GB2312" w:hAnsi="仿宋_GB2312" w:eastAsia="仿宋_GB2312"/>
          <w:b w:val="0"/>
          <w:sz w:val="32"/>
          <w:lang w:eastAsia="zh-CN"/>
        </w:rPr>
        <w:t>，</w:t>
      </w:r>
      <w:r>
        <w:rPr>
          <w:rFonts w:ascii="仿宋_GB2312" w:hAnsi="仿宋_GB2312" w:eastAsia="仿宋_GB2312"/>
          <w:b w:val="0"/>
          <w:sz w:val="32"/>
        </w:rPr>
        <w:t>占9.24%。</w:t>
      </w:r>
    </w:p>
    <w:p w14:paraId="2D5CE604">
      <w:pPr>
        <w:spacing w:line="580" w:lineRule="exact"/>
        <w:ind w:firstLine="640"/>
        <w:jc w:val="both"/>
      </w:pPr>
      <w:r>
        <w:rPr>
          <w:rFonts w:ascii="仿宋_GB2312" w:hAnsi="仿宋_GB2312" w:eastAsia="仿宋_GB2312"/>
          <w:b w:val="0"/>
          <w:sz w:val="32"/>
        </w:rPr>
        <w:t>2.卫生健康支出(类)460.52万元</w:t>
      </w:r>
      <w:r>
        <w:rPr>
          <w:rFonts w:hint="eastAsia" w:ascii="仿宋_GB2312" w:hAnsi="仿宋_GB2312" w:eastAsia="仿宋_GB2312"/>
          <w:b w:val="0"/>
          <w:sz w:val="32"/>
          <w:lang w:eastAsia="zh-CN"/>
        </w:rPr>
        <w:t>，</w:t>
      </w:r>
      <w:r>
        <w:rPr>
          <w:rFonts w:ascii="仿宋_GB2312" w:hAnsi="仿宋_GB2312" w:eastAsia="仿宋_GB2312"/>
          <w:b w:val="0"/>
          <w:sz w:val="32"/>
        </w:rPr>
        <w:t>占83.99%。</w:t>
      </w:r>
    </w:p>
    <w:p w14:paraId="30A60CA6">
      <w:pPr>
        <w:spacing w:line="580" w:lineRule="exact"/>
        <w:ind w:firstLine="640"/>
        <w:jc w:val="both"/>
      </w:pPr>
      <w:r>
        <w:rPr>
          <w:rFonts w:ascii="仿宋_GB2312" w:hAnsi="仿宋_GB2312" w:eastAsia="仿宋_GB2312"/>
          <w:b w:val="0"/>
          <w:sz w:val="32"/>
        </w:rPr>
        <w:t>3.住房保障支出(类)37.12万元</w:t>
      </w:r>
      <w:r>
        <w:rPr>
          <w:rFonts w:hint="eastAsia" w:ascii="仿宋_GB2312" w:hAnsi="仿宋_GB2312" w:eastAsia="仿宋_GB2312"/>
          <w:b w:val="0"/>
          <w:sz w:val="32"/>
          <w:lang w:eastAsia="zh-CN"/>
        </w:rPr>
        <w:t>，</w:t>
      </w:r>
      <w:r>
        <w:rPr>
          <w:rFonts w:ascii="仿宋_GB2312" w:hAnsi="仿宋_GB2312" w:eastAsia="仿宋_GB2312"/>
          <w:b w:val="0"/>
          <w:sz w:val="32"/>
        </w:rPr>
        <w:t>占6.77%。</w:t>
      </w:r>
    </w:p>
    <w:p w14:paraId="56996B01">
      <w:pPr>
        <w:spacing w:line="640" w:lineRule="exact"/>
        <w:ind w:firstLine="640"/>
        <w:jc w:val="both"/>
        <w:outlineLvl w:val="3"/>
      </w:pPr>
      <w:r>
        <w:rPr>
          <w:rFonts w:ascii="楷体_GB2312" w:hAnsi="楷体_GB2312" w:eastAsia="楷体_GB2312"/>
          <w:b/>
          <w:sz w:val="32"/>
        </w:rPr>
        <w:t>（三）一般公共预算财政拨款支出决算具体情况</w:t>
      </w:r>
    </w:p>
    <w:p w14:paraId="27C586A6">
      <w:pPr>
        <w:spacing w:line="580" w:lineRule="exact"/>
        <w:ind w:firstLine="640"/>
        <w:jc w:val="both"/>
      </w:pPr>
      <w:r>
        <w:rPr>
          <w:rFonts w:ascii="仿宋_GB2312" w:hAnsi="仿宋_GB2312" w:eastAsia="仿宋_GB2312"/>
          <w:b w:val="0"/>
          <w:sz w:val="32"/>
        </w:rPr>
        <w:t>1.社会保障和就业支出(类)行政事业单位养老支出(款)事业单位离退休(项)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支出决算数为3.46万元，比上年决算增加0.63万元，增长22.26%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14:paraId="25A0B993">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支出决算数为47.22万元，比上年决算增加10.46万元，增长28.45%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14:paraId="756E2458">
      <w:pPr>
        <w:spacing w:line="580" w:lineRule="exact"/>
        <w:ind w:firstLine="640"/>
        <w:jc w:val="both"/>
      </w:pPr>
      <w:r>
        <w:rPr>
          <w:rFonts w:ascii="仿宋_GB2312" w:hAnsi="仿宋_GB2312" w:eastAsia="仿宋_GB2312"/>
          <w:b w:val="0"/>
          <w:sz w:val="32"/>
        </w:rPr>
        <w:t>3.卫生健康支出(类)基层医疗卫生机构(款)乡镇卫生院(项)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支出决算数为367.89万元，比上年决算减少9.37万元，下降2.48%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主要原因是：本年在职人员调入调出，人员职级不同，缴费基数不同，导致相关人员经费较上年减少。</w:t>
      </w:r>
    </w:p>
    <w:p w14:paraId="35FFEA8F">
      <w:pPr>
        <w:spacing w:line="580" w:lineRule="exact"/>
        <w:ind w:firstLine="640"/>
        <w:jc w:val="both"/>
      </w:pPr>
      <w:r>
        <w:rPr>
          <w:rFonts w:ascii="仿宋_GB2312" w:hAnsi="仿宋_GB2312" w:eastAsia="仿宋_GB2312"/>
          <w:b w:val="0"/>
          <w:sz w:val="32"/>
        </w:rPr>
        <w:t>4.卫生健康支出(类)基层医疗卫生机构(款)其他基层医疗卫生机构支出(项)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支出决算数为16.44万元，比上年决算增加5.22万元，增长46.52%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主要原因是：本年2024年自治区医疗服务与保障能力提升（卫生健康人才队伍建设）补助项目</w:t>
      </w:r>
      <w:r>
        <w:rPr>
          <w:rFonts w:hint="eastAsia" w:ascii="仿宋_GB2312" w:hAnsi="仿宋_GB2312" w:eastAsia="仿宋_GB2312"/>
          <w:b w:val="0"/>
          <w:sz w:val="32"/>
          <w:lang w:eastAsia="zh-CN"/>
        </w:rPr>
        <w:t>－</w:t>
      </w:r>
      <w:r>
        <w:rPr>
          <w:rFonts w:ascii="仿宋_GB2312" w:hAnsi="仿宋_GB2312" w:eastAsia="仿宋_GB2312"/>
          <w:b w:val="0"/>
          <w:sz w:val="32"/>
        </w:rPr>
        <w:t>乡村医生补助增加。</w:t>
      </w:r>
    </w:p>
    <w:p w14:paraId="646DA77D">
      <w:pPr>
        <w:spacing w:line="580" w:lineRule="exact"/>
        <w:ind w:firstLine="640"/>
        <w:jc w:val="both"/>
      </w:pPr>
      <w:r>
        <w:rPr>
          <w:rFonts w:ascii="仿宋_GB2312" w:hAnsi="仿宋_GB2312" w:eastAsia="仿宋_GB2312"/>
          <w:b w:val="0"/>
          <w:sz w:val="32"/>
        </w:rPr>
        <w:t>5.卫生健康支出(类)公共卫生(款)基本公共卫生服务(项)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支出决算数为59.68万元，比上年决算增加18.41万元，增长44.61%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主要原因是：本年增加2024年中央财政基本公共卫生服务补助项目。</w:t>
      </w:r>
    </w:p>
    <w:p w14:paraId="7F4AB916">
      <w:pPr>
        <w:spacing w:line="580" w:lineRule="exact"/>
        <w:ind w:firstLine="640"/>
        <w:jc w:val="both"/>
      </w:pPr>
      <w:r>
        <w:rPr>
          <w:rFonts w:ascii="仿宋_GB2312" w:hAnsi="仿宋_GB2312" w:eastAsia="仿宋_GB2312"/>
          <w:b w:val="0"/>
          <w:sz w:val="32"/>
        </w:rPr>
        <w:t>6.卫生健康支出(类)公共卫生(款)其他公共卫生支出(项)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支出决算数为0.00万元，比上年决算减少36.63万元，下降100.00%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w:t>
      </w:r>
      <w:r>
        <w:rPr>
          <w:rFonts w:hint="eastAsia" w:ascii="仿宋_GB2312" w:hAnsi="仿宋_GB2312" w:eastAsia="仿宋_GB2312"/>
          <w:b w:val="0"/>
          <w:sz w:val="32"/>
          <w:lang w:val="en-US" w:eastAsia="zh-CN"/>
        </w:rPr>
        <w:t>减少</w:t>
      </w:r>
      <w:r>
        <w:rPr>
          <w:rFonts w:ascii="仿宋_GB2312" w:hAnsi="仿宋_GB2312" w:eastAsia="仿宋_GB2312"/>
          <w:b w:val="0"/>
          <w:sz w:val="32"/>
        </w:rPr>
        <w:t>全民健康体检费用。</w:t>
      </w:r>
    </w:p>
    <w:p w14:paraId="7B4BD5E0">
      <w:pPr>
        <w:spacing w:line="580" w:lineRule="exact"/>
        <w:ind w:firstLine="640"/>
        <w:jc w:val="both"/>
      </w:pPr>
      <w:r>
        <w:rPr>
          <w:rFonts w:ascii="仿宋_GB2312" w:hAnsi="仿宋_GB2312" w:eastAsia="仿宋_GB2312"/>
          <w:b w:val="0"/>
          <w:sz w:val="32"/>
        </w:rPr>
        <w:t>7.卫生健康支出(类)行政事业单位医疗(款)事业单位医疗(项)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支出决算数为16.51万元，比上年决算增加2.44万元，增长17.34%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14:paraId="23FB9343">
      <w:pPr>
        <w:spacing w:line="580" w:lineRule="exact"/>
        <w:ind w:firstLine="640"/>
        <w:jc w:val="both"/>
      </w:pPr>
      <w:r>
        <w:rPr>
          <w:rFonts w:ascii="仿宋_GB2312" w:hAnsi="仿宋_GB2312" w:eastAsia="仿宋_GB2312"/>
          <w:b w:val="0"/>
          <w:sz w:val="32"/>
        </w:rPr>
        <w:t>8.住房保障支出(类)住房改革支出(款)住房公积金(项)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支出决算数为37.12万元，比上年决算增加4.10万元，增长12.42%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14:paraId="7BD2FC9C">
      <w:pPr>
        <w:spacing w:line="640" w:lineRule="exact"/>
        <w:ind w:firstLine="640"/>
        <w:jc w:val="both"/>
        <w:outlineLvl w:val="2"/>
      </w:pPr>
      <w:r>
        <w:rPr>
          <w:rFonts w:ascii="黑体" w:hAnsi="黑体" w:eastAsia="黑体"/>
          <w:sz w:val="32"/>
        </w:rPr>
        <w:t>六、一般公共预算财政拨款基本支出决算情况说明</w:t>
      </w:r>
    </w:p>
    <w:p w14:paraId="7F86325E">
      <w:pPr>
        <w:spacing w:line="580" w:lineRule="exact"/>
        <w:ind w:firstLine="640"/>
        <w:jc w:val="both"/>
      </w:pPr>
      <w:r>
        <w:rPr>
          <w:rFonts w:ascii="仿宋_GB2312" w:hAnsi="仿宋_GB2312" w:eastAsia="仿宋_GB2312"/>
          <w:b w:val="0"/>
          <w:sz w:val="32"/>
        </w:rPr>
        <w:t>2024年度一般公共预算财政拨款基本支出472.20万元，其中：</w:t>
      </w:r>
      <w:r>
        <w:rPr>
          <w:rFonts w:ascii="仿宋_GB2312" w:hAnsi="仿宋_GB2312" w:eastAsia="仿宋_GB2312"/>
          <w:b/>
          <w:sz w:val="32"/>
        </w:rPr>
        <w:t>人员经费471.60万元，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包括：基本工资、津贴补贴、奖金、绩效工资、机关事业单位基本养老保险缴费、职工基本医疗保险缴费、其他社会保障缴费、住房公积金、其他工资福利支出、退休费、生活补助。</w:t>
      </w:r>
    </w:p>
    <w:p w14:paraId="76DE1361">
      <w:pPr>
        <w:spacing w:line="580" w:lineRule="exact"/>
        <w:ind w:firstLine="640"/>
        <w:jc w:val="both"/>
      </w:pPr>
      <w:r>
        <w:rPr>
          <w:rFonts w:ascii="仿宋_GB2312" w:hAnsi="仿宋_GB2312" w:eastAsia="仿宋_GB2312"/>
          <w:b/>
          <w:sz w:val="32"/>
        </w:rPr>
        <w:t>公用经费0.60万元，</w:t>
      </w:r>
      <w:r>
        <w:rPr>
          <w:rFonts w:ascii="仿宋_GB2312" w:hAnsi="仿宋_GB2312" w:eastAsia="仿宋_GB2312"/>
          <w:b w:val="0"/>
          <w:sz w:val="32"/>
        </w:rPr>
        <w:t>包括：维修（护）费。</w:t>
      </w:r>
    </w:p>
    <w:p w14:paraId="575CCE23">
      <w:pPr>
        <w:spacing w:line="640" w:lineRule="exact"/>
        <w:ind w:firstLine="640"/>
        <w:jc w:val="both"/>
        <w:outlineLvl w:val="2"/>
      </w:pPr>
      <w:r>
        <w:rPr>
          <w:rFonts w:ascii="黑体" w:hAnsi="黑体" w:eastAsia="黑体"/>
          <w:sz w:val="32"/>
        </w:rPr>
        <w:t>七、政府性基金预算财政拨款收入支出决算情况说明</w:t>
      </w:r>
    </w:p>
    <w:p w14:paraId="34BE47C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EC3E34C">
      <w:pPr>
        <w:spacing w:line="640" w:lineRule="exact"/>
        <w:ind w:firstLine="640"/>
        <w:jc w:val="both"/>
        <w:outlineLvl w:val="2"/>
      </w:pPr>
      <w:r>
        <w:rPr>
          <w:rFonts w:ascii="黑体" w:hAnsi="黑体" w:eastAsia="黑体"/>
          <w:sz w:val="32"/>
        </w:rPr>
        <w:t>八、国有资本经营预算财政拨款收入支出决算情况说明</w:t>
      </w:r>
    </w:p>
    <w:p w14:paraId="4D1AE76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A2EA531">
      <w:pPr>
        <w:spacing w:line="640" w:lineRule="exact"/>
        <w:ind w:firstLine="640"/>
        <w:jc w:val="both"/>
        <w:outlineLvl w:val="2"/>
      </w:pPr>
      <w:r>
        <w:rPr>
          <w:rFonts w:ascii="黑体" w:hAnsi="黑体" w:eastAsia="黑体"/>
          <w:sz w:val="32"/>
        </w:rPr>
        <w:t>九、财政拨款“三公”经费支出决算情况说明</w:t>
      </w:r>
    </w:p>
    <w:p w14:paraId="3F1DD83D">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0A55263">
      <w:pPr>
        <w:spacing w:line="580" w:lineRule="exact"/>
        <w:ind w:firstLine="640"/>
        <w:jc w:val="both"/>
      </w:pPr>
      <w:r>
        <w:rPr>
          <w:rFonts w:ascii="仿宋_GB2312" w:hAnsi="仿宋_GB2312" w:eastAsia="仿宋_GB2312"/>
          <w:b/>
          <w:sz w:val="32"/>
        </w:rPr>
        <w:t>具体情况如下：</w:t>
      </w:r>
    </w:p>
    <w:p w14:paraId="3EB9338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7BDF2E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2A7E5E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AA3BCF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BA66A47">
      <w:pPr>
        <w:spacing w:line="640" w:lineRule="exact"/>
        <w:ind w:firstLine="640"/>
        <w:jc w:val="both"/>
        <w:outlineLvl w:val="2"/>
      </w:pPr>
      <w:r>
        <w:rPr>
          <w:rFonts w:ascii="黑体" w:hAnsi="黑体" w:eastAsia="黑体"/>
          <w:sz w:val="32"/>
        </w:rPr>
        <w:t>十、其他重要事项的情况说明</w:t>
      </w:r>
    </w:p>
    <w:p w14:paraId="48DA5B4D">
      <w:pPr>
        <w:spacing w:line="640" w:lineRule="exact"/>
        <w:ind w:firstLine="640"/>
        <w:jc w:val="both"/>
        <w:outlineLvl w:val="3"/>
      </w:pPr>
      <w:r>
        <w:rPr>
          <w:rFonts w:ascii="楷体_GB2312" w:hAnsi="楷体_GB2312" w:eastAsia="楷体_GB2312"/>
          <w:b/>
          <w:sz w:val="32"/>
        </w:rPr>
        <w:t>（一）机关运行经费及公用经费支出情况</w:t>
      </w:r>
    </w:p>
    <w:p w14:paraId="11754719">
      <w:pPr>
        <w:spacing w:line="580" w:lineRule="exact"/>
        <w:ind w:firstLine="640"/>
        <w:jc w:val="both"/>
      </w:pPr>
      <w:r>
        <w:rPr>
          <w:rFonts w:ascii="仿宋_GB2312" w:hAnsi="仿宋_GB2312" w:eastAsia="仿宋_GB2312"/>
          <w:b w:val="0"/>
          <w:sz w:val="32"/>
        </w:rPr>
        <w:t>2024年度阿克陶县喀尔克其克乡卫生院（事业单位）公用经费支出0.60万元，比上年增加0.60万元，增长100.00%，主要原因是：本年更新、维护补充办公用品，导致公用经费较上年增加。</w:t>
      </w:r>
    </w:p>
    <w:p w14:paraId="7EE3E531">
      <w:pPr>
        <w:spacing w:line="640" w:lineRule="exact"/>
        <w:ind w:firstLine="640"/>
        <w:jc w:val="both"/>
        <w:outlineLvl w:val="3"/>
      </w:pPr>
      <w:r>
        <w:rPr>
          <w:rFonts w:ascii="楷体_GB2312" w:hAnsi="楷体_GB2312" w:eastAsia="楷体_GB2312"/>
          <w:b/>
          <w:sz w:val="32"/>
        </w:rPr>
        <w:t>（二）政府采购情况</w:t>
      </w:r>
    </w:p>
    <w:p w14:paraId="452F81D7">
      <w:pPr>
        <w:spacing w:line="580" w:lineRule="exact"/>
        <w:ind w:firstLine="640"/>
        <w:jc w:val="both"/>
      </w:pPr>
      <w:r>
        <w:rPr>
          <w:rFonts w:ascii="仿宋_GB2312" w:hAnsi="仿宋_GB2312" w:eastAsia="仿宋_GB2312"/>
          <w:b w:val="0"/>
          <w:sz w:val="32"/>
        </w:rPr>
        <w:t>2024年度政府采购支出总额9.88万元，其中：政府采购货物支出0.00万元、政府采购工程支出0.00万元、政府采购服务支出9.88万元。</w:t>
      </w:r>
    </w:p>
    <w:p w14:paraId="52B50FA6">
      <w:pPr>
        <w:spacing w:line="580" w:lineRule="exact"/>
        <w:ind w:firstLine="640"/>
        <w:jc w:val="both"/>
      </w:pPr>
      <w:r>
        <w:rPr>
          <w:rFonts w:ascii="仿宋_GB2312" w:hAnsi="仿宋_GB2312" w:eastAsia="仿宋_GB2312"/>
          <w:b w:val="0"/>
          <w:sz w:val="32"/>
        </w:rPr>
        <w:t>授予中小企业合同金额9.88万元，占政府采购支出总额的100.00%，其中：授予小微企业合同金额9.88万元，占政府采购支出总额的100.00%。</w:t>
      </w:r>
    </w:p>
    <w:p w14:paraId="5792C4D0">
      <w:pPr>
        <w:spacing w:line="640" w:lineRule="exact"/>
        <w:ind w:firstLine="640"/>
        <w:jc w:val="both"/>
        <w:outlineLvl w:val="3"/>
      </w:pPr>
      <w:r>
        <w:rPr>
          <w:rFonts w:ascii="楷体_GB2312" w:hAnsi="楷体_GB2312" w:eastAsia="楷体_GB2312"/>
          <w:b/>
          <w:sz w:val="32"/>
        </w:rPr>
        <w:t>（三）国有资产占用情况说明</w:t>
      </w:r>
    </w:p>
    <w:p w14:paraId="48C95F73">
      <w:pPr>
        <w:spacing w:line="580" w:lineRule="exact"/>
        <w:ind w:firstLine="640"/>
        <w:jc w:val="both"/>
      </w:pPr>
      <w:r>
        <w:rPr>
          <w:rFonts w:ascii="仿宋_GB2312" w:hAnsi="仿宋_GB2312" w:eastAsia="仿宋_GB2312"/>
          <w:b w:val="0"/>
          <w:sz w:val="32"/>
        </w:rPr>
        <w:t>截至2024年12月31日，房屋1,923.00平方米，价值345.55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14:paraId="5A19FD5B">
      <w:pPr>
        <w:spacing w:line="640" w:lineRule="exact"/>
        <w:ind w:firstLine="640"/>
        <w:jc w:val="both"/>
        <w:outlineLvl w:val="2"/>
      </w:pPr>
      <w:r>
        <w:rPr>
          <w:rFonts w:ascii="黑体" w:hAnsi="黑体" w:eastAsia="黑体"/>
          <w:sz w:val="32"/>
        </w:rPr>
        <w:t>十一、预算绩效的情况说明</w:t>
      </w:r>
    </w:p>
    <w:p w14:paraId="20019DA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795.37万元，实际执行总额708.47万元；预算绩效评价项目0个，全年预算数0.00万元，全年执行数0.00万元。预算绩效管理取得的成效：本单位无绩效自评项目。发现的问题及原因：本单位无绩效自评项目。下一步改进措施：本单位无绩效自评项目。具体附整体支出绩效自评表。</w:t>
      </w:r>
    </w:p>
    <w:p w14:paraId="65055D12">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E09EA42">
        <w:tblPrEx>
          <w:tblCellMar>
            <w:top w:w="0" w:type="dxa"/>
            <w:left w:w="108" w:type="dxa"/>
            <w:bottom w:w="0" w:type="dxa"/>
            <w:right w:w="108" w:type="dxa"/>
          </w:tblCellMar>
        </w:tblPrEx>
        <w:tc>
          <w:tcPr>
            <w:tcW w:w="8840" w:type="dxa"/>
            <w:gridSpan w:val="8"/>
            <w:vAlign w:val="center"/>
          </w:tcPr>
          <w:p w14:paraId="49A24C9D">
            <w:pPr>
              <w:jc w:val="center"/>
            </w:pPr>
            <w:r>
              <w:rPr>
                <w:rFonts w:ascii="宋体" w:hAnsi="宋体" w:eastAsia="宋体"/>
                <w:sz w:val="24"/>
              </w:rPr>
              <w:t>单位整体支出绩效自评表</w:t>
            </w:r>
          </w:p>
        </w:tc>
      </w:tr>
      <w:tr w14:paraId="5DCA7135">
        <w:tblPrEx>
          <w:tblCellMar>
            <w:top w:w="0" w:type="dxa"/>
            <w:left w:w="108" w:type="dxa"/>
            <w:bottom w:w="0" w:type="dxa"/>
            <w:right w:w="108" w:type="dxa"/>
          </w:tblCellMar>
        </w:tblPrEx>
        <w:tc>
          <w:tcPr>
            <w:tcW w:w="8840" w:type="dxa"/>
            <w:gridSpan w:val="8"/>
            <w:vAlign w:val="center"/>
          </w:tcPr>
          <w:p w14:paraId="67003F57">
            <w:pPr>
              <w:jc w:val="center"/>
            </w:pPr>
            <w:r>
              <w:rPr>
                <w:rFonts w:ascii="宋体" w:hAnsi="宋体" w:eastAsia="宋体"/>
                <w:sz w:val="24"/>
              </w:rPr>
              <w:t>（2024年度）</w:t>
            </w:r>
          </w:p>
        </w:tc>
      </w:tr>
      <w:tr w14:paraId="156A123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300B9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53C25D">
            <w:pPr>
              <w:jc w:val="center"/>
            </w:pPr>
            <w:r>
              <w:rPr>
                <w:rFonts w:ascii="宋体" w:hAnsi="宋体" w:eastAsia="宋体"/>
                <w:sz w:val="16"/>
              </w:rPr>
              <w:t>阿克陶县喀尔克其克乡卫生院</w:t>
            </w:r>
          </w:p>
        </w:tc>
      </w:tr>
      <w:tr w14:paraId="2FCF8F5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3B5FE8">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EA306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3892C4">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408B8B">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7FBDE4">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C8CC2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BDBED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534E30">
            <w:pPr>
              <w:jc w:val="center"/>
            </w:pPr>
            <w:r>
              <w:rPr>
                <w:rFonts w:ascii="宋体" w:hAnsi="宋体" w:eastAsia="宋体"/>
                <w:sz w:val="16"/>
              </w:rPr>
              <w:t>得分</w:t>
            </w:r>
          </w:p>
        </w:tc>
      </w:tr>
      <w:tr w14:paraId="4D914DC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CD35B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495CDE">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F67547">
            <w:pPr>
              <w:jc w:val="center"/>
            </w:pPr>
            <w:r>
              <w:rPr>
                <w:rFonts w:ascii="宋体" w:hAnsi="宋体" w:eastAsia="宋体"/>
                <w:sz w:val="16"/>
              </w:rPr>
              <w:t>484.00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CC7243">
            <w:pPr>
              <w:jc w:val="center"/>
            </w:pPr>
            <w:r>
              <w:rPr>
                <w:rFonts w:ascii="宋体" w:hAnsi="宋体" w:eastAsia="宋体"/>
                <w:sz w:val="16"/>
              </w:rPr>
              <w:t>795.37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B42F1B">
            <w:pPr>
              <w:jc w:val="center"/>
            </w:pPr>
            <w:r>
              <w:rPr>
                <w:rFonts w:ascii="宋体" w:hAnsi="宋体" w:eastAsia="宋体"/>
                <w:sz w:val="16"/>
              </w:rPr>
              <w:t>708.47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4BC3C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CFD817">
            <w:pPr>
              <w:jc w:val="center"/>
            </w:pPr>
            <w:r>
              <w:rPr>
                <w:rFonts w:ascii="宋体" w:hAnsi="宋体" w:eastAsia="宋体"/>
                <w:sz w:val="16"/>
              </w:rPr>
              <w:t>89.07%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BCA8EB">
            <w:pPr>
              <w:jc w:val="center"/>
            </w:pPr>
            <w:r>
              <w:rPr>
                <w:rFonts w:ascii="宋体" w:hAnsi="宋体" w:eastAsia="宋体"/>
                <w:sz w:val="16"/>
              </w:rPr>
              <w:t>8.9</w:t>
            </w:r>
          </w:p>
        </w:tc>
      </w:tr>
      <w:tr w14:paraId="53462CF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C5DE2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8305B5">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7181B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33795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391D9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08D3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CFB77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0B8970">
            <w:pPr>
              <w:jc w:val="center"/>
            </w:pPr>
            <w:r>
              <w:rPr>
                <w:rFonts w:ascii="宋体" w:hAnsi="宋体" w:eastAsia="宋体"/>
                <w:sz w:val="16"/>
              </w:rPr>
              <w:t>—</w:t>
            </w:r>
          </w:p>
        </w:tc>
      </w:tr>
      <w:tr w14:paraId="25B4E26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284EE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8E8396">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263CEE">
            <w:pPr>
              <w:jc w:val="center"/>
            </w:pPr>
            <w:r>
              <w:rPr>
                <w:rFonts w:ascii="宋体" w:hAnsi="宋体" w:eastAsia="宋体"/>
                <w:sz w:val="16"/>
              </w:rPr>
              <w:t>484.00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BBED7B">
            <w:pPr>
              <w:jc w:val="center"/>
            </w:pPr>
            <w:r>
              <w:rPr>
                <w:rFonts w:ascii="宋体" w:hAnsi="宋体" w:eastAsia="宋体"/>
                <w:sz w:val="16"/>
              </w:rPr>
              <w:t>795.37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62B756">
            <w:pPr>
              <w:jc w:val="center"/>
            </w:pPr>
            <w:r>
              <w:rPr>
                <w:rFonts w:ascii="宋体" w:hAnsi="宋体" w:eastAsia="宋体"/>
                <w:sz w:val="16"/>
              </w:rPr>
              <w:t>708.47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59E0F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CDEC2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BD3DEA">
            <w:pPr>
              <w:jc w:val="center"/>
            </w:pPr>
            <w:r>
              <w:rPr>
                <w:rFonts w:ascii="宋体" w:hAnsi="宋体" w:eastAsia="宋体"/>
                <w:sz w:val="16"/>
              </w:rPr>
              <w:t>—</w:t>
            </w:r>
          </w:p>
        </w:tc>
      </w:tr>
      <w:tr w14:paraId="7F5910E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3852E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A4849F">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90BFF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D819C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D383E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CFDF1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DB2F6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6414F6">
            <w:pPr>
              <w:jc w:val="center"/>
            </w:pPr>
            <w:r>
              <w:rPr>
                <w:rFonts w:ascii="宋体" w:hAnsi="宋体" w:eastAsia="宋体"/>
                <w:sz w:val="16"/>
              </w:rPr>
              <w:t>—</w:t>
            </w:r>
          </w:p>
        </w:tc>
      </w:tr>
      <w:tr w14:paraId="6F2EF97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0616E8">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DA9E9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129B63F">
            <w:pPr>
              <w:jc w:val="center"/>
            </w:pPr>
            <w:r>
              <w:rPr>
                <w:rFonts w:ascii="宋体" w:hAnsi="宋体" w:eastAsia="宋体"/>
                <w:sz w:val="16"/>
              </w:rPr>
              <w:t>实际完成情况</w:t>
            </w:r>
          </w:p>
        </w:tc>
      </w:tr>
      <w:tr w14:paraId="7473B12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7F7BBA"/>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6006DC">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w:t>
            </w:r>
            <w:r>
              <w:rPr>
                <w:rFonts w:hint="eastAsia" w:ascii="宋体" w:hAnsi="宋体"/>
                <w:sz w:val="16"/>
                <w:lang w:val="en-US" w:eastAsia="zh-CN"/>
              </w:rPr>
              <w:t>解决</w:t>
            </w:r>
            <w:bookmarkStart w:id="0" w:name="_GoBack"/>
            <w:bookmarkEnd w:id="0"/>
            <w:r>
              <w:rPr>
                <w:rFonts w:ascii="宋体" w:hAnsi="宋体" w:eastAsia="宋体"/>
                <w:sz w:val="16"/>
              </w:rPr>
              <w:t>政府债务风险是全县重要任务之一，为了转变全县经济发展方式，促进经济持续健康发展，本部门高度重视，进行全面、真实、准确的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0B7269">
            <w:pPr>
              <w:jc w:val="both"/>
            </w:pPr>
            <w:r>
              <w:rPr>
                <w:rFonts w:ascii="宋体" w:hAnsi="宋体" w:eastAsia="宋体"/>
                <w:sz w:val="16"/>
              </w:rPr>
              <w:t>本年度按时发放单位在职人数22人、退休人数3人</w:t>
            </w:r>
            <w:r>
              <w:rPr>
                <w:rFonts w:hint="eastAsia" w:ascii="宋体" w:hAnsi="宋体"/>
                <w:sz w:val="16"/>
                <w:lang w:eastAsia="zh-CN"/>
              </w:rPr>
              <w:t>，</w:t>
            </w:r>
            <w:r>
              <w:rPr>
                <w:rFonts w:ascii="宋体" w:hAnsi="宋体" w:eastAsia="宋体"/>
                <w:sz w:val="16"/>
              </w:rPr>
              <w:t>公岗8人等人员工资，确保在职人员的工资、津贴、补贴、社保、医保、公积金等以及离退休人员的工资、医疗费，长期临聘人员生活补助等人员保障性经费能够依规、按时、足额发放或缴纳，患者就诊率达到了100%，提升了部门人员工作积极性和服务质量；保障了部门日常运转，为部门正常履职和开展综合性事务管理提供了有效支撑。</w:t>
            </w:r>
          </w:p>
        </w:tc>
      </w:tr>
      <w:tr w14:paraId="4AFECC3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7CF5FD">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6E4C47">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52C5DB">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5A969D">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24FA25">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5169D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674345">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74DC86">
            <w:pPr>
              <w:jc w:val="center"/>
            </w:pPr>
            <w:r>
              <w:rPr>
                <w:rFonts w:ascii="宋体" w:hAnsi="宋体" w:eastAsia="宋体"/>
                <w:sz w:val="16"/>
              </w:rPr>
              <w:t>得分</w:t>
            </w:r>
          </w:p>
        </w:tc>
      </w:tr>
      <w:tr w14:paraId="47CEEF9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0ED2BA">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2162B2">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A9AF75">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465432">
            <w:pPr>
              <w:jc w:val="center"/>
            </w:pPr>
            <w:r>
              <w:rPr>
                <w:rFonts w:ascii="宋体" w:hAnsi="宋体" w:eastAsia="宋体"/>
                <w:sz w:val="16"/>
              </w:rPr>
              <w:t>&gt;=30人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55A995">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5F233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33F679">
            <w:pPr>
              <w:jc w:val="center"/>
            </w:pPr>
            <w:r>
              <w:rPr>
                <w:rFonts w:ascii="宋体" w:hAnsi="宋体" w:eastAsia="宋体"/>
                <w:sz w:val="16"/>
              </w:rPr>
              <w:t>=33人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34F5C2">
            <w:pPr>
              <w:jc w:val="center"/>
            </w:pPr>
            <w:r>
              <w:rPr>
                <w:rFonts w:ascii="宋体" w:hAnsi="宋体" w:eastAsia="宋体"/>
                <w:sz w:val="16"/>
              </w:rPr>
              <w:t>9</w:t>
            </w:r>
          </w:p>
        </w:tc>
      </w:tr>
      <w:tr w14:paraId="6946277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3B080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A04B01">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FA29C5">
            <w:pPr>
              <w:jc w:val="center"/>
            </w:pPr>
            <w:r>
              <w:rPr>
                <w:rFonts w:ascii="宋体" w:hAnsi="宋体" w:eastAsia="宋体"/>
                <w:sz w:val="16"/>
              </w:rPr>
              <w:t>部门整体年初预算控制数（万元）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80A9D7">
            <w:pPr>
              <w:jc w:val="center"/>
            </w:pPr>
            <w:r>
              <w:rPr>
                <w:rFonts w:ascii="宋体" w:hAnsi="宋体" w:eastAsia="宋体"/>
                <w:sz w:val="16"/>
              </w:rPr>
              <w:t>&lt;=484万元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89B80F">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6C808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BBC02E">
            <w:pPr>
              <w:jc w:val="center"/>
            </w:pPr>
            <w:r>
              <w:rPr>
                <w:rFonts w:ascii="宋体" w:hAnsi="宋体" w:eastAsia="宋体"/>
                <w:sz w:val="16"/>
              </w:rPr>
              <w:t>=708.47万元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3E2D42">
            <w:pPr>
              <w:jc w:val="center"/>
            </w:pPr>
            <w:r>
              <w:rPr>
                <w:rFonts w:ascii="宋体" w:hAnsi="宋体" w:eastAsia="宋体"/>
                <w:sz w:val="16"/>
              </w:rPr>
              <w:t>7</w:t>
            </w:r>
          </w:p>
        </w:tc>
      </w:tr>
      <w:tr w14:paraId="0F1DDF4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C93B9C"/>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1E01A1">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B1BE8B">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8FBBF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0D64B8">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5013D6">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A1F03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4CCC0A">
            <w:pPr>
              <w:jc w:val="center"/>
            </w:pPr>
            <w:r>
              <w:rPr>
                <w:rFonts w:ascii="宋体" w:hAnsi="宋体" w:eastAsia="宋体"/>
                <w:sz w:val="16"/>
              </w:rPr>
              <w:t>20</w:t>
            </w:r>
          </w:p>
        </w:tc>
      </w:tr>
      <w:tr w14:paraId="1D264E7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744E3A">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9BCD5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7D389D">
            <w:pPr>
              <w:jc w:val="center"/>
            </w:pPr>
            <w:r>
              <w:rPr>
                <w:rFonts w:ascii="宋体" w:hAnsi="宋体" w:eastAsia="宋体"/>
                <w:sz w:val="16"/>
              </w:rPr>
              <w:t>患者就诊率（%）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E2EA95">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35F35C">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A6C6E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78BAD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6523DD">
            <w:pPr>
              <w:jc w:val="center"/>
            </w:pPr>
            <w:r>
              <w:rPr>
                <w:rFonts w:ascii="宋体" w:hAnsi="宋体" w:eastAsia="宋体"/>
                <w:sz w:val="16"/>
              </w:rPr>
              <w:t>10</w:t>
            </w:r>
          </w:p>
        </w:tc>
      </w:tr>
      <w:tr w14:paraId="67F65D9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3E7064">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86F21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5E3010">
            <w:pPr>
              <w:jc w:val="center"/>
            </w:pPr>
            <w:r>
              <w:rPr>
                <w:rFonts w:ascii="宋体" w:hAnsi="宋体" w:eastAsia="宋体"/>
                <w:sz w:val="16"/>
              </w:rPr>
              <w:t>医疗服务能力有效提升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9CDE14">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AB8855">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3BF90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3C0796">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901624">
            <w:pPr>
              <w:jc w:val="center"/>
            </w:pPr>
            <w:r>
              <w:rPr>
                <w:rFonts w:ascii="宋体" w:hAnsi="宋体" w:eastAsia="宋体"/>
                <w:sz w:val="16"/>
              </w:rPr>
              <w:t>10</w:t>
            </w:r>
          </w:p>
        </w:tc>
      </w:tr>
      <w:tr w14:paraId="5851628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3FE685">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F02503">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F7170F">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8C237E">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B2BF33">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24B307">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CE2E92">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D96D53">
            <w:pPr>
              <w:jc w:val="center"/>
            </w:pPr>
            <w:r>
              <w:rPr>
                <w:rFonts w:ascii="宋体" w:hAnsi="宋体" w:eastAsia="宋体"/>
                <w:sz w:val="16"/>
              </w:rPr>
              <w:t>20</w:t>
            </w:r>
          </w:p>
        </w:tc>
      </w:tr>
      <w:tr w14:paraId="34D30CA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4442AC">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3DE68B">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B1CDAC">
            <w:pPr>
              <w:jc w:val="center"/>
            </w:pPr>
            <w:r>
              <w:rPr>
                <w:rFonts w:ascii="宋体" w:hAnsi="宋体" w:eastAsia="宋体"/>
                <w:sz w:val="16"/>
              </w:rPr>
              <w:t>患者满意度（%）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4BDC86">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7EB3D9">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ABA807">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6812D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722300">
            <w:pPr>
              <w:jc w:val="center"/>
            </w:pPr>
            <w:r>
              <w:rPr>
                <w:rFonts w:ascii="宋体" w:hAnsi="宋体" w:eastAsia="宋体"/>
                <w:sz w:val="16"/>
              </w:rPr>
              <w:t>5</w:t>
            </w:r>
          </w:p>
        </w:tc>
      </w:tr>
      <w:tr w14:paraId="5AE4ACF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FB03E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D54D1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26D13B">
            <w:pPr>
              <w:jc w:val="center"/>
            </w:pPr>
            <w:r>
              <w:rPr>
                <w:rFonts w:ascii="宋体" w:hAnsi="宋体" w:eastAsia="宋体"/>
                <w:sz w:val="16"/>
              </w:rPr>
              <w:t>医务人员的满意度（%）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BD4225">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FD3F30">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5949BC">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BEAFE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D1CD79">
            <w:pPr>
              <w:jc w:val="center"/>
            </w:pPr>
            <w:r>
              <w:rPr>
                <w:rFonts w:ascii="宋体" w:hAnsi="宋体" w:eastAsia="宋体"/>
                <w:sz w:val="16"/>
              </w:rPr>
              <w:t>5</w:t>
            </w:r>
          </w:p>
        </w:tc>
      </w:tr>
    </w:tbl>
    <w:p w14:paraId="2420587E">
      <w:r>
        <w:br w:type="page"/>
      </w:r>
    </w:p>
    <w:p w14:paraId="0AB6551C">
      <w:pPr>
        <w:spacing w:line="640" w:lineRule="exact"/>
        <w:ind w:firstLine="640"/>
        <w:jc w:val="both"/>
        <w:outlineLvl w:val="2"/>
      </w:pPr>
      <w:r>
        <w:rPr>
          <w:rFonts w:ascii="黑体" w:hAnsi="黑体" w:eastAsia="黑体"/>
          <w:sz w:val="32"/>
        </w:rPr>
        <w:t>十二、其他需说明的事项</w:t>
      </w:r>
    </w:p>
    <w:p w14:paraId="69E3F017">
      <w:pPr>
        <w:spacing w:line="580" w:lineRule="exact"/>
        <w:ind w:firstLine="640"/>
        <w:jc w:val="both"/>
      </w:pPr>
      <w:r>
        <w:rPr>
          <w:rFonts w:ascii="仿宋_GB2312" w:hAnsi="仿宋_GB2312" w:eastAsia="仿宋_GB2312"/>
          <w:b w:val="0"/>
          <w:sz w:val="32"/>
        </w:rPr>
        <w:t>本单位无其他需说明的事项。</w:t>
      </w:r>
    </w:p>
    <w:p w14:paraId="22B54F42">
      <w:r>
        <w:br w:type="page"/>
      </w:r>
    </w:p>
    <w:p w14:paraId="7B3D05CB">
      <w:pPr>
        <w:spacing w:line="240" w:lineRule="auto"/>
        <w:jc w:val="center"/>
        <w:outlineLvl w:val="1"/>
      </w:pPr>
      <w:r>
        <w:rPr>
          <w:rFonts w:ascii="黑体" w:hAnsi="黑体" w:eastAsia="黑体"/>
          <w:sz w:val="32"/>
        </w:rPr>
        <w:t>第三部分 专业名词解释</w:t>
      </w:r>
    </w:p>
    <w:p w14:paraId="3F5FA40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8A4FDA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BF5BA2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17F177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BDB47A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D1A4D2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5EFACF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450D54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F50B7B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DEBDF4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7F2CD7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FC91DB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E602AA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00DAAD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399169F">
      <w:r>
        <w:br w:type="page"/>
      </w:r>
    </w:p>
    <w:p w14:paraId="3A85DE6C">
      <w:pPr>
        <w:spacing w:line="240" w:lineRule="auto"/>
        <w:jc w:val="center"/>
        <w:outlineLvl w:val="1"/>
      </w:pPr>
      <w:r>
        <w:rPr>
          <w:rFonts w:ascii="黑体" w:hAnsi="黑体" w:eastAsia="黑体"/>
          <w:sz w:val="32"/>
        </w:rPr>
        <w:t>第四部分 部门决算报表（见附表）</w:t>
      </w:r>
    </w:p>
    <w:p w14:paraId="6FC2FBE5">
      <w:pPr>
        <w:spacing w:line="240" w:lineRule="auto"/>
        <w:ind w:firstLine="640"/>
        <w:jc w:val="both"/>
      </w:pPr>
      <w:r>
        <w:rPr>
          <w:rFonts w:ascii="仿宋_GB2312" w:hAnsi="仿宋_GB2312" w:eastAsia="仿宋_GB2312"/>
          <w:b w:val="0"/>
          <w:sz w:val="32"/>
        </w:rPr>
        <w:t>一、《收入支出决算总表》</w:t>
      </w:r>
    </w:p>
    <w:p w14:paraId="6395C377">
      <w:pPr>
        <w:spacing w:line="240" w:lineRule="auto"/>
        <w:ind w:firstLine="640"/>
        <w:jc w:val="both"/>
      </w:pPr>
      <w:r>
        <w:rPr>
          <w:rFonts w:ascii="仿宋_GB2312" w:hAnsi="仿宋_GB2312" w:eastAsia="仿宋_GB2312"/>
          <w:b w:val="0"/>
          <w:sz w:val="32"/>
        </w:rPr>
        <w:t>二、《收入决算表》</w:t>
      </w:r>
    </w:p>
    <w:p w14:paraId="67408961">
      <w:pPr>
        <w:spacing w:line="240" w:lineRule="auto"/>
        <w:ind w:firstLine="640"/>
        <w:jc w:val="both"/>
      </w:pPr>
      <w:r>
        <w:rPr>
          <w:rFonts w:ascii="仿宋_GB2312" w:hAnsi="仿宋_GB2312" w:eastAsia="仿宋_GB2312"/>
          <w:b w:val="0"/>
          <w:sz w:val="32"/>
        </w:rPr>
        <w:t>三、《支出决算表》</w:t>
      </w:r>
    </w:p>
    <w:p w14:paraId="267642E9">
      <w:pPr>
        <w:spacing w:line="240" w:lineRule="auto"/>
        <w:ind w:firstLine="640"/>
        <w:jc w:val="both"/>
      </w:pPr>
      <w:r>
        <w:rPr>
          <w:rFonts w:ascii="仿宋_GB2312" w:hAnsi="仿宋_GB2312" w:eastAsia="仿宋_GB2312"/>
          <w:b w:val="0"/>
          <w:sz w:val="32"/>
        </w:rPr>
        <w:t>四、《财政拨款收入支出决算总表》</w:t>
      </w:r>
    </w:p>
    <w:p w14:paraId="598DA7AE">
      <w:pPr>
        <w:spacing w:line="240" w:lineRule="auto"/>
        <w:ind w:firstLine="640"/>
        <w:jc w:val="both"/>
      </w:pPr>
      <w:r>
        <w:rPr>
          <w:rFonts w:ascii="仿宋_GB2312" w:hAnsi="仿宋_GB2312" w:eastAsia="仿宋_GB2312"/>
          <w:b w:val="0"/>
          <w:sz w:val="32"/>
        </w:rPr>
        <w:t>五、《一般公共预算财政拨款支出决算表》</w:t>
      </w:r>
    </w:p>
    <w:p w14:paraId="1FE093AC">
      <w:pPr>
        <w:spacing w:line="240" w:lineRule="auto"/>
        <w:ind w:firstLine="640"/>
        <w:jc w:val="both"/>
      </w:pPr>
      <w:r>
        <w:rPr>
          <w:rFonts w:ascii="仿宋_GB2312" w:hAnsi="仿宋_GB2312" w:eastAsia="仿宋_GB2312"/>
          <w:b w:val="0"/>
          <w:sz w:val="32"/>
        </w:rPr>
        <w:t>六、《一般公共预算财政拨款基本支出决算表》</w:t>
      </w:r>
    </w:p>
    <w:p w14:paraId="7711770D">
      <w:pPr>
        <w:spacing w:line="240" w:lineRule="auto"/>
        <w:ind w:firstLine="640"/>
        <w:jc w:val="both"/>
      </w:pPr>
      <w:r>
        <w:rPr>
          <w:rFonts w:ascii="仿宋_GB2312" w:hAnsi="仿宋_GB2312" w:eastAsia="仿宋_GB2312"/>
          <w:b w:val="0"/>
          <w:sz w:val="32"/>
        </w:rPr>
        <w:t>七、《政府性基金预算财政拨款收入支出决算表》</w:t>
      </w:r>
    </w:p>
    <w:p w14:paraId="39CE6B0A">
      <w:pPr>
        <w:spacing w:line="240" w:lineRule="auto"/>
        <w:ind w:firstLine="640"/>
        <w:jc w:val="both"/>
      </w:pPr>
      <w:r>
        <w:rPr>
          <w:rFonts w:ascii="仿宋_GB2312" w:hAnsi="仿宋_GB2312" w:eastAsia="仿宋_GB2312"/>
          <w:b w:val="0"/>
          <w:sz w:val="32"/>
        </w:rPr>
        <w:t>八、《国有资本经营预算财政拨款收入支出决算表》</w:t>
      </w:r>
    </w:p>
    <w:p w14:paraId="28EAAAFF">
      <w:pPr>
        <w:spacing w:line="240" w:lineRule="auto"/>
        <w:ind w:firstLine="640"/>
        <w:jc w:val="both"/>
      </w:pPr>
      <w:r>
        <w:rPr>
          <w:rFonts w:ascii="仿宋_GB2312" w:hAnsi="仿宋_GB2312" w:eastAsia="仿宋_GB2312"/>
          <w:b w:val="0"/>
          <w:sz w:val="32"/>
        </w:rPr>
        <w:t>九、《财政拨款“三公”经费支出决算表》</w:t>
      </w:r>
    </w:p>
    <w:p w14:paraId="2F05E152">
      <w:pPr>
        <w:spacing w:line="240" w:lineRule="auto"/>
        <w:ind w:firstLine="640"/>
        <w:jc w:val="both"/>
      </w:pPr>
    </w:p>
    <w:p w14:paraId="1CC8B7BE">
      <w:pPr>
        <w:spacing w:line="240" w:lineRule="auto"/>
        <w:ind w:firstLine="640"/>
        <w:jc w:val="both"/>
      </w:pPr>
    </w:p>
    <w:p w14:paraId="6CDD1F26">
      <w:pPr>
        <w:spacing w:line="240" w:lineRule="auto"/>
        <w:ind w:firstLine="640"/>
        <w:jc w:val="both"/>
      </w:pPr>
    </w:p>
    <w:p w14:paraId="506F0662">
      <w:pPr>
        <w:spacing w:line="240" w:lineRule="auto"/>
        <w:ind w:firstLine="640"/>
        <w:jc w:val="both"/>
      </w:pPr>
    </w:p>
    <w:p w14:paraId="1DCEBD2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EE203A6-E262-4423-B079-0CAD5FEEE58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9B9DB14-6D7F-478A-BB63-512FE3CB0DBD}"/>
  </w:font>
  <w:font w:name="仿宋_GB2312">
    <w:altName w:val="仿宋"/>
    <w:panose1 w:val="02010609030101010101"/>
    <w:charset w:val="86"/>
    <w:family w:val="modern"/>
    <w:pitch w:val="default"/>
    <w:sig w:usb0="00000000" w:usb1="00000000" w:usb2="00000000" w:usb3="00000000" w:csb0="00040000" w:csb1="00000000"/>
    <w:embedRegular r:id="rId3" w:fontKey="{07E90617-3EB8-4264-95FE-280AE29033B3}"/>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5C422C80-D4D4-47FE-A6C4-7BB2F9FA599F}"/>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B053F6"/>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BC077A6"/>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4397</Words>
  <Characters>5044</Characters>
  <Lines>0</Lines>
  <Paragraphs>0</Paragraphs>
  <TotalTime>2</TotalTime>
  <ScaleCrop>false</ScaleCrop>
  <LinksUpToDate>false</LinksUpToDate>
  <CharactersWithSpaces>5052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2025-09-15T08:26:46Z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