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7945EE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阿克陶县皮拉勒乡恰瓦克卫生院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FAF0733">
      <w:r>
        <w:br w:type="page"/>
      </w:r>
    </w:p>
    <w:p w14:paraId="71443A39">
      <w:pPr>
        <w:spacing w:line="640" w:lineRule="exact"/>
        <w:jc w:val="center"/>
        <w:outlineLvl w:val="1"/>
      </w:pPr>
      <w:r>
        <w:rPr>
          <w:rFonts w:ascii="黑体" w:hAnsi="黑体" w:eastAsia="黑体"/>
          <w:sz w:val="32"/>
        </w:rPr>
        <w:t>第一部分 单位概况</w:t>
      </w:r>
    </w:p>
    <w:p w14:paraId="6569228B">
      <w:pPr>
        <w:spacing w:line="640" w:lineRule="exact"/>
        <w:ind w:firstLine="640"/>
        <w:jc w:val="both"/>
        <w:outlineLvl w:val="2"/>
      </w:pPr>
      <w:r>
        <w:rPr>
          <w:rFonts w:ascii="黑体" w:hAnsi="黑体" w:eastAsia="黑体"/>
          <w:sz w:val="32"/>
        </w:rPr>
        <w:t>一、主要职能</w:t>
      </w:r>
    </w:p>
    <w:p w14:paraId="2AAEEA2E">
      <w:pPr>
        <w:spacing w:line="580" w:lineRule="exact"/>
        <w:ind w:firstLine="640"/>
        <w:jc w:val="both"/>
      </w:pPr>
      <w:r>
        <w:rPr>
          <w:rFonts w:ascii="仿宋_GB2312" w:hAnsi="仿宋_GB2312" w:eastAsia="仿宋_GB2312"/>
          <w:sz w:val="32"/>
        </w:rPr>
        <w:t>1.承担农村居民健康档案规范建档指导、管理及服务。</w:t>
      </w:r>
    </w:p>
    <w:p w14:paraId="6799E30E">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w:t>
      </w:r>
    </w:p>
    <w:p w14:paraId="51D30B06">
      <w:pPr>
        <w:spacing w:line="580" w:lineRule="exact"/>
        <w:ind w:firstLine="640"/>
        <w:jc w:val="both"/>
      </w:pPr>
      <w:r>
        <w:rPr>
          <w:rFonts w:ascii="仿宋_GB2312" w:hAnsi="仿宋_GB2312" w:eastAsia="仿宋_GB2312"/>
          <w:sz w:val="32"/>
        </w:rPr>
        <w:t>3.提供并组织实施辖区预防接种服务，落实国家免疫规划。</w:t>
      </w:r>
    </w:p>
    <w:p w14:paraId="5C72B442">
      <w:pPr>
        <w:spacing w:line="580" w:lineRule="exact"/>
        <w:ind w:firstLine="640"/>
        <w:jc w:val="both"/>
      </w:pPr>
      <w:r>
        <w:rPr>
          <w:rFonts w:ascii="仿宋_GB2312" w:hAnsi="仿宋_GB2312" w:eastAsia="仿宋_GB2312"/>
          <w:sz w:val="32"/>
        </w:rPr>
        <w:t>4.及时发现、登记并报告辖区内发现的</w:t>
      </w:r>
      <w:r>
        <w:rPr>
          <w:rFonts w:hint="eastAsia" w:ascii="仿宋_GB2312" w:hAnsi="仿宋_GB2312" w:eastAsia="仿宋_GB2312"/>
          <w:sz w:val="32"/>
          <w:lang w:val="en-US" w:eastAsia="zh-CN"/>
        </w:rPr>
        <w:t>疾</w:t>
      </w:r>
      <w:r>
        <w:rPr>
          <w:rFonts w:ascii="仿宋_GB2312" w:hAnsi="仿宋_GB2312" w:eastAsia="仿宋_GB2312"/>
          <w:sz w:val="32"/>
        </w:rPr>
        <w:t>病病例和疑似病例，参与现场</w:t>
      </w:r>
      <w:r>
        <w:rPr>
          <w:rFonts w:hint="eastAsia" w:ascii="仿宋_GB2312" w:hAnsi="仿宋_GB2312" w:eastAsia="仿宋_GB2312"/>
          <w:sz w:val="32"/>
          <w:lang w:eastAsia="zh-CN"/>
        </w:rPr>
        <w:t>YQ</w:t>
      </w:r>
      <w:r>
        <w:rPr>
          <w:rFonts w:ascii="仿宋_GB2312" w:hAnsi="仿宋_GB2312" w:eastAsia="仿宋_GB2312"/>
          <w:sz w:val="32"/>
        </w:rPr>
        <w:t>处理。</w:t>
      </w:r>
    </w:p>
    <w:p w14:paraId="041AEA9F">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7DEF2C55">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5771B50E">
      <w:pPr>
        <w:spacing w:line="580" w:lineRule="exact"/>
        <w:ind w:firstLine="640"/>
        <w:jc w:val="both"/>
      </w:pPr>
      <w:r>
        <w:rPr>
          <w:rFonts w:ascii="仿宋_GB2312" w:hAnsi="仿宋_GB2312" w:eastAsia="仿宋_GB2312"/>
          <w:sz w:val="32"/>
        </w:rPr>
        <w:t>7.对辖区65岁及以上老年人进行登记管理，进行健康危险因素调查和一般体格检查，开展健康指导。</w:t>
      </w:r>
    </w:p>
    <w:p w14:paraId="43C26C3E">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57EECEF6">
      <w:pPr>
        <w:spacing w:line="580" w:lineRule="exact"/>
        <w:ind w:firstLine="640"/>
        <w:jc w:val="both"/>
      </w:pPr>
      <w:r>
        <w:rPr>
          <w:rFonts w:ascii="仿宋_GB2312" w:hAnsi="仿宋_GB2312" w:eastAsia="仿宋_GB2312"/>
          <w:sz w:val="32"/>
        </w:rPr>
        <w:t>9.对辖区重性精神疾病患者进行登记管理、治疗随访和康复指导。</w:t>
      </w:r>
    </w:p>
    <w:p w14:paraId="322A31E1">
      <w:pPr>
        <w:spacing w:line="580" w:lineRule="exact"/>
        <w:ind w:firstLine="640"/>
        <w:jc w:val="both"/>
      </w:pPr>
      <w:r>
        <w:rPr>
          <w:rFonts w:ascii="仿宋_GB2312" w:hAnsi="仿宋_GB2312" w:eastAsia="仿宋_GB2312"/>
          <w:sz w:val="32"/>
        </w:rPr>
        <w:t>10.负责辖区内突发公共卫生事件的报告并协助处理。</w:t>
      </w:r>
    </w:p>
    <w:p w14:paraId="0A02BA14">
      <w:pPr>
        <w:spacing w:line="580" w:lineRule="exact"/>
        <w:ind w:firstLine="640"/>
        <w:jc w:val="both"/>
      </w:pPr>
      <w:r>
        <w:rPr>
          <w:rFonts w:ascii="仿宋_GB2312" w:hAnsi="仿宋_GB2312" w:eastAsia="仿宋_GB2312"/>
          <w:sz w:val="32"/>
        </w:rPr>
        <w:t>11.做好卫生行政部门规定的其他公共卫生服务。</w:t>
      </w:r>
    </w:p>
    <w:p w14:paraId="6E832F0A">
      <w:pPr>
        <w:spacing w:line="580" w:lineRule="exact"/>
        <w:ind w:firstLine="640"/>
        <w:jc w:val="both"/>
      </w:pPr>
      <w:r>
        <w:rPr>
          <w:rFonts w:ascii="仿宋_GB2312" w:hAnsi="仿宋_GB2312" w:eastAsia="仿宋_GB2312"/>
          <w:sz w:val="32"/>
        </w:rPr>
        <w:t>12.提供政府卫生行政部门批准的其他适宜的医疗服务。</w:t>
      </w:r>
    </w:p>
    <w:p w14:paraId="27445D75">
      <w:pPr>
        <w:spacing w:line="640" w:lineRule="exact"/>
        <w:ind w:firstLine="640"/>
        <w:jc w:val="both"/>
        <w:outlineLvl w:val="2"/>
      </w:pPr>
      <w:r>
        <w:rPr>
          <w:rFonts w:ascii="黑体" w:hAnsi="黑体" w:eastAsia="黑体"/>
          <w:sz w:val="32"/>
        </w:rPr>
        <w:t>二、机构设置及人员情况</w:t>
      </w:r>
    </w:p>
    <w:p w14:paraId="0CC8934C">
      <w:pPr>
        <w:spacing w:line="580" w:lineRule="exact"/>
        <w:ind w:firstLine="640"/>
        <w:jc w:val="both"/>
      </w:pPr>
      <w:r>
        <w:rPr>
          <w:rFonts w:ascii="仿宋_GB2312" w:hAnsi="仿宋_GB2312" w:eastAsia="仿宋_GB2312"/>
          <w:sz w:val="32"/>
        </w:rPr>
        <w:t>阿克陶县皮拉勒乡恰瓦克卫生院2024年度，实有人数43人，其中：在职人员34人，增加0人；离休人员0人，增加0人；退休人员9人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3C891F22">
      <w:pPr>
        <w:spacing w:line="580" w:lineRule="exact"/>
        <w:ind w:firstLine="640"/>
        <w:jc w:val="both"/>
      </w:pPr>
      <w:r>
        <w:rPr>
          <w:rFonts w:ascii="仿宋_GB2312" w:hAnsi="仿宋_GB2312" w:eastAsia="仿宋_GB2312"/>
          <w:sz w:val="32"/>
        </w:rPr>
        <w:t>阿克陶县皮拉勒乡恰瓦克卫生院无下属预算单位，下设13个科室，分别是：健康档案室、体检办公室、内科、妇产科、防保科、儿科、B超、放射科、心电图、检验科、中医科、财务科、办公室。</w:t>
      </w:r>
    </w:p>
    <w:p w14:paraId="471B51DC">
      <w:r>
        <w:br w:type="page"/>
      </w:r>
    </w:p>
    <w:p w14:paraId="602DD03F">
      <w:pPr>
        <w:spacing w:line="240" w:lineRule="auto"/>
        <w:jc w:val="center"/>
        <w:outlineLvl w:val="1"/>
      </w:pPr>
      <w:r>
        <w:rPr>
          <w:rFonts w:ascii="黑体" w:hAnsi="黑体" w:eastAsia="黑体"/>
          <w:sz w:val="32"/>
        </w:rPr>
        <w:t>第二部分 部门决算情况说明</w:t>
      </w:r>
    </w:p>
    <w:p w14:paraId="1F0A35F5">
      <w:pPr>
        <w:spacing w:line="640" w:lineRule="exact"/>
        <w:ind w:firstLine="640"/>
        <w:jc w:val="both"/>
        <w:outlineLvl w:val="2"/>
      </w:pPr>
      <w:r>
        <w:rPr>
          <w:rFonts w:ascii="黑体" w:hAnsi="黑体" w:eastAsia="黑体"/>
          <w:sz w:val="32"/>
        </w:rPr>
        <w:t>一、收入支出决算总体情况说明</w:t>
      </w:r>
    </w:p>
    <w:p w14:paraId="0F221AC3">
      <w:pPr>
        <w:spacing w:line="580" w:lineRule="exact"/>
        <w:ind w:firstLine="640"/>
        <w:jc w:val="both"/>
      </w:pPr>
      <w:r>
        <w:rPr>
          <w:rFonts w:ascii="仿宋_GB2312" w:hAnsi="仿宋_GB2312" w:eastAsia="仿宋_GB2312"/>
          <w:b/>
          <w:sz w:val="32"/>
        </w:rPr>
        <w:t>2024年度收入总计1,435.23万元，</w:t>
      </w:r>
      <w:r>
        <w:rPr>
          <w:rFonts w:ascii="仿宋_GB2312" w:hAnsi="仿宋_GB2312" w:eastAsia="仿宋_GB2312"/>
          <w:b w:val="0"/>
          <w:sz w:val="32"/>
        </w:rPr>
        <w:t>其中：本年收入合计1,319.21万元，使用非财政拨款结余（含专用结余）0.00万元，年初结转和结余116.02万元。</w:t>
      </w:r>
    </w:p>
    <w:p w14:paraId="498B0AE0">
      <w:pPr>
        <w:spacing w:line="580" w:lineRule="exact"/>
        <w:ind w:firstLine="640"/>
        <w:jc w:val="both"/>
      </w:pPr>
      <w:r>
        <w:rPr>
          <w:rFonts w:ascii="仿宋_GB2312" w:hAnsi="仿宋_GB2312" w:eastAsia="仿宋_GB2312"/>
          <w:b/>
          <w:sz w:val="32"/>
        </w:rPr>
        <w:t>2024年度支出总计1,435.23万元，</w:t>
      </w:r>
      <w:r>
        <w:rPr>
          <w:rFonts w:ascii="仿宋_GB2312" w:hAnsi="仿宋_GB2312" w:eastAsia="仿宋_GB2312"/>
          <w:b w:val="0"/>
          <w:sz w:val="32"/>
        </w:rPr>
        <w:t>其中：本年支出合计1,219.52万元，结余分配0.00万元，年末结转和结余215.71万元。</w:t>
      </w:r>
    </w:p>
    <w:p w14:paraId="6724C831">
      <w:pPr>
        <w:spacing w:line="580" w:lineRule="exact"/>
        <w:ind w:firstLine="640"/>
        <w:jc w:val="both"/>
      </w:pPr>
      <w:r>
        <w:rPr>
          <w:rFonts w:ascii="仿宋_GB2312" w:hAnsi="仿宋_GB2312" w:eastAsia="仿宋_GB2312"/>
          <w:b w:val="0"/>
          <w:sz w:val="32"/>
        </w:rPr>
        <w:t>收入支出总体与上年相比，增加113.04万元，增长8.55%，主要原因是：本年在职人员工资调增，社保、公积金基数调增，人员经费增加；本年增加自治区本级彩票公益金（80岁以上老年人体检）项目补助资金；本年门诊、住院病人增加，导致医疗收入增加。</w:t>
      </w:r>
    </w:p>
    <w:p w14:paraId="6FDA830F">
      <w:pPr>
        <w:spacing w:line="640" w:lineRule="exact"/>
        <w:ind w:firstLine="640"/>
        <w:jc w:val="both"/>
        <w:outlineLvl w:val="2"/>
      </w:pPr>
      <w:r>
        <w:rPr>
          <w:rFonts w:ascii="黑体" w:hAnsi="黑体" w:eastAsia="黑体"/>
          <w:sz w:val="32"/>
        </w:rPr>
        <w:t>二、收入决算情况说明</w:t>
      </w:r>
    </w:p>
    <w:p w14:paraId="20585456">
      <w:pPr>
        <w:spacing w:line="580" w:lineRule="exact"/>
        <w:ind w:firstLine="640"/>
        <w:jc w:val="both"/>
      </w:pPr>
      <w:r>
        <w:rPr>
          <w:rFonts w:ascii="仿宋_GB2312" w:hAnsi="仿宋_GB2312" w:eastAsia="仿宋_GB2312"/>
          <w:b/>
          <w:sz w:val="32"/>
        </w:rPr>
        <w:t>本年收入1,319.21万元，</w:t>
      </w:r>
      <w:r>
        <w:rPr>
          <w:rFonts w:ascii="仿宋_GB2312" w:hAnsi="仿宋_GB2312" w:eastAsia="仿宋_GB2312"/>
          <w:b w:val="0"/>
          <w:sz w:val="32"/>
        </w:rPr>
        <w:t>其中：财政拨款收入969.25万元，占73.47%；上级补助收入0.00万元，占0.00%；事业收入349.65万元，占26.50%；经营收入0.00万元，占0.00%；附属单位上缴收入0.00万元，占0.00%；其他收入0.30万元，占0.02%。</w:t>
      </w:r>
    </w:p>
    <w:p w14:paraId="068494CA">
      <w:pPr>
        <w:spacing w:line="640" w:lineRule="exact"/>
        <w:ind w:firstLine="640"/>
        <w:jc w:val="both"/>
        <w:outlineLvl w:val="2"/>
      </w:pPr>
      <w:r>
        <w:rPr>
          <w:rFonts w:ascii="黑体" w:hAnsi="黑体" w:eastAsia="黑体"/>
          <w:sz w:val="32"/>
        </w:rPr>
        <w:t>三、支出决算情况说明</w:t>
      </w:r>
    </w:p>
    <w:p w14:paraId="34E04A71">
      <w:pPr>
        <w:spacing w:line="580" w:lineRule="exact"/>
        <w:ind w:firstLine="640"/>
        <w:jc w:val="both"/>
      </w:pPr>
      <w:r>
        <w:rPr>
          <w:rFonts w:ascii="仿宋_GB2312" w:hAnsi="仿宋_GB2312" w:eastAsia="仿宋_GB2312"/>
          <w:b/>
          <w:sz w:val="32"/>
        </w:rPr>
        <w:t>本年支出1,219.52万元，</w:t>
      </w:r>
      <w:r>
        <w:rPr>
          <w:rFonts w:ascii="仿宋_GB2312" w:hAnsi="仿宋_GB2312" w:eastAsia="仿宋_GB2312"/>
          <w:b w:val="0"/>
          <w:sz w:val="32"/>
        </w:rPr>
        <w:t>其中：基本支出961.68万元，占78.86%；项目支出257.84万元，占21.14%；上缴上级支出0.00万元，占0.00%；经营支出0.00万元，占0.00%；对附属单位补助支出0.00万元，占0.00%。</w:t>
      </w:r>
    </w:p>
    <w:p w14:paraId="18573636">
      <w:pPr>
        <w:spacing w:line="640" w:lineRule="exact"/>
        <w:ind w:firstLine="640"/>
        <w:jc w:val="both"/>
        <w:outlineLvl w:val="2"/>
      </w:pPr>
      <w:r>
        <w:rPr>
          <w:rFonts w:ascii="黑体" w:hAnsi="黑体" w:eastAsia="黑体"/>
          <w:sz w:val="32"/>
        </w:rPr>
        <w:t>四、财政拨款收入支出决算总体情况说明</w:t>
      </w:r>
    </w:p>
    <w:p w14:paraId="71631EA6">
      <w:pPr>
        <w:spacing w:line="580" w:lineRule="exact"/>
        <w:ind w:firstLine="640"/>
        <w:jc w:val="both"/>
      </w:pPr>
      <w:r>
        <w:rPr>
          <w:rFonts w:ascii="仿宋_GB2312" w:hAnsi="仿宋_GB2312" w:eastAsia="仿宋_GB2312"/>
          <w:b/>
          <w:sz w:val="32"/>
        </w:rPr>
        <w:t>2024年度财政拨款收入总计969.25万元，</w:t>
      </w:r>
      <w:r>
        <w:rPr>
          <w:rFonts w:ascii="仿宋_GB2312" w:hAnsi="仿宋_GB2312" w:eastAsia="仿宋_GB2312"/>
          <w:b w:val="0"/>
          <w:sz w:val="32"/>
        </w:rPr>
        <w:t>其中：年初财政拨款结转和结余0.00万元，本年财政拨款收入969.25万元。</w:t>
      </w:r>
      <w:r>
        <w:rPr>
          <w:rFonts w:ascii="仿宋_GB2312" w:hAnsi="仿宋_GB2312" w:eastAsia="仿宋_GB2312"/>
          <w:b/>
          <w:sz w:val="32"/>
        </w:rPr>
        <w:t>财政拨款支出总计969.25万元，</w:t>
      </w:r>
      <w:r>
        <w:rPr>
          <w:rFonts w:ascii="仿宋_GB2312" w:hAnsi="仿宋_GB2312" w:eastAsia="仿宋_GB2312"/>
          <w:b w:val="0"/>
          <w:sz w:val="32"/>
        </w:rPr>
        <w:t>其中：年末财政拨款结转和结余0.00万元，本年财政拨款支出969.25万元。</w:t>
      </w:r>
    </w:p>
    <w:p w14:paraId="302DAC0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减少42.87万元，下降4.24%，主要原因是：本年减少公益性岗位村医经费；本年自治区乡村医生补助资金较上年减少。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843.64万元，决算数969.25万元，预决算差异率14.89%，主要原因是：年中追加人员经费及人员工资、社保、公积金基数调增部分资金；年中追加自治区医疗服务与保障能力提升卫生健康人才队伍建设补助项目乡村医生补助、中央基本公共卫生服务补助资金，导致预决算存在差异。</w:t>
      </w:r>
    </w:p>
    <w:p w14:paraId="0AE559B2">
      <w:pPr>
        <w:spacing w:line="640" w:lineRule="exact"/>
        <w:ind w:firstLine="640"/>
        <w:jc w:val="both"/>
        <w:outlineLvl w:val="2"/>
      </w:pPr>
      <w:r>
        <w:rPr>
          <w:rFonts w:ascii="黑体" w:hAnsi="黑体" w:eastAsia="黑体"/>
          <w:sz w:val="32"/>
        </w:rPr>
        <w:t>五、一般公共预算财政拨款支出决算情况说明</w:t>
      </w:r>
    </w:p>
    <w:p w14:paraId="08226DB1">
      <w:pPr>
        <w:spacing w:line="640" w:lineRule="exact"/>
        <w:ind w:firstLine="640"/>
        <w:jc w:val="both"/>
        <w:outlineLvl w:val="3"/>
      </w:pPr>
      <w:r>
        <w:rPr>
          <w:rFonts w:ascii="楷体_GB2312" w:hAnsi="楷体_GB2312" w:eastAsia="楷体_GB2312"/>
          <w:b/>
          <w:sz w:val="32"/>
        </w:rPr>
        <w:t>（一）一般公共预算财政拨款支出决算总体情况</w:t>
      </w:r>
    </w:p>
    <w:p w14:paraId="17097424">
      <w:pPr>
        <w:spacing w:line="580" w:lineRule="exact"/>
        <w:ind w:firstLine="640"/>
        <w:jc w:val="both"/>
      </w:pPr>
      <w:r>
        <w:rPr>
          <w:rFonts w:ascii="仿宋_GB2312" w:hAnsi="仿宋_GB2312" w:eastAsia="仿宋_GB2312"/>
          <w:b/>
          <w:sz w:val="32"/>
        </w:rPr>
        <w:t>2024年度一般公共预算财政拨款支出968.28万元，</w:t>
      </w:r>
      <w:r>
        <w:rPr>
          <w:rFonts w:ascii="仿宋_GB2312" w:hAnsi="仿宋_GB2312" w:eastAsia="仿宋_GB2312"/>
          <w:b w:val="0"/>
          <w:sz w:val="32"/>
        </w:rPr>
        <w:t>占本年支出合计的79.40%。</w:t>
      </w:r>
      <w:r>
        <w:rPr>
          <w:rFonts w:ascii="仿宋_GB2312" w:hAnsi="仿宋_GB2312" w:eastAsia="仿宋_GB2312"/>
          <w:b/>
          <w:sz w:val="32"/>
        </w:rPr>
        <w:t>与上年相比，</w:t>
      </w:r>
      <w:r>
        <w:rPr>
          <w:rFonts w:ascii="仿宋_GB2312" w:hAnsi="仿宋_GB2312" w:eastAsia="仿宋_GB2312"/>
          <w:b w:val="0"/>
          <w:sz w:val="32"/>
        </w:rPr>
        <w:t>减少43.44万元，下降4.29%，主要原因是：本年减少公益性岗位村医经费；本年自治区乡村医生补助资金较上年减少。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843.64万元，决算数968.28万元，预决算差异率14.77%，主要原因是：年中追加人员经费及人员工资、社保、公积金基数调增部分资金；年中追加自治区医疗服务与保障能力提升卫生健康人才队伍建设补助项目乡村医生补助、中央基本公共卫生服务补助资金，导致预决算存在差异。</w:t>
      </w:r>
    </w:p>
    <w:p w14:paraId="096B825E">
      <w:pPr>
        <w:spacing w:line="640" w:lineRule="exact"/>
        <w:ind w:firstLine="640"/>
        <w:jc w:val="both"/>
        <w:outlineLvl w:val="3"/>
      </w:pPr>
      <w:r>
        <w:rPr>
          <w:rFonts w:ascii="楷体_GB2312" w:hAnsi="楷体_GB2312" w:eastAsia="楷体_GB2312"/>
          <w:b/>
          <w:sz w:val="32"/>
        </w:rPr>
        <w:t>（二）一般公共预算财政拨款支出决算结构情况</w:t>
      </w:r>
    </w:p>
    <w:p w14:paraId="788F6001">
      <w:pPr>
        <w:spacing w:line="580" w:lineRule="exact"/>
        <w:ind w:firstLine="640"/>
        <w:jc w:val="both"/>
      </w:pPr>
      <w:r>
        <w:rPr>
          <w:rFonts w:ascii="仿宋_GB2312" w:hAnsi="仿宋_GB2312" w:eastAsia="仿宋_GB2312"/>
          <w:b w:val="0"/>
          <w:sz w:val="32"/>
        </w:rPr>
        <w:t>1.社会保障和就业支出(类)79.57万元,占8.22%。</w:t>
      </w:r>
    </w:p>
    <w:p w14:paraId="55FC7803">
      <w:pPr>
        <w:spacing w:line="580" w:lineRule="exact"/>
        <w:ind w:firstLine="640"/>
        <w:jc w:val="both"/>
      </w:pPr>
      <w:r>
        <w:rPr>
          <w:rFonts w:ascii="仿宋_GB2312" w:hAnsi="仿宋_GB2312" w:eastAsia="仿宋_GB2312"/>
          <w:b w:val="0"/>
          <w:sz w:val="32"/>
        </w:rPr>
        <w:t>2.卫生健康支出(类)834.34万元,占86.17%。</w:t>
      </w:r>
    </w:p>
    <w:p w14:paraId="2C0105A5">
      <w:pPr>
        <w:spacing w:line="580" w:lineRule="exact"/>
        <w:ind w:firstLine="640"/>
        <w:jc w:val="both"/>
      </w:pPr>
      <w:r>
        <w:rPr>
          <w:rFonts w:ascii="仿宋_GB2312" w:hAnsi="仿宋_GB2312" w:eastAsia="仿宋_GB2312"/>
          <w:b w:val="0"/>
          <w:sz w:val="32"/>
        </w:rPr>
        <w:t>3.住房保障支出(类)54.36万元,占5.61%。</w:t>
      </w:r>
    </w:p>
    <w:p w14:paraId="0F46CE00">
      <w:pPr>
        <w:spacing w:line="640" w:lineRule="exact"/>
        <w:ind w:firstLine="640"/>
        <w:jc w:val="both"/>
        <w:outlineLvl w:val="3"/>
      </w:pPr>
      <w:r>
        <w:rPr>
          <w:rFonts w:ascii="楷体_GB2312" w:hAnsi="楷体_GB2312" w:eastAsia="楷体_GB2312"/>
          <w:b/>
          <w:sz w:val="32"/>
        </w:rPr>
        <w:t>（三）一般公共预算财政拨款支出决算具体情况</w:t>
      </w:r>
    </w:p>
    <w:p w14:paraId="1CE200F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1.社会保障和就业支出(类)行政事业单位养老支出(款)事业单位离退休(项):支出决算数为10.97万元，比上年决算增加1.84万元，增长20.15%,主要原因是：本年增加退休人员基础绩效奖，退休费支出增加。</w:t>
      </w:r>
    </w:p>
    <w:p w14:paraId="028BD0D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68.60万元，比上年决算增加10.31万元，增长17.69%,主要原因是：本年在职人员工资基数调增，养老缴费基数上涨，相应支出增加。</w:t>
      </w:r>
    </w:p>
    <w:p w14:paraId="227CC7F2">
      <w:pPr>
        <w:spacing w:line="580" w:lineRule="exact"/>
        <w:ind w:firstLine="640"/>
        <w:jc w:val="both"/>
      </w:pPr>
      <w:r>
        <w:rPr>
          <w:rFonts w:ascii="仿宋_GB2312" w:hAnsi="仿宋_GB2312" w:eastAsia="仿宋_GB2312"/>
          <w:b w:val="0"/>
          <w:sz w:val="32"/>
        </w:rPr>
        <w:t>3.卫生健康支出(类)基层医疗卫生机构(款)乡镇卫生院(项):支出决算数为554.25万元，比上年决算减少20.41万元，下降3.55%,主要原因是：本年较上年减少乡村医生补助资金。</w:t>
      </w:r>
    </w:p>
    <w:p w14:paraId="3C3CC16D">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42.95万元，比上年决算增加6.73万元，增长18.58%,主要原因是：本年增加自治区医疗服务与保障能力提升卫生健康人才队伍建设补助项目乡村医生补助。</w:t>
      </w:r>
    </w:p>
    <w:p w14:paraId="0B7EFC26">
      <w:pPr>
        <w:spacing w:line="580" w:lineRule="exact"/>
        <w:ind w:firstLine="640"/>
        <w:jc w:val="both"/>
      </w:pPr>
      <w:r>
        <w:rPr>
          <w:rFonts w:ascii="仿宋_GB2312" w:hAnsi="仿宋_GB2312" w:eastAsia="仿宋_GB2312"/>
          <w:b w:val="0"/>
          <w:sz w:val="32"/>
        </w:rPr>
        <w:t>5.卫生健康支出(类)公共卫生(款)基本公共卫生服务(项):支出决算数为200.04万元，比上年决算增加45.24万元，增长29.22%,主要原因是：本年增加中央基本公共卫生服务补助资金。</w:t>
      </w:r>
    </w:p>
    <w:p w14:paraId="68F0AE08">
      <w:pPr>
        <w:spacing w:line="580" w:lineRule="exact"/>
        <w:ind w:firstLine="640"/>
        <w:jc w:val="both"/>
      </w:pPr>
      <w:r>
        <w:rPr>
          <w:rFonts w:ascii="仿宋_GB2312" w:hAnsi="仿宋_GB2312" w:eastAsia="仿宋_GB2312"/>
          <w:b w:val="0"/>
          <w:sz w:val="32"/>
        </w:rPr>
        <w:t>6.卫生健康支出(类)公共卫生(款)其他公共卫生支出(项):支出决算数为13.89万元，比上年决算减少96.15万元，下降87.38%,主要原因是：本年自治区乡村医生补助资金较上年减少。</w:t>
      </w:r>
    </w:p>
    <w:p w14:paraId="1817E701">
      <w:pPr>
        <w:spacing w:line="580" w:lineRule="exact"/>
        <w:ind w:firstLine="640"/>
        <w:jc w:val="both"/>
      </w:pPr>
      <w:r>
        <w:rPr>
          <w:rFonts w:ascii="仿宋_GB2312" w:hAnsi="仿宋_GB2312" w:eastAsia="仿宋_GB2312"/>
          <w:b w:val="0"/>
          <w:sz w:val="32"/>
        </w:rPr>
        <w:t>7.卫生健康支出(类)行政事业单位医疗(款)事业单位医疗(项):支出决算数为23.22万元，比上年决算增加2.73万元，增长13.32%,主要原因是：本年在职人员工资基数调增，医疗缴费基数上涨，相应支出增加。</w:t>
      </w:r>
    </w:p>
    <w:p w14:paraId="2FCE6912">
      <w:pPr>
        <w:spacing w:line="580" w:lineRule="exact"/>
        <w:ind w:firstLine="640"/>
        <w:jc w:val="both"/>
      </w:pPr>
      <w:r>
        <w:rPr>
          <w:rFonts w:ascii="仿宋_GB2312" w:hAnsi="仿宋_GB2312" w:eastAsia="仿宋_GB2312"/>
          <w:b w:val="0"/>
          <w:sz w:val="32"/>
        </w:rPr>
        <w:t>8.住房保障支出(类)住房改革支出(款)住房公积金(项):支出决算数为54.36万元，比上年决算增加6.28万元，增长13.06%,主要原因是：本年在职人员工资基数调增，公积金缴费基数上涨，相应支出增加。</w:t>
      </w:r>
    </w:p>
    <w:p w14:paraId="2678FD08">
      <w:pPr>
        <w:spacing w:line="640" w:lineRule="exact"/>
        <w:ind w:firstLine="640"/>
        <w:jc w:val="both"/>
        <w:outlineLvl w:val="2"/>
      </w:pPr>
      <w:r>
        <w:rPr>
          <w:rFonts w:ascii="黑体" w:hAnsi="黑体" w:eastAsia="黑体"/>
          <w:sz w:val="32"/>
        </w:rPr>
        <w:t>六、一般公共预算财政拨款基本支出决算情况说明</w:t>
      </w:r>
    </w:p>
    <w:p w14:paraId="4C8FF928">
      <w:pPr>
        <w:spacing w:line="580" w:lineRule="exact"/>
        <w:ind w:firstLine="640"/>
        <w:jc w:val="both"/>
      </w:pPr>
      <w:r>
        <w:rPr>
          <w:rFonts w:ascii="仿宋_GB2312" w:hAnsi="仿宋_GB2312" w:eastAsia="仿宋_GB2312"/>
          <w:b w:val="0"/>
          <w:sz w:val="32"/>
        </w:rPr>
        <w:t>2024年度一般公共预算财政拨款基本支出711.41万元，其中：</w:t>
      </w:r>
      <w:r>
        <w:rPr>
          <w:rFonts w:ascii="仿宋_GB2312" w:hAnsi="仿宋_GB2312" w:eastAsia="仿宋_GB2312"/>
          <w:b/>
          <w:sz w:val="32"/>
        </w:rPr>
        <w:t>人员经费711.41万元，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包括：基本工资、津贴补贴、奖金、机关事业单位基本养老保险缴费、职工基本医疗保险缴费、其他社会保障缴费、住房公积金、其他工资福利支出、退休费、生活补助。</w:t>
      </w:r>
    </w:p>
    <w:p w14:paraId="06B880D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47ADE16">
      <w:pPr>
        <w:spacing w:line="640" w:lineRule="exact"/>
        <w:ind w:firstLine="640"/>
        <w:jc w:val="both"/>
        <w:outlineLvl w:val="2"/>
      </w:pPr>
      <w:r>
        <w:rPr>
          <w:rFonts w:ascii="黑体" w:hAnsi="黑体" w:eastAsia="黑体"/>
          <w:sz w:val="32"/>
        </w:rPr>
        <w:t>七、政府性基金预算财政拨款收入支出决算情况说明</w:t>
      </w:r>
    </w:p>
    <w:p w14:paraId="57444E07">
      <w:pPr>
        <w:spacing w:line="580" w:lineRule="exact"/>
        <w:ind w:firstLine="640"/>
        <w:jc w:val="both"/>
      </w:pPr>
      <w:r>
        <w:rPr>
          <w:rFonts w:ascii="仿宋_GB2312" w:hAnsi="仿宋_GB2312" w:eastAsia="仿宋_GB2312"/>
          <w:b/>
          <w:sz w:val="32"/>
        </w:rPr>
        <w:t>2024年度政府性基金预算财政拨款收入总计0.98万元，</w:t>
      </w:r>
      <w:r>
        <w:rPr>
          <w:rFonts w:ascii="仿宋_GB2312" w:hAnsi="仿宋_GB2312" w:eastAsia="仿宋_GB2312"/>
          <w:b w:val="0"/>
          <w:sz w:val="32"/>
        </w:rPr>
        <w:t>其中：年初结转和结余0.00万元，本年收入0.98万元。</w:t>
      </w:r>
      <w:r>
        <w:rPr>
          <w:rFonts w:ascii="仿宋_GB2312" w:hAnsi="仿宋_GB2312" w:eastAsia="仿宋_GB2312"/>
          <w:b/>
          <w:sz w:val="32"/>
        </w:rPr>
        <w:t>政府性基金预算财政拨款支出总计0.98万元，</w:t>
      </w:r>
      <w:r>
        <w:rPr>
          <w:rFonts w:ascii="仿宋_GB2312" w:hAnsi="仿宋_GB2312" w:eastAsia="仿宋_GB2312"/>
          <w:b w:val="0"/>
          <w:sz w:val="32"/>
        </w:rPr>
        <w:t>其中：年末结转和结余0.00万元，本年支出0.98万元。</w:t>
      </w:r>
    </w:p>
    <w:p w14:paraId="2565BA5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增加0.58万元，增长145.00%，主要原因是：本年增加自治区本级彩票公益金（80岁以上老年人体检）项目补助资金。</w:t>
      </w:r>
      <w:r>
        <w:rPr>
          <w:rFonts w:ascii="仿宋_GB2312" w:hAnsi="仿宋_GB2312" w:eastAsia="仿宋_GB2312"/>
          <w:b/>
          <w:sz w:val="32"/>
        </w:rPr>
        <w:t>与年初预算相比，</w:t>
      </w:r>
      <w:r>
        <w:rPr>
          <w:rFonts w:ascii="仿宋_GB2312" w:hAnsi="仿宋_GB2312" w:eastAsia="仿宋_GB2312"/>
          <w:b w:val="0"/>
          <w:sz w:val="32"/>
        </w:rPr>
        <w:t>年初预算数0.00万元，决算数0.98万元，预决算差异率100.00%，主要原因是：年中追加自治区本级彩票公益金（80岁以上老年人体检）项目补助资金，导致预决算存在差异。</w:t>
      </w:r>
    </w:p>
    <w:p w14:paraId="1CD98EAE">
      <w:pPr>
        <w:spacing w:line="580" w:lineRule="exact"/>
        <w:ind w:firstLine="640"/>
        <w:jc w:val="both"/>
      </w:pPr>
      <w:r>
        <w:rPr>
          <w:rFonts w:ascii="仿宋_GB2312" w:hAnsi="仿宋_GB2312" w:eastAsia="仿宋_GB2312"/>
          <w:b w:val="0"/>
          <w:sz w:val="32"/>
        </w:rPr>
        <w:t>政府性基金预算财政拨款支出0.98万元。</w:t>
      </w:r>
    </w:p>
    <w:p w14:paraId="43AF154E">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0.98万元，比上年决算增加0.58万元，增长145.00%,主要原因是：本年增加自治区本级彩票公益金（80岁以上老年人体检）项目补助资金。</w:t>
      </w:r>
    </w:p>
    <w:p w14:paraId="5B43F22E">
      <w:pPr>
        <w:spacing w:line="640" w:lineRule="exact"/>
        <w:ind w:firstLine="640"/>
        <w:jc w:val="both"/>
        <w:outlineLvl w:val="2"/>
      </w:pPr>
      <w:r>
        <w:rPr>
          <w:rFonts w:ascii="黑体" w:hAnsi="黑体" w:eastAsia="黑体"/>
          <w:sz w:val="32"/>
        </w:rPr>
        <w:t>八、国有资本经营预算财政拨款收入支出决算情况说明</w:t>
      </w:r>
    </w:p>
    <w:p w14:paraId="37BCE30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4E7329C">
      <w:pPr>
        <w:spacing w:line="640" w:lineRule="exact"/>
        <w:ind w:firstLine="640"/>
        <w:jc w:val="both"/>
        <w:outlineLvl w:val="2"/>
      </w:pPr>
      <w:r>
        <w:rPr>
          <w:rFonts w:ascii="黑体" w:hAnsi="黑体" w:eastAsia="黑体"/>
          <w:sz w:val="32"/>
        </w:rPr>
        <w:t>九、财政拨款“三公”经费支出决算情况说明</w:t>
      </w:r>
    </w:p>
    <w:p w14:paraId="0AADDF5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2B6F0A2">
      <w:pPr>
        <w:spacing w:line="580" w:lineRule="exact"/>
        <w:ind w:firstLine="640"/>
        <w:jc w:val="both"/>
      </w:pPr>
      <w:r>
        <w:rPr>
          <w:rFonts w:ascii="仿宋_GB2312" w:hAnsi="仿宋_GB2312" w:eastAsia="仿宋_GB2312"/>
          <w:b/>
          <w:sz w:val="32"/>
        </w:rPr>
        <w:t>具体情况如下：</w:t>
      </w:r>
    </w:p>
    <w:p w14:paraId="78B2022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12C70E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预算未安排公务用车运行维护费。</w:t>
      </w:r>
    </w:p>
    <w:p w14:paraId="6BFB0FE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29A09A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EACAC5B">
      <w:pPr>
        <w:spacing w:line="640" w:lineRule="exact"/>
        <w:ind w:firstLine="640"/>
        <w:jc w:val="both"/>
        <w:outlineLvl w:val="2"/>
      </w:pPr>
      <w:r>
        <w:rPr>
          <w:rFonts w:ascii="黑体" w:hAnsi="黑体" w:eastAsia="黑体"/>
          <w:sz w:val="32"/>
        </w:rPr>
        <w:t>十、其他重要事项的情况说明</w:t>
      </w:r>
    </w:p>
    <w:p w14:paraId="1DEBDC52">
      <w:pPr>
        <w:spacing w:line="640" w:lineRule="exact"/>
        <w:ind w:firstLine="640"/>
        <w:jc w:val="both"/>
        <w:outlineLvl w:val="3"/>
      </w:pPr>
      <w:r>
        <w:rPr>
          <w:rFonts w:ascii="楷体_GB2312" w:hAnsi="楷体_GB2312" w:eastAsia="楷体_GB2312"/>
          <w:b/>
          <w:sz w:val="32"/>
        </w:rPr>
        <w:t>（一）机关运行经费及公用经费支出情况</w:t>
      </w:r>
    </w:p>
    <w:p w14:paraId="681609D5">
      <w:pPr>
        <w:spacing w:line="580" w:lineRule="exact"/>
        <w:ind w:firstLine="640"/>
        <w:jc w:val="both"/>
      </w:pPr>
      <w:r>
        <w:rPr>
          <w:rFonts w:ascii="仿宋_GB2312" w:hAnsi="仿宋_GB2312" w:eastAsia="仿宋_GB2312"/>
          <w:b w:val="0"/>
          <w:sz w:val="32"/>
        </w:rPr>
        <w:t>2024年度阿克陶县皮拉勒乡恰瓦克卫生院（事业单位）公用经费支出0.00万元，比上年减少1.50万元，下降100.00%，主要原因是：2024年未安排公用经费支出。</w:t>
      </w:r>
    </w:p>
    <w:p w14:paraId="1689D7B5">
      <w:pPr>
        <w:spacing w:line="640" w:lineRule="exact"/>
        <w:ind w:firstLine="640"/>
        <w:jc w:val="both"/>
        <w:outlineLvl w:val="3"/>
      </w:pPr>
      <w:r>
        <w:rPr>
          <w:rFonts w:ascii="楷体_GB2312" w:hAnsi="楷体_GB2312" w:eastAsia="楷体_GB2312"/>
          <w:b/>
          <w:sz w:val="32"/>
        </w:rPr>
        <w:t>（二）政府采购情况</w:t>
      </w:r>
    </w:p>
    <w:p w14:paraId="6A6FBB12">
      <w:pPr>
        <w:spacing w:line="580" w:lineRule="exact"/>
        <w:ind w:firstLine="640"/>
        <w:jc w:val="both"/>
      </w:pPr>
      <w:r>
        <w:rPr>
          <w:rFonts w:ascii="仿宋_GB2312" w:hAnsi="仿宋_GB2312" w:eastAsia="仿宋_GB2312"/>
          <w:b w:val="0"/>
          <w:sz w:val="32"/>
        </w:rPr>
        <w:t>2024年度政府采购支出总额20.62万元，其中：政府采购货物支出0.03万元、政府采购工程支出0.00万元、政府采购服务支出20.59万元。</w:t>
      </w:r>
    </w:p>
    <w:p w14:paraId="310EC463">
      <w:pPr>
        <w:spacing w:line="580" w:lineRule="exact"/>
        <w:ind w:firstLine="640"/>
        <w:jc w:val="both"/>
      </w:pPr>
      <w:r>
        <w:rPr>
          <w:rFonts w:ascii="仿宋_GB2312" w:hAnsi="仿宋_GB2312" w:eastAsia="仿宋_GB2312"/>
          <w:b w:val="0"/>
          <w:sz w:val="32"/>
        </w:rPr>
        <w:t>授予中小企业合同金额19.56万元，占政府采购支出总额的94.86%，其中：授予小微企业合同金额19.56万元，占政府采购支出总额的94.86%。</w:t>
      </w:r>
    </w:p>
    <w:p w14:paraId="3D32CD24">
      <w:pPr>
        <w:spacing w:line="640" w:lineRule="exact"/>
        <w:ind w:firstLine="640"/>
        <w:jc w:val="both"/>
        <w:outlineLvl w:val="3"/>
      </w:pPr>
      <w:r>
        <w:rPr>
          <w:rFonts w:ascii="楷体_GB2312" w:hAnsi="楷体_GB2312" w:eastAsia="楷体_GB2312"/>
          <w:b/>
          <w:sz w:val="32"/>
        </w:rPr>
        <w:t>（三）国有资产占用情况说明</w:t>
      </w:r>
    </w:p>
    <w:p w14:paraId="7DDBC86D">
      <w:pPr>
        <w:spacing w:line="580" w:lineRule="exact"/>
        <w:ind w:firstLine="640"/>
        <w:jc w:val="both"/>
      </w:pPr>
      <w:r>
        <w:rPr>
          <w:rFonts w:ascii="仿宋_GB2312" w:hAnsi="仿宋_GB2312" w:eastAsia="仿宋_GB2312"/>
          <w:b w:val="0"/>
          <w:sz w:val="32"/>
        </w:rPr>
        <w:t>截至2024年12月31日，房屋7,638.14平方米，价值1,379.81万元。车辆2辆，价值22.88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00BBEDC9">
      <w:pPr>
        <w:spacing w:line="640" w:lineRule="exact"/>
        <w:ind w:firstLine="640"/>
        <w:jc w:val="both"/>
        <w:outlineLvl w:val="2"/>
      </w:pPr>
      <w:r>
        <w:rPr>
          <w:rFonts w:ascii="黑体" w:hAnsi="黑体" w:eastAsia="黑体"/>
          <w:sz w:val="32"/>
        </w:rPr>
        <w:t>十一、预算绩效的情况说明</w:t>
      </w:r>
    </w:p>
    <w:p w14:paraId="0BE2816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1,551.25万元，实际执行总额1,219.52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024753B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3C3CA27">
        <w:tblPrEx>
          <w:tblCellMar>
            <w:top w:w="0" w:type="dxa"/>
            <w:left w:w="108" w:type="dxa"/>
            <w:bottom w:w="0" w:type="dxa"/>
            <w:right w:w="108" w:type="dxa"/>
          </w:tblCellMar>
        </w:tblPrEx>
        <w:tc>
          <w:tcPr>
            <w:tcW w:w="8840" w:type="dxa"/>
            <w:gridSpan w:val="8"/>
            <w:vAlign w:val="center"/>
          </w:tcPr>
          <w:p w14:paraId="47F2ABA7">
            <w:pPr>
              <w:jc w:val="center"/>
            </w:pPr>
            <w:r>
              <w:rPr>
                <w:rFonts w:ascii="宋体" w:hAnsi="宋体" w:eastAsia="宋体"/>
                <w:sz w:val="24"/>
              </w:rPr>
              <w:t>单位整体支出绩效自评表</w:t>
            </w:r>
          </w:p>
        </w:tc>
      </w:tr>
      <w:tr w14:paraId="4128D55C">
        <w:tblPrEx>
          <w:tblCellMar>
            <w:top w:w="0" w:type="dxa"/>
            <w:left w:w="108" w:type="dxa"/>
            <w:bottom w:w="0" w:type="dxa"/>
            <w:right w:w="108" w:type="dxa"/>
          </w:tblCellMar>
        </w:tblPrEx>
        <w:tc>
          <w:tcPr>
            <w:tcW w:w="8840" w:type="dxa"/>
            <w:gridSpan w:val="8"/>
            <w:vAlign w:val="center"/>
          </w:tcPr>
          <w:p w14:paraId="776C5F54">
            <w:pPr>
              <w:jc w:val="center"/>
            </w:pPr>
            <w:r>
              <w:rPr>
                <w:rFonts w:ascii="宋体" w:hAnsi="宋体" w:eastAsia="宋体"/>
                <w:sz w:val="24"/>
              </w:rPr>
              <w:t>（2024年度）</w:t>
            </w:r>
          </w:p>
        </w:tc>
      </w:tr>
      <w:tr w14:paraId="353D2E8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D4DF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446C41">
            <w:pPr>
              <w:jc w:val="center"/>
            </w:pPr>
            <w:r>
              <w:rPr>
                <w:rFonts w:ascii="宋体" w:hAnsi="宋体" w:eastAsia="宋体"/>
                <w:sz w:val="16"/>
              </w:rPr>
              <w:t>阿克陶县皮拉勒乡恰瓦克卫生院</w:t>
            </w:r>
          </w:p>
        </w:tc>
      </w:tr>
      <w:tr w14:paraId="7CC60BF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9FB4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DFF7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4A68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ABAF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E2BF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2C3B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56DC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17C52">
            <w:pPr>
              <w:jc w:val="center"/>
            </w:pPr>
            <w:r>
              <w:rPr>
                <w:rFonts w:ascii="宋体" w:hAnsi="宋体" w:eastAsia="宋体"/>
                <w:sz w:val="16"/>
              </w:rPr>
              <w:t>得分</w:t>
            </w:r>
          </w:p>
        </w:tc>
      </w:tr>
      <w:tr w14:paraId="71411D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630F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C9B6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61085">
            <w:pPr>
              <w:jc w:val="center"/>
            </w:pPr>
            <w:r>
              <w:rPr>
                <w:rFonts w:ascii="宋体" w:hAnsi="宋体" w:eastAsia="宋体"/>
                <w:sz w:val="16"/>
              </w:rPr>
              <w:t>736.77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9D85A">
            <w:pPr>
              <w:jc w:val="center"/>
            </w:pPr>
            <w:r>
              <w:rPr>
                <w:rFonts w:ascii="宋体" w:hAnsi="宋体" w:eastAsia="宋体"/>
                <w:sz w:val="16"/>
              </w:rPr>
              <w:t>1,551.25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3D2D3">
            <w:pPr>
              <w:jc w:val="center"/>
            </w:pPr>
            <w:r>
              <w:rPr>
                <w:rFonts w:ascii="宋体" w:hAnsi="宋体" w:eastAsia="宋体"/>
                <w:sz w:val="16"/>
              </w:rPr>
              <w:t>1,219.52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2B1F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2D863">
            <w:pPr>
              <w:jc w:val="center"/>
            </w:pPr>
            <w:r>
              <w:rPr>
                <w:rFonts w:ascii="宋体" w:hAnsi="宋体" w:eastAsia="宋体"/>
                <w:sz w:val="16"/>
              </w:rPr>
              <w:t>78.62%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08A1A">
            <w:pPr>
              <w:jc w:val="center"/>
            </w:pPr>
            <w:r>
              <w:rPr>
                <w:rFonts w:ascii="宋体" w:hAnsi="宋体" w:eastAsia="宋体"/>
                <w:sz w:val="16"/>
              </w:rPr>
              <w:t>7.86</w:t>
            </w:r>
          </w:p>
        </w:tc>
      </w:tr>
      <w:tr w14:paraId="664B4C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0006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1946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BB19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9091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6DA3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6E7C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01E8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85565">
            <w:pPr>
              <w:jc w:val="center"/>
            </w:pPr>
            <w:r>
              <w:rPr>
                <w:rFonts w:ascii="宋体" w:hAnsi="宋体" w:eastAsia="宋体"/>
                <w:sz w:val="16"/>
              </w:rPr>
              <w:t>—</w:t>
            </w:r>
          </w:p>
        </w:tc>
      </w:tr>
      <w:tr w14:paraId="3FF470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DE19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C2A9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A7EBA">
            <w:pPr>
              <w:jc w:val="center"/>
            </w:pPr>
            <w:r>
              <w:rPr>
                <w:rFonts w:ascii="宋体" w:hAnsi="宋体" w:eastAsia="宋体"/>
                <w:sz w:val="16"/>
              </w:rPr>
              <w:t>736.77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1F501">
            <w:pPr>
              <w:jc w:val="center"/>
            </w:pPr>
            <w:r>
              <w:rPr>
                <w:rFonts w:ascii="宋体" w:hAnsi="宋体" w:eastAsia="宋体"/>
                <w:sz w:val="16"/>
              </w:rPr>
              <w:t>1,551.25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F3E2DF">
            <w:pPr>
              <w:jc w:val="center"/>
            </w:pPr>
            <w:r>
              <w:rPr>
                <w:rFonts w:ascii="宋体" w:hAnsi="宋体" w:eastAsia="宋体"/>
                <w:sz w:val="16"/>
              </w:rPr>
              <w:t>1,219.52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0259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149BB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53559">
            <w:pPr>
              <w:jc w:val="center"/>
            </w:pPr>
            <w:r>
              <w:rPr>
                <w:rFonts w:ascii="宋体" w:hAnsi="宋体" w:eastAsia="宋体"/>
                <w:sz w:val="16"/>
              </w:rPr>
              <w:t>—</w:t>
            </w:r>
          </w:p>
        </w:tc>
      </w:tr>
      <w:tr w14:paraId="1B02CB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7986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DCCE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470E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5FF9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132B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BF2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EB99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3EB1C">
            <w:pPr>
              <w:jc w:val="center"/>
            </w:pPr>
            <w:r>
              <w:rPr>
                <w:rFonts w:ascii="宋体" w:hAnsi="宋体" w:eastAsia="宋体"/>
                <w:sz w:val="16"/>
              </w:rPr>
              <w:t>—</w:t>
            </w:r>
          </w:p>
        </w:tc>
      </w:tr>
      <w:tr w14:paraId="097C109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C0CE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9E7AB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BFABE7">
            <w:pPr>
              <w:jc w:val="center"/>
            </w:pPr>
            <w:r>
              <w:rPr>
                <w:rFonts w:ascii="宋体" w:hAnsi="宋体" w:eastAsia="宋体"/>
                <w:sz w:val="16"/>
              </w:rPr>
              <w:t>实际完成情况</w:t>
            </w:r>
          </w:p>
        </w:tc>
      </w:tr>
      <w:tr w14:paraId="69FF78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D98BC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A4D14A">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648952">
            <w:pPr>
              <w:jc w:val="both"/>
            </w:pPr>
            <w:r>
              <w:rPr>
                <w:rFonts w:ascii="宋体" w:hAnsi="宋体" w:eastAsia="宋体"/>
                <w:sz w:val="16"/>
              </w:rPr>
              <w:t>本年度按时发放单位在职人数34人、退休人数9人,公岗10人等人员工资，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政府债务风险是全县重要任务之一，为了转变全县经济发展方式，促进经济持续健康发展，本部门高度重视，进行全面、真实、准确</w:t>
            </w:r>
            <w:r>
              <w:rPr>
                <w:rFonts w:hint="eastAsia" w:ascii="宋体" w:hAnsi="宋体"/>
                <w:sz w:val="16"/>
                <w:lang w:eastAsia="zh-CN"/>
              </w:rPr>
              <w:t>地</w:t>
            </w:r>
            <w:r>
              <w:rPr>
                <w:rFonts w:ascii="宋体" w:hAnsi="宋体" w:eastAsia="宋体"/>
                <w:sz w:val="16"/>
              </w:rPr>
              <w:t>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26DDC28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D223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A4EE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B173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D727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A2E2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A20A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3379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3DAD4">
            <w:pPr>
              <w:jc w:val="center"/>
            </w:pPr>
            <w:r>
              <w:rPr>
                <w:rFonts w:ascii="宋体" w:hAnsi="宋体" w:eastAsia="宋体"/>
                <w:sz w:val="16"/>
              </w:rPr>
              <w:t>得分</w:t>
            </w:r>
          </w:p>
        </w:tc>
      </w:tr>
      <w:tr w14:paraId="189EA2D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9BD95">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9465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B8418">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17341">
            <w:pPr>
              <w:jc w:val="center"/>
            </w:pPr>
            <w:r>
              <w:rPr>
                <w:rFonts w:ascii="宋体" w:hAnsi="宋体" w:eastAsia="宋体"/>
                <w:sz w:val="16"/>
              </w:rPr>
              <w:t>&gt;=53人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67DC1">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75F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35132">
            <w:pPr>
              <w:jc w:val="center"/>
            </w:pPr>
            <w:r>
              <w:rPr>
                <w:rFonts w:ascii="宋体" w:hAnsi="宋体" w:eastAsia="宋体"/>
                <w:sz w:val="16"/>
              </w:rPr>
              <w:t>=53人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0EE45">
            <w:pPr>
              <w:jc w:val="center"/>
            </w:pPr>
            <w:r>
              <w:rPr>
                <w:rFonts w:ascii="宋体" w:hAnsi="宋体" w:eastAsia="宋体"/>
                <w:sz w:val="16"/>
              </w:rPr>
              <w:t>10</w:t>
            </w:r>
          </w:p>
        </w:tc>
      </w:tr>
      <w:tr w14:paraId="5FF5BF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0B43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F52C3">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C65F3">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19EAE">
            <w:pPr>
              <w:jc w:val="center"/>
            </w:pPr>
            <w:r>
              <w:rPr>
                <w:rFonts w:ascii="宋体" w:hAnsi="宋体" w:eastAsia="宋体"/>
                <w:sz w:val="16"/>
              </w:rPr>
              <w:t>&lt;=736.77万元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7E0B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28A7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780D4">
            <w:pPr>
              <w:jc w:val="center"/>
            </w:pPr>
            <w:r>
              <w:rPr>
                <w:rFonts w:ascii="宋体" w:hAnsi="宋体" w:eastAsia="宋体"/>
                <w:sz w:val="16"/>
              </w:rPr>
              <w:t>=1219.52万元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8E30F">
            <w:pPr>
              <w:jc w:val="center"/>
            </w:pPr>
            <w:r>
              <w:rPr>
                <w:rFonts w:ascii="宋体" w:hAnsi="宋体" w:eastAsia="宋体"/>
                <w:sz w:val="16"/>
              </w:rPr>
              <w:t>6.04</w:t>
            </w:r>
          </w:p>
        </w:tc>
      </w:tr>
      <w:tr w14:paraId="43C954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E903A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3BCC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72A6F">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963B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6C18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59E5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9E0C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0B4D6">
            <w:pPr>
              <w:jc w:val="center"/>
            </w:pPr>
            <w:r>
              <w:rPr>
                <w:rFonts w:ascii="宋体" w:hAnsi="宋体" w:eastAsia="宋体"/>
                <w:sz w:val="16"/>
              </w:rPr>
              <w:t>20</w:t>
            </w:r>
          </w:p>
        </w:tc>
      </w:tr>
      <w:tr w14:paraId="027C5E6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8E6E8">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C3AC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031B1">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9CD5F">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847D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1643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B88A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C52AB">
            <w:pPr>
              <w:jc w:val="center"/>
            </w:pPr>
            <w:r>
              <w:rPr>
                <w:rFonts w:ascii="宋体" w:hAnsi="宋体" w:eastAsia="宋体"/>
                <w:sz w:val="16"/>
              </w:rPr>
              <w:t>10</w:t>
            </w:r>
          </w:p>
        </w:tc>
      </w:tr>
      <w:tr w14:paraId="4E29EDE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E7C96">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DE38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F6E0C">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5FCB8">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62C2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3A4F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7A6382">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75387">
            <w:pPr>
              <w:jc w:val="center"/>
            </w:pPr>
            <w:r>
              <w:rPr>
                <w:rFonts w:ascii="宋体" w:hAnsi="宋体" w:eastAsia="宋体"/>
                <w:sz w:val="16"/>
              </w:rPr>
              <w:t>10</w:t>
            </w:r>
          </w:p>
        </w:tc>
      </w:tr>
      <w:tr w14:paraId="51D87DB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7585C">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948C3">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AE442">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7572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722DA">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D006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1252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0BDCA">
            <w:pPr>
              <w:jc w:val="center"/>
            </w:pPr>
            <w:r>
              <w:rPr>
                <w:rFonts w:ascii="宋体" w:hAnsi="宋体" w:eastAsia="宋体"/>
                <w:sz w:val="16"/>
              </w:rPr>
              <w:t>20</w:t>
            </w:r>
          </w:p>
        </w:tc>
      </w:tr>
      <w:tr w14:paraId="5893408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5C829">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7B36C">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E5312">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FCA2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E7B15">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21811">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B44F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1262B">
            <w:pPr>
              <w:jc w:val="center"/>
            </w:pPr>
            <w:r>
              <w:rPr>
                <w:rFonts w:ascii="宋体" w:hAnsi="宋体" w:eastAsia="宋体"/>
                <w:sz w:val="16"/>
              </w:rPr>
              <w:t>5</w:t>
            </w:r>
          </w:p>
        </w:tc>
      </w:tr>
      <w:tr w14:paraId="7B324F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0AB8E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94E4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0782A">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7F2D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F30D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71A4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C2556">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B0D96">
            <w:pPr>
              <w:jc w:val="center"/>
            </w:pPr>
            <w:r>
              <w:rPr>
                <w:rFonts w:ascii="宋体" w:hAnsi="宋体" w:eastAsia="宋体"/>
                <w:sz w:val="16"/>
              </w:rPr>
              <w:t>5</w:t>
            </w:r>
          </w:p>
        </w:tc>
      </w:tr>
    </w:tbl>
    <w:p w14:paraId="4B3D543C">
      <w:r>
        <w:br w:type="page"/>
      </w:r>
    </w:p>
    <w:p w14:paraId="5C5245EB">
      <w:pPr>
        <w:spacing w:line="640" w:lineRule="exact"/>
        <w:ind w:firstLine="640"/>
        <w:jc w:val="both"/>
        <w:outlineLvl w:val="2"/>
      </w:pPr>
      <w:r>
        <w:rPr>
          <w:rFonts w:ascii="黑体" w:hAnsi="黑体" w:eastAsia="黑体"/>
          <w:sz w:val="32"/>
        </w:rPr>
        <w:t>十二、其他需说明的事项</w:t>
      </w:r>
    </w:p>
    <w:p w14:paraId="664BA8AE">
      <w:pPr>
        <w:spacing w:line="580" w:lineRule="exact"/>
        <w:ind w:firstLine="640"/>
        <w:jc w:val="both"/>
      </w:pPr>
      <w:r>
        <w:rPr>
          <w:rFonts w:ascii="仿宋_GB2312" w:hAnsi="仿宋_GB2312" w:eastAsia="仿宋_GB2312"/>
          <w:b w:val="0"/>
          <w:sz w:val="32"/>
        </w:rPr>
        <w:t>本单位无其他需说明的事项。</w:t>
      </w:r>
    </w:p>
    <w:p w14:paraId="01758028">
      <w:r>
        <w:br w:type="page"/>
      </w:r>
    </w:p>
    <w:p w14:paraId="10F5EDDC">
      <w:pPr>
        <w:spacing w:line="240" w:lineRule="auto"/>
        <w:jc w:val="center"/>
        <w:outlineLvl w:val="1"/>
      </w:pPr>
      <w:r>
        <w:rPr>
          <w:rFonts w:ascii="黑体" w:hAnsi="黑体" w:eastAsia="黑体"/>
          <w:sz w:val="32"/>
        </w:rPr>
        <w:t>第三部分 专业名词解释</w:t>
      </w:r>
    </w:p>
    <w:p w14:paraId="5C7682C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0953E2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87DDC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B53F58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24ACA2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433734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A41ACD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4594C0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9C537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AB225E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74F39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C7E81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C2BA23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3F071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CB94620">
      <w:r>
        <w:br w:type="page"/>
      </w:r>
    </w:p>
    <w:p w14:paraId="2FBD7464">
      <w:pPr>
        <w:spacing w:line="240" w:lineRule="auto"/>
        <w:jc w:val="center"/>
        <w:outlineLvl w:val="1"/>
      </w:pPr>
      <w:r>
        <w:rPr>
          <w:rFonts w:ascii="黑体" w:hAnsi="黑体" w:eastAsia="黑体"/>
          <w:sz w:val="32"/>
        </w:rPr>
        <w:t>第四部分 部门决算报表（见附表）</w:t>
      </w:r>
    </w:p>
    <w:p w14:paraId="0C70969F">
      <w:pPr>
        <w:spacing w:line="240" w:lineRule="auto"/>
        <w:ind w:firstLine="640"/>
        <w:jc w:val="both"/>
      </w:pPr>
      <w:r>
        <w:rPr>
          <w:rFonts w:ascii="仿宋_GB2312" w:hAnsi="仿宋_GB2312" w:eastAsia="仿宋_GB2312"/>
          <w:b w:val="0"/>
          <w:sz w:val="32"/>
        </w:rPr>
        <w:t>一、《收入支出决算总表》</w:t>
      </w:r>
    </w:p>
    <w:p w14:paraId="0C09FB1B">
      <w:pPr>
        <w:spacing w:line="240" w:lineRule="auto"/>
        <w:ind w:firstLine="640"/>
        <w:jc w:val="both"/>
      </w:pPr>
      <w:r>
        <w:rPr>
          <w:rFonts w:ascii="仿宋_GB2312" w:hAnsi="仿宋_GB2312" w:eastAsia="仿宋_GB2312"/>
          <w:b w:val="0"/>
          <w:sz w:val="32"/>
        </w:rPr>
        <w:t>二、《收入决算表》</w:t>
      </w:r>
    </w:p>
    <w:p w14:paraId="08D70325">
      <w:pPr>
        <w:spacing w:line="240" w:lineRule="auto"/>
        <w:ind w:firstLine="640"/>
        <w:jc w:val="both"/>
      </w:pPr>
      <w:r>
        <w:rPr>
          <w:rFonts w:ascii="仿宋_GB2312" w:hAnsi="仿宋_GB2312" w:eastAsia="仿宋_GB2312"/>
          <w:b w:val="0"/>
          <w:sz w:val="32"/>
        </w:rPr>
        <w:t>三、《支出决算表》</w:t>
      </w:r>
    </w:p>
    <w:p w14:paraId="0BC58BEC">
      <w:pPr>
        <w:spacing w:line="240" w:lineRule="auto"/>
        <w:ind w:firstLine="640"/>
        <w:jc w:val="both"/>
      </w:pPr>
      <w:r>
        <w:rPr>
          <w:rFonts w:ascii="仿宋_GB2312" w:hAnsi="仿宋_GB2312" w:eastAsia="仿宋_GB2312"/>
          <w:b w:val="0"/>
          <w:sz w:val="32"/>
        </w:rPr>
        <w:t>四、《财政拨款收入支出决算总表》</w:t>
      </w:r>
    </w:p>
    <w:p w14:paraId="60B64FC1">
      <w:pPr>
        <w:spacing w:line="240" w:lineRule="auto"/>
        <w:ind w:firstLine="640"/>
        <w:jc w:val="both"/>
      </w:pPr>
      <w:r>
        <w:rPr>
          <w:rFonts w:ascii="仿宋_GB2312" w:hAnsi="仿宋_GB2312" w:eastAsia="仿宋_GB2312"/>
          <w:b w:val="0"/>
          <w:sz w:val="32"/>
        </w:rPr>
        <w:t>五、《一般公共预算财政拨款支出决算表》</w:t>
      </w:r>
    </w:p>
    <w:p w14:paraId="5F4D0A2C">
      <w:pPr>
        <w:spacing w:line="240" w:lineRule="auto"/>
        <w:ind w:firstLine="640"/>
        <w:jc w:val="both"/>
      </w:pPr>
      <w:r>
        <w:rPr>
          <w:rFonts w:ascii="仿宋_GB2312" w:hAnsi="仿宋_GB2312" w:eastAsia="仿宋_GB2312"/>
          <w:b w:val="0"/>
          <w:sz w:val="32"/>
        </w:rPr>
        <w:t>六、《一般公共预算财政拨款基本支出决算表》</w:t>
      </w:r>
    </w:p>
    <w:p w14:paraId="0E180F4E">
      <w:pPr>
        <w:spacing w:line="240" w:lineRule="auto"/>
        <w:ind w:firstLine="640"/>
        <w:jc w:val="both"/>
      </w:pPr>
      <w:r>
        <w:rPr>
          <w:rFonts w:ascii="仿宋_GB2312" w:hAnsi="仿宋_GB2312" w:eastAsia="仿宋_GB2312"/>
          <w:b w:val="0"/>
          <w:sz w:val="32"/>
        </w:rPr>
        <w:t>七、《政府性基金预算财政拨款收入支出决算表》</w:t>
      </w:r>
    </w:p>
    <w:p w14:paraId="3EC7D237">
      <w:pPr>
        <w:spacing w:line="240" w:lineRule="auto"/>
        <w:ind w:firstLine="640"/>
        <w:jc w:val="both"/>
      </w:pPr>
      <w:r>
        <w:rPr>
          <w:rFonts w:ascii="仿宋_GB2312" w:hAnsi="仿宋_GB2312" w:eastAsia="仿宋_GB2312"/>
          <w:b w:val="0"/>
          <w:sz w:val="32"/>
        </w:rPr>
        <w:t>八、《国有资本经营预算财政拨款收入支出决算表》</w:t>
      </w:r>
    </w:p>
    <w:p w14:paraId="07A55884">
      <w:pPr>
        <w:spacing w:line="240" w:lineRule="auto"/>
        <w:ind w:firstLine="640"/>
        <w:jc w:val="both"/>
      </w:pPr>
      <w:r>
        <w:rPr>
          <w:rFonts w:ascii="仿宋_GB2312" w:hAnsi="仿宋_GB2312" w:eastAsia="仿宋_GB2312"/>
          <w:b w:val="0"/>
          <w:sz w:val="32"/>
        </w:rPr>
        <w:t>九、《财政拨款“三公”经费支出决算表》</w:t>
      </w:r>
    </w:p>
    <w:p w14:paraId="6165E7E5">
      <w:pPr>
        <w:spacing w:line="240" w:lineRule="auto"/>
        <w:ind w:firstLine="640"/>
        <w:jc w:val="both"/>
      </w:pPr>
    </w:p>
    <w:p w14:paraId="3BB43DC7">
      <w:pPr>
        <w:spacing w:line="240" w:lineRule="auto"/>
        <w:ind w:firstLine="640"/>
        <w:jc w:val="both"/>
      </w:pPr>
    </w:p>
    <w:p w14:paraId="65D011CD">
      <w:pPr>
        <w:spacing w:line="240" w:lineRule="auto"/>
        <w:ind w:firstLine="640"/>
        <w:jc w:val="both"/>
      </w:pPr>
    </w:p>
    <w:p w14:paraId="76F88CC6">
      <w:pPr>
        <w:spacing w:line="240" w:lineRule="auto"/>
        <w:ind w:firstLine="640"/>
        <w:jc w:val="both"/>
      </w:pPr>
    </w:p>
    <w:p w14:paraId="188D857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C13E24"/>
    <w:rsid w:val="4B4C0111"/>
    <w:rsid w:val="4BB23021"/>
    <w:rsid w:val="4F3F074E"/>
    <w:rsid w:val="50DB5F45"/>
    <w:rsid w:val="52F92565"/>
    <w:rsid w:val="532673F3"/>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6674</Words>
  <Characters>7565</Characters>
  <Lines>0</Lines>
  <Paragraphs>0</Paragraphs>
  <TotalTime>4</TotalTime>
  <ScaleCrop>false</ScaleCrop>
  <LinksUpToDate>false</LinksUpToDate>
  <CharactersWithSpaces>7574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2025-09-15T08:54:31Z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