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D0EC9F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阿克陶县布伦口乡中心小学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E9AD79">
      <w:r>
        <w:br w:type="page"/>
      </w:r>
    </w:p>
    <w:p w14:paraId="3038A967">
      <w:pPr>
        <w:spacing w:line="640" w:lineRule="exact"/>
        <w:jc w:val="center"/>
        <w:outlineLvl w:val="1"/>
      </w:pPr>
      <w:r>
        <w:rPr>
          <w:rFonts w:ascii="黑体" w:hAnsi="黑体" w:eastAsia="黑体"/>
          <w:sz w:val="32"/>
        </w:rPr>
        <w:t>第一部分 单位概况</w:t>
      </w:r>
    </w:p>
    <w:p w14:paraId="425D5EF6">
      <w:pPr>
        <w:spacing w:line="640" w:lineRule="exact"/>
        <w:ind w:firstLine="640"/>
        <w:jc w:val="both"/>
        <w:outlineLvl w:val="2"/>
      </w:pPr>
      <w:r>
        <w:rPr>
          <w:rFonts w:ascii="黑体" w:hAnsi="黑体" w:eastAsia="黑体"/>
          <w:sz w:val="32"/>
        </w:rPr>
        <w:t>一、主要职能</w:t>
      </w:r>
    </w:p>
    <w:p w14:paraId="14B811DA">
      <w:pPr>
        <w:spacing w:line="580" w:lineRule="exact"/>
        <w:ind w:firstLine="640"/>
        <w:jc w:val="both"/>
      </w:pPr>
      <w:r>
        <w:rPr>
          <w:rFonts w:ascii="仿宋_GB2312" w:hAnsi="仿宋_GB2312" w:eastAsia="仿宋_GB2312"/>
          <w:sz w:val="32"/>
        </w:rPr>
        <w:t>宣传贯彻执行党和国家的教育方针、教育政策、教育法律和法规，贯彻执行上级教育行政单位的各项规章制度，教育目标和计划能够体现全面发展的培养目标，并做到层层分解，落实于各项活动之中。认真贯彻德智体美劳全面发展原则，面向全体学生，做好分类指导因材施教。按照教育课程计划，开齐课程，开足课时，认真实施小学的教育管理，全面推进素质教育，全面提高教育教学质量，日常教学活动注重学生的个体差异，注重学生主体地位的发挥与学生行为习惯的培养，注重教学环境的创设及学生愉快学习方法的引导，多方位的开展教学，全面实施小学生教育，在注重教学的同时紧抓德育教育。</w:t>
      </w:r>
    </w:p>
    <w:p w14:paraId="7D3FDC8E">
      <w:pPr>
        <w:spacing w:line="640" w:lineRule="exact"/>
        <w:ind w:firstLine="640"/>
        <w:jc w:val="both"/>
        <w:outlineLvl w:val="2"/>
      </w:pPr>
      <w:r>
        <w:rPr>
          <w:rFonts w:ascii="黑体" w:hAnsi="黑体" w:eastAsia="黑体"/>
          <w:sz w:val="32"/>
        </w:rPr>
        <w:t>二、机构设置及人员情况</w:t>
      </w:r>
    </w:p>
    <w:p w14:paraId="6F33A53D">
      <w:pPr>
        <w:spacing w:line="580" w:lineRule="exact"/>
        <w:ind w:firstLine="640"/>
        <w:jc w:val="both"/>
      </w:pPr>
      <w:r>
        <w:rPr>
          <w:rFonts w:ascii="仿宋_GB2312" w:hAnsi="仿宋_GB2312" w:eastAsia="仿宋_GB2312"/>
          <w:sz w:val="32"/>
        </w:rPr>
        <w:t>阿克陶县布伦口乡中心小学2024年度，实有人数69人，其中：在职人员33人，减少1人；离休人员0人，增加0人；退休人员36人,减少1人。</w:t>
      </w:r>
    </w:p>
    <w:p w14:paraId="013CF33F">
      <w:pPr>
        <w:spacing w:line="580" w:lineRule="exact"/>
        <w:ind w:firstLine="640"/>
        <w:jc w:val="both"/>
      </w:pPr>
      <w:r>
        <w:rPr>
          <w:rFonts w:ascii="仿宋_GB2312" w:hAnsi="仿宋_GB2312" w:eastAsia="仿宋_GB2312"/>
          <w:sz w:val="32"/>
        </w:rPr>
        <w:t>阿克陶县布伦口乡中心小学无下属预算单位，下设9个科室，分别是：党建办、校办、教务处、德育处、团支部、图书室、保健室、后勤部、财务室。</w:t>
      </w:r>
    </w:p>
    <w:p w14:paraId="043DF5AF">
      <w:r>
        <w:br w:type="page"/>
      </w:r>
    </w:p>
    <w:p w14:paraId="024CE310">
      <w:pPr>
        <w:spacing w:line="240" w:lineRule="auto"/>
        <w:jc w:val="center"/>
        <w:outlineLvl w:val="1"/>
      </w:pPr>
      <w:r>
        <w:rPr>
          <w:rFonts w:ascii="黑体" w:hAnsi="黑体" w:eastAsia="黑体"/>
          <w:sz w:val="32"/>
        </w:rPr>
        <w:t>第二部分 部门决算情况说明</w:t>
      </w:r>
    </w:p>
    <w:p w14:paraId="454FAC3D">
      <w:pPr>
        <w:spacing w:line="640" w:lineRule="exact"/>
        <w:ind w:firstLine="640"/>
        <w:jc w:val="both"/>
        <w:outlineLvl w:val="2"/>
      </w:pPr>
      <w:r>
        <w:rPr>
          <w:rFonts w:ascii="黑体" w:hAnsi="黑体" w:eastAsia="黑体"/>
          <w:sz w:val="32"/>
        </w:rPr>
        <w:t>一、收入支出决算总体情况说明</w:t>
      </w:r>
    </w:p>
    <w:p w14:paraId="7063B2B5">
      <w:pPr>
        <w:spacing w:line="580" w:lineRule="exact"/>
        <w:ind w:firstLine="640"/>
        <w:jc w:val="both"/>
      </w:pPr>
      <w:r>
        <w:rPr>
          <w:rFonts w:ascii="仿宋_GB2312" w:hAnsi="仿宋_GB2312" w:eastAsia="仿宋_GB2312"/>
          <w:b/>
          <w:sz w:val="32"/>
        </w:rPr>
        <w:t>2024年度收入总计870.04万元，</w:t>
      </w:r>
      <w:r>
        <w:rPr>
          <w:rFonts w:ascii="仿宋_GB2312" w:hAnsi="仿宋_GB2312" w:eastAsia="仿宋_GB2312"/>
          <w:b w:val="0"/>
          <w:sz w:val="32"/>
        </w:rPr>
        <w:t>其中：本年收入合计869.84万元，使用非财政拨款结余（含专用结余）0.00万元，年初结转和结余0.20万元。</w:t>
      </w:r>
    </w:p>
    <w:p w14:paraId="3DAA97AF">
      <w:pPr>
        <w:spacing w:line="580" w:lineRule="exact"/>
        <w:ind w:firstLine="640"/>
        <w:jc w:val="both"/>
      </w:pPr>
      <w:r>
        <w:rPr>
          <w:rFonts w:ascii="仿宋_GB2312" w:hAnsi="仿宋_GB2312" w:eastAsia="仿宋_GB2312"/>
          <w:b/>
          <w:sz w:val="32"/>
        </w:rPr>
        <w:t>2024年度支出总计870.04万元，</w:t>
      </w:r>
      <w:r>
        <w:rPr>
          <w:rFonts w:ascii="仿宋_GB2312" w:hAnsi="仿宋_GB2312" w:eastAsia="仿宋_GB2312"/>
          <w:b w:val="0"/>
          <w:sz w:val="32"/>
        </w:rPr>
        <w:t>其中：本年支出合计869.82万元，结余分配0.00万元，年末结转和结余0.22万元。</w:t>
      </w:r>
    </w:p>
    <w:p w14:paraId="3DDB0DBA">
      <w:pPr>
        <w:spacing w:line="580" w:lineRule="exact"/>
        <w:ind w:firstLine="640"/>
        <w:jc w:val="both"/>
      </w:pPr>
      <w:r>
        <w:rPr>
          <w:rFonts w:ascii="仿宋_GB2312" w:hAnsi="仿宋_GB2312" w:eastAsia="仿宋_GB2312"/>
          <w:b w:val="0"/>
          <w:sz w:val="32"/>
        </w:rPr>
        <w:t>收入支出总体与上年相比，增加49.72万元，增长6.06%，主要原因是：本年补发基本工资和高海拔地区折算工龄补贴资金，在职人员工资调增，社保、公积金基数调增，人员经费增加。</w:t>
      </w:r>
    </w:p>
    <w:p w14:paraId="532B26CA">
      <w:pPr>
        <w:spacing w:line="640" w:lineRule="exact"/>
        <w:ind w:firstLine="640"/>
        <w:jc w:val="both"/>
        <w:outlineLvl w:val="2"/>
      </w:pPr>
      <w:r>
        <w:rPr>
          <w:rFonts w:ascii="黑体" w:hAnsi="黑体" w:eastAsia="黑体"/>
          <w:sz w:val="32"/>
        </w:rPr>
        <w:t>二、收入决算情况说明</w:t>
      </w:r>
    </w:p>
    <w:p w14:paraId="5EEE2F25">
      <w:pPr>
        <w:spacing w:line="580" w:lineRule="exact"/>
        <w:ind w:firstLine="640"/>
        <w:jc w:val="both"/>
      </w:pPr>
      <w:r>
        <w:rPr>
          <w:rFonts w:ascii="仿宋_GB2312" w:hAnsi="仿宋_GB2312" w:eastAsia="仿宋_GB2312"/>
          <w:b/>
          <w:sz w:val="32"/>
        </w:rPr>
        <w:t>本年收入869.84万元，</w:t>
      </w:r>
      <w:r>
        <w:rPr>
          <w:rFonts w:ascii="仿宋_GB2312" w:hAnsi="仿宋_GB2312" w:eastAsia="仿宋_GB2312"/>
          <w:b w:val="0"/>
          <w:sz w:val="32"/>
        </w:rPr>
        <w:t>其中：财政拨款收入869.82万元，占100.00%；上级补助收入0.00万元，占0.00%；事业收入0.00万元，占0.00%；经营收入0.00万元，占0.00%；附属单位上缴收入0.00万元，占0.00%；其他收入0.02万元，占0.002%。</w:t>
      </w:r>
    </w:p>
    <w:p w14:paraId="74E4FA19">
      <w:pPr>
        <w:spacing w:line="640" w:lineRule="exact"/>
        <w:ind w:firstLine="640"/>
        <w:jc w:val="both"/>
        <w:outlineLvl w:val="2"/>
      </w:pPr>
      <w:r>
        <w:rPr>
          <w:rFonts w:ascii="黑体" w:hAnsi="黑体" w:eastAsia="黑体"/>
          <w:sz w:val="32"/>
        </w:rPr>
        <w:t>三、支出决算情况说明</w:t>
      </w:r>
    </w:p>
    <w:p w14:paraId="428ADEFF">
      <w:pPr>
        <w:spacing w:line="580" w:lineRule="exact"/>
        <w:ind w:firstLine="640"/>
        <w:jc w:val="both"/>
      </w:pPr>
      <w:r>
        <w:rPr>
          <w:rFonts w:ascii="仿宋_GB2312" w:hAnsi="仿宋_GB2312" w:eastAsia="仿宋_GB2312"/>
          <w:b/>
          <w:sz w:val="32"/>
        </w:rPr>
        <w:t>本年支出869.82万元，</w:t>
      </w:r>
      <w:r>
        <w:rPr>
          <w:rFonts w:ascii="仿宋_GB2312" w:hAnsi="仿宋_GB2312" w:eastAsia="仿宋_GB2312"/>
          <w:b w:val="0"/>
          <w:sz w:val="32"/>
        </w:rPr>
        <w:t>其中：基本支出867.60万元，占99.74%；项目支出2.23万元，占0.26%；上缴上级支出0.00万元，占0.00%；经营支出0.00万元，占0.00%；对附属单位补助支出0.00万元，占0.00%。</w:t>
      </w:r>
    </w:p>
    <w:p w14:paraId="53376930">
      <w:pPr>
        <w:spacing w:line="640" w:lineRule="exact"/>
        <w:ind w:firstLine="640"/>
        <w:jc w:val="both"/>
        <w:outlineLvl w:val="2"/>
      </w:pPr>
      <w:r>
        <w:rPr>
          <w:rFonts w:ascii="黑体" w:hAnsi="黑体" w:eastAsia="黑体"/>
          <w:sz w:val="32"/>
        </w:rPr>
        <w:t>四、财政拨款收入支出决算总体情况说明</w:t>
      </w:r>
    </w:p>
    <w:p w14:paraId="16D5BB04">
      <w:pPr>
        <w:spacing w:line="580" w:lineRule="exact"/>
        <w:ind w:firstLine="640"/>
        <w:jc w:val="both"/>
      </w:pPr>
      <w:r>
        <w:rPr>
          <w:rFonts w:ascii="仿宋_GB2312" w:hAnsi="仿宋_GB2312" w:eastAsia="仿宋_GB2312"/>
          <w:b/>
          <w:sz w:val="32"/>
        </w:rPr>
        <w:t>2024年度财政拨款收入总计869.82万元，</w:t>
      </w:r>
      <w:r>
        <w:rPr>
          <w:rFonts w:ascii="仿宋_GB2312" w:hAnsi="仿宋_GB2312" w:eastAsia="仿宋_GB2312"/>
          <w:b w:val="0"/>
          <w:sz w:val="32"/>
        </w:rPr>
        <w:t>其中：年初财政拨款结转和结余0.00万元，本年财政拨款收入869.82万元。</w:t>
      </w:r>
      <w:r>
        <w:rPr>
          <w:rFonts w:ascii="仿宋_GB2312" w:hAnsi="仿宋_GB2312" w:eastAsia="仿宋_GB2312"/>
          <w:b/>
          <w:sz w:val="32"/>
        </w:rPr>
        <w:t>财政拨款支出总计869.82万元，</w:t>
      </w:r>
      <w:r>
        <w:rPr>
          <w:rFonts w:ascii="仿宋_GB2312" w:hAnsi="仿宋_GB2312" w:eastAsia="仿宋_GB2312"/>
          <w:b w:val="0"/>
          <w:sz w:val="32"/>
        </w:rPr>
        <w:t>其中：年末财政拨款结转和结余0.00万元，本年财政拨款支出869.82万元。</w:t>
      </w:r>
    </w:p>
    <w:p w14:paraId="43A775A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增加65.07万元，增长8.09%，主要原因是：本年补发基本工资和高海拔地区折算工龄补贴资金，在职人员工资调增，社保、公积金基数调增，人员经费增加。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年初预算数777.54万元，决算数869.82万元，预决算差异率11.87%，主要原因是：年中追加高海拔地区折算工龄补贴资金、人员工资、社保、公积金基数调增部分资金</w:t>
      </w:r>
      <w:r>
        <w:rPr>
          <w:rFonts w:hint="eastAsia" w:ascii="仿宋_GB2312" w:hAnsi="仿宋_GB2312" w:eastAsia="仿宋_GB2312"/>
          <w:b w:val="0"/>
          <w:sz w:val="32"/>
          <w:lang w:eastAsia="zh-CN"/>
        </w:rPr>
        <w:t>、</w:t>
      </w:r>
      <w:r>
        <w:rPr>
          <w:rFonts w:ascii="仿宋_GB2312" w:hAnsi="仿宋_GB2312" w:eastAsia="仿宋_GB2312"/>
          <w:b w:val="0"/>
          <w:sz w:val="32"/>
        </w:rPr>
        <w:t>少年宫项目，导致预决算存在差异。</w:t>
      </w:r>
    </w:p>
    <w:p w14:paraId="4DA04661">
      <w:pPr>
        <w:spacing w:line="640" w:lineRule="exact"/>
        <w:ind w:firstLine="640"/>
        <w:jc w:val="both"/>
        <w:outlineLvl w:val="2"/>
      </w:pPr>
      <w:r>
        <w:rPr>
          <w:rFonts w:ascii="黑体" w:hAnsi="黑体" w:eastAsia="黑体"/>
          <w:sz w:val="32"/>
        </w:rPr>
        <w:t>五、一般公共预算财政拨款支出决算情况说明</w:t>
      </w:r>
    </w:p>
    <w:p w14:paraId="2F032A46">
      <w:pPr>
        <w:spacing w:line="640" w:lineRule="exact"/>
        <w:ind w:firstLine="640"/>
        <w:jc w:val="both"/>
        <w:outlineLvl w:val="3"/>
      </w:pPr>
      <w:r>
        <w:rPr>
          <w:rFonts w:ascii="楷体_GB2312" w:hAnsi="楷体_GB2312" w:eastAsia="楷体_GB2312"/>
          <w:b/>
          <w:sz w:val="32"/>
        </w:rPr>
        <w:t>（一）一般公共预算财政拨款支出决算总体情况</w:t>
      </w:r>
    </w:p>
    <w:p w14:paraId="53967A8D">
      <w:pPr>
        <w:spacing w:line="580" w:lineRule="exact"/>
        <w:ind w:firstLine="640"/>
        <w:jc w:val="both"/>
      </w:pPr>
      <w:r>
        <w:rPr>
          <w:rFonts w:ascii="仿宋_GB2312" w:hAnsi="仿宋_GB2312" w:eastAsia="仿宋_GB2312"/>
          <w:b/>
          <w:sz w:val="32"/>
        </w:rPr>
        <w:t>2024年度一般公共预算财政拨款支出868.32万元，</w:t>
      </w:r>
      <w:r>
        <w:rPr>
          <w:rFonts w:ascii="仿宋_GB2312" w:hAnsi="仿宋_GB2312" w:eastAsia="仿宋_GB2312"/>
          <w:b w:val="0"/>
          <w:sz w:val="32"/>
        </w:rPr>
        <w:t>占本年支出合计的99.83%。</w:t>
      </w:r>
      <w:r>
        <w:rPr>
          <w:rFonts w:ascii="仿宋_GB2312" w:hAnsi="仿宋_GB2312" w:eastAsia="仿宋_GB2312"/>
          <w:b/>
          <w:sz w:val="32"/>
        </w:rPr>
        <w:t>与上年相比，</w:t>
      </w:r>
      <w:r>
        <w:rPr>
          <w:rFonts w:ascii="仿宋_GB2312" w:hAnsi="仿宋_GB2312" w:eastAsia="仿宋_GB2312"/>
          <w:b w:val="0"/>
          <w:sz w:val="32"/>
        </w:rPr>
        <w:t>增加65.07万元，增长8.10%，主要原因是：本年补发基本工资和高海拔地区折算工龄补贴资金，在职人员工资调增，社保、公积金基数调增，人员经费增加。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年初预算数777.54万元，决算数868.32万元，预决算差异率11.68%，主要原因是：年中追加高海拔地区折算工龄补贴资金、人员工资、社保、公积金基数调增部分资金，导致预决算存在差异。</w:t>
      </w:r>
    </w:p>
    <w:p w14:paraId="4E67576E">
      <w:pPr>
        <w:spacing w:line="640" w:lineRule="exact"/>
        <w:ind w:firstLine="640"/>
        <w:jc w:val="both"/>
        <w:outlineLvl w:val="3"/>
      </w:pPr>
      <w:r>
        <w:rPr>
          <w:rFonts w:ascii="楷体_GB2312" w:hAnsi="楷体_GB2312" w:eastAsia="楷体_GB2312"/>
          <w:b/>
          <w:sz w:val="32"/>
        </w:rPr>
        <w:t>（二）一般公共预算财政拨款支出决算结构情况</w:t>
      </w:r>
    </w:p>
    <w:p w14:paraId="09F4EE5D">
      <w:pPr>
        <w:spacing w:line="580" w:lineRule="exact"/>
        <w:ind w:firstLine="640"/>
        <w:jc w:val="both"/>
      </w:pPr>
      <w:r>
        <w:rPr>
          <w:rFonts w:ascii="仿宋_GB2312" w:hAnsi="仿宋_GB2312" w:eastAsia="仿宋_GB2312"/>
          <w:b w:val="0"/>
          <w:sz w:val="32"/>
        </w:rPr>
        <w:t>1.教育支出(类)868.32万元,占100.00%。</w:t>
      </w:r>
    </w:p>
    <w:p w14:paraId="5ED1A0BA">
      <w:pPr>
        <w:spacing w:line="640" w:lineRule="exact"/>
        <w:ind w:firstLine="640"/>
        <w:jc w:val="both"/>
        <w:outlineLvl w:val="3"/>
      </w:pPr>
      <w:r>
        <w:rPr>
          <w:rFonts w:ascii="楷体_GB2312" w:hAnsi="楷体_GB2312" w:eastAsia="楷体_GB2312"/>
          <w:b/>
          <w:sz w:val="32"/>
        </w:rPr>
        <w:t>（三）一般公共预算财政拨款支出决算具体情况</w:t>
      </w:r>
    </w:p>
    <w:p w14:paraId="32B3C9A0">
      <w:pPr>
        <w:spacing w:line="580" w:lineRule="exact"/>
        <w:ind w:firstLine="640"/>
        <w:jc w:val="both"/>
      </w:pPr>
      <w:r>
        <w:rPr>
          <w:rFonts w:ascii="仿宋_GB2312" w:hAnsi="仿宋_GB2312" w:eastAsia="仿宋_GB2312"/>
          <w:b w:val="0"/>
          <w:sz w:val="32"/>
        </w:rPr>
        <w:t>1.教育支出(类)普通教育(款)小学教育(项):支出决算数为868.32万元，比上年决算增加125.64万元，增长16.92%,主要原因是：在职人员工资调增，人员经费增加；本年功能科目调整，养老保险缴费上年度单独列支，本年调整至主科目列支，导致经费较上年增加。</w:t>
      </w:r>
    </w:p>
    <w:p w14:paraId="07B545F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60.57万元，下降100.00%,主要原因是：本年功能科目调整，养老保险缴费上年度单独列支，本年调整至主科目列支，导致经费较上年减少。</w:t>
      </w:r>
    </w:p>
    <w:p w14:paraId="0A5925B3">
      <w:pPr>
        <w:spacing w:line="640" w:lineRule="exact"/>
        <w:ind w:firstLine="640"/>
        <w:jc w:val="both"/>
        <w:outlineLvl w:val="2"/>
      </w:pPr>
      <w:r>
        <w:rPr>
          <w:rFonts w:ascii="黑体" w:hAnsi="黑体" w:eastAsia="黑体"/>
          <w:sz w:val="32"/>
        </w:rPr>
        <w:t>六、一般公共预算财政拨款基本支出决算情况说明</w:t>
      </w:r>
    </w:p>
    <w:p w14:paraId="63F74D3C">
      <w:pPr>
        <w:spacing w:line="580" w:lineRule="exact"/>
        <w:ind w:firstLine="640"/>
        <w:jc w:val="both"/>
      </w:pPr>
      <w:r>
        <w:rPr>
          <w:rFonts w:ascii="仿宋_GB2312" w:hAnsi="仿宋_GB2312" w:eastAsia="仿宋_GB2312"/>
          <w:b w:val="0"/>
          <w:sz w:val="32"/>
        </w:rPr>
        <w:t>2024年度一般公共预算财政拨款基本支出867.60万元，其中：</w:t>
      </w:r>
      <w:r>
        <w:rPr>
          <w:rFonts w:ascii="仿宋_GB2312" w:hAnsi="仿宋_GB2312" w:eastAsia="仿宋_GB2312"/>
          <w:b/>
          <w:sz w:val="32"/>
        </w:rPr>
        <w:t>人员经费842.44万元，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包括：基本工资、津贴补贴、奖金、机关事业单位基本养老保险缴费、职工基本医疗保险缴费、其他社会保障缴费、住房公积金、退休费、生活补助、奖励金。</w:t>
      </w:r>
    </w:p>
    <w:p w14:paraId="1AE17E2C">
      <w:pPr>
        <w:spacing w:line="580" w:lineRule="exact"/>
        <w:ind w:firstLine="640"/>
        <w:jc w:val="both"/>
      </w:pPr>
      <w:r>
        <w:rPr>
          <w:rFonts w:ascii="仿宋_GB2312" w:hAnsi="仿宋_GB2312" w:eastAsia="仿宋_GB2312"/>
          <w:b/>
          <w:sz w:val="32"/>
        </w:rPr>
        <w:t>公用经费25.15万元，</w:t>
      </w:r>
      <w:r>
        <w:rPr>
          <w:rFonts w:ascii="仿宋_GB2312" w:hAnsi="仿宋_GB2312" w:eastAsia="仿宋_GB2312"/>
          <w:b w:val="0"/>
          <w:sz w:val="32"/>
        </w:rPr>
        <w:t>包括：办公费、邮电费、维修（护）费、培训费、其他商品和服务支出。</w:t>
      </w:r>
    </w:p>
    <w:p w14:paraId="6329F709">
      <w:pPr>
        <w:spacing w:line="640" w:lineRule="exact"/>
        <w:ind w:firstLine="640"/>
        <w:jc w:val="both"/>
        <w:outlineLvl w:val="2"/>
      </w:pPr>
      <w:r>
        <w:rPr>
          <w:rFonts w:ascii="黑体" w:hAnsi="黑体" w:eastAsia="黑体"/>
          <w:sz w:val="32"/>
        </w:rPr>
        <w:t>七、政府性基金预算财政拨款收入支出决算情况说明</w:t>
      </w:r>
    </w:p>
    <w:p w14:paraId="3BDD62BF">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66E0493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增加0.00万元，增长0.00%，主要原因是：本单位政府性基金预算财政拨款少年宫项目收入支出与上年一致无变化。</w:t>
      </w:r>
      <w:r>
        <w:rPr>
          <w:rFonts w:ascii="仿宋_GB2312" w:hAnsi="仿宋_GB2312" w:eastAsia="仿宋_GB2312"/>
          <w:b/>
          <w:sz w:val="32"/>
        </w:rPr>
        <w:t>与年初预算相比，</w:t>
      </w:r>
      <w:r>
        <w:rPr>
          <w:rFonts w:ascii="仿宋_GB2312" w:hAnsi="仿宋_GB2312" w:eastAsia="仿宋_GB2312"/>
          <w:b w:val="0"/>
          <w:sz w:val="32"/>
        </w:rPr>
        <w:t>年初预算数0.00万元，决算数1.50万元，预决算差异率100.00%，主要原因是：年中追加少年宫项目，导致预决算存在差异。</w:t>
      </w:r>
    </w:p>
    <w:p w14:paraId="045E4DC4">
      <w:pPr>
        <w:spacing w:line="580" w:lineRule="exact"/>
        <w:ind w:firstLine="640"/>
        <w:jc w:val="both"/>
      </w:pPr>
      <w:r>
        <w:rPr>
          <w:rFonts w:ascii="仿宋_GB2312" w:hAnsi="仿宋_GB2312" w:eastAsia="仿宋_GB2312"/>
          <w:b w:val="0"/>
          <w:sz w:val="32"/>
        </w:rPr>
        <w:t>政府性基金预算财政拨款支出1.50万元。</w:t>
      </w:r>
    </w:p>
    <w:p w14:paraId="63B58748">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增加0.00万元，增长0.00%,主要原因是：本单位政府性基金预算财政拨款少年宫项目支出与上年一致无变化。</w:t>
      </w:r>
    </w:p>
    <w:p w14:paraId="4D8B5952">
      <w:pPr>
        <w:spacing w:line="640" w:lineRule="exact"/>
        <w:ind w:firstLine="640"/>
        <w:jc w:val="both"/>
        <w:outlineLvl w:val="2"/>
      </w:pPr>
      <w:r>
        <w:rPr>
          <w:rFonts w:ascii="黑体" w:hAnsi="黑体" w:eastAsia="黑体"/>
          <w:sz w:val="32"/>
        </w:rPr>
        <w:t>八、国有资本经营预算财政拨款收入支出决算情况说明</w:t>
      </w:r>
    </w:p>
    <w:p w14:paraId="67B01B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91EC66F">
      <w:pPr>
        <w:spacing w:line="640" w:lineRule="exact"/>
        <w:ind w:firstLine="640"/>
        <w:jc w:val="both"/>
        <w:outlineLvl w:val="2"/>
      </w:pPr>
      <w:r>
        <w:rPr>
          <w:rFonts w:ascii="黑体" w:hAnsi="黑体" w:eastAsia="黑体"/>
          <w:sz w:val="32"/>
        </w:rPr>
        <w:t>九、财政拨款“三公”经费支出决算情况说明</w:t>
      </w:r>
    </w:p>
    <w:p w14:paraId="185BAA5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D803C56">
      <w:pPr>
        <w:spacing w:line="580" w:lineRule="exact"/>
        <w:ind w:firstLine="640"/>
        <w:jc w:val="both"/>
      </w:pPr>
      <w:r>
        <w:rPr>
          <w:rFonts w:ascii="仿宋_GB2312" w:hAnsi="仿宋_GB2312" w:eastAsia="仿宋_GB2312"/>
          <w:b/>
          <w:sz w:val="32"/>
        </w:rPr>
        <w:t>具体情况如下：</w:t>
      </w:r>
    </w:p>
    <w:p w14:paraId="4245C20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A9FC94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A3EC9F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ACDC6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059E104">
      <w:pPr>
        <w:spacing w:line="640" w:lineRule="exact"/>
        <w:ind w:firstLine="640"/>
        <w:jc w:val="both"/>
        <w:outlineLvl w:val="2"/>
      </w:pPr>
      <w:r>
        <w:rPr>
          <w:rFonts w:ascii="黑体" w:hAnsi="黑体" w:eastAsia="黑体"/>
          <w:sz w:val="32"/>
        </w:rPr>
        <w:t>十、其他重要事项的情况说明</w:t>
      </w:r>
    </w:p>
    <w:p w14:paraId="7035BC8D">
      <w:pPr>
        <w:spacing w:line="640" w:lineRule="exact"/>
        <w:ind w:firstLine="640"/>
        <w:jc w:val="both"/>
        <w:outlineLvl w:val="3"/>
      </w:pPr>
      <w:r>
        <w:rPr>
          <w:rFonts w:ascii="楷体_GB2312" w:hAnsi="楷体_GB2312" w:eastAsia="楷体_GB2312"/>
          <w:b/>
          <w:sz w:val="32"/>
        </w:rPr>
        <w:t>（一）机关运行经费及公用经费支出情况</w:t>
      </w:r>
    </w:p>
    <w:p w14:paraId="0E6DEA07">
      <w:pPr>
        <w:spacing w:line="580" w:lineRule="exact"/>
        <w:ind w:firstLine="640"/>
        <w:jc w:val="both"/>
      </w:pPr>
      <w:r>
        <w:rPr>
          <w:rFonts w:ascii="仿宋_GB2312" w:hAnsi="仿宋_GB2312" w:eastAsia="仿宋_GB2312"/>
          <w:b w:val="0"/>
          <w:sz w:val="32"/>
        </w:rPr>
        <w:t>2024年度阿克陶县布伦口乡中心小学（事业单位）公用经费支出25.15万元，比上年增加11.97万元，增长90.82%，主要原因是：本年支付往年办公经费，故公用经费支出较上年增加。</w:t>
      </w:r>
    </w:p>
    <w:p w14:paraId="7F2A0D99">
      <w:pPr>
        <w:spacing w:line="640" w:lineRule="exact"/>
        <w:ind w:firstLine="640"/>
        <w:jc w:val="both"/>
        <w:outlineLvl w:val="3"/>
      </w:pPr>
      <w:r>
        <w:rPr>
          <w:rFonts w:ascii="楷体_GB2312" w:hAnsi="楷体_GB2312" w:eastAsia="楷体_GB2312"/>
          <w:b/>
          <w:sz w:val="32"/>
        </w:rPr>
        <w:t>（二）政府采购情况</w:t>
      </w:r>
    </w:p>
    <w:p w14:paraId="2FA5ECD1">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48B275D8">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445B4D2">
      <w:pPr>
        <w:spacing w:line="640" w:lineRule="exact"/>
        <w:ind w:firstLine="640"/>
        <w:jc w:val="both"/>
        <w:outlineLvl w:val="3"/>
      </w:pPr>
      <w:r>
        <w:rPr>
          <w:rFonts w:ascii="楷体_GB2312" w:hAnsi="楷体_GB2312" w:eastAsia="楷体_GB2312"/>
          <w:b/>
          <w:sz w:val="32"/>
        </w:rPr>
        <w:t>（三）国有资产占用情况说明</w:t>
      </w:r>
    </w:p>
    <w:p w14:paraId="13026A2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D540254">
      <w:pPr>
        <w:spacing w:line="640" w:lineRule="exact"/>
        <w:ind w:firstLine="640"/>
        <w:jc w:val="both"/>
        <w:outlineLvl w:val="2"/>
      </w:pPr>
      <w:r>
        <w:rPr>
          <w:rFonts w:ascii="黑体" w:hAnsi="黑体" w:eastAsia="黑体"/>
          <w:sz w:val="32"/>
        </w:rPr>
        <w:t>十一、预算绩效的情况说明</w:t>
      </w:r>
    </w:p>
    <w:p w14:paraId="54D0FEE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870.04万元，实际执行总额869.82万元；预算绩效评价项目0个，全年预算数0.00万元，全年执行数0.00万元。预算绩效管理取得的成效：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无预算绩效项目。发现的问题及原因：2024年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无预算绩效项目。下一步改进措施：2024年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无预算绩效项目。具体附整体支出绩效自评表。</w:t>
      </w:r>
    </w:p>
    <w:p w14:paraId="2BB328D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D10B461">
        <w:tblPrEx>
          <w:tblCellMar>
            <w:top w:w="0" w:type="dxa"/>
            <w:left w:w="108" w:type="dxa"/>
            <w:bottom w:w="0" w:type="dxa"/>
            <w:right w:w="108" w:type="dxa"/>
          </w:tblCellMar>
        </w:tblPrEx>
        <w:tc>
          <w:tcPr>
            <w:tcW w:w="8840" w:type="dxa"/>
            <w:gridSpan w:val="8"/>
            <w:vAlign w:val="center"/>
          </w:tcPr>
          <w:p w14:paraId="48352A07">
            <w:pPr>
              <w:jc w:val="center"/>
            </w:pPr>
            <w:r>
              <w:rPr>
                <w:rFonts w:ascii="宋体" w:hAnsi="宋体" w:eastAsia="宋体"/>
                <w:sz w:val="24"/>
              </w:rPr>
              <w:t>单位整体支出绩效自评表</w:t>
            </w:r>
          </w:p>
        </w:tc>
      </w:tr>
      <w:tr w14:paraId="5F9B7158">
        <w:tblPrEx>
          <w:tblCellMar>
            <w:top w:w="0" w:type="dxa"/>
            <w:left w:w="108" w:type="dxa"/>
            <w:bottom w:w="0" w:type="dxa"/>
            <w:right w:w="108" w:type="dxa"/>
          </w:tblCellMar>
        </w:tblPrEx>
        <w:tc>
          <w:tcPr>
            <w:tcW w:w="8840" w:type="dxa"/>
            <w:gridSpan w:val="8"/>
            <w:vAlign w:val="center"/>
          </w:tcPr>
          <w:p w14:paraId="38D57F31">
            <w:pPr>
              <w:jc w:val="center"/>
            </w:pPr>
            <w:r>
              <w:rPr>
                <w:rFonts w:ascii="宋体" w:hAnsi="宋体" w:eastAsia="宋体"/>
                <w:sz w:val="24"/>
              </w:rPr>
              <w:t>（2024年度）</w:t>
            </w:r>
          </w:p>
        </w:tc>
      </w:tr>
      <w:tr w14:paraId="0EE1B5F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AB43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F7C9D0">
            <w:pPr>
              <w:jc w:val="center"/>
            </w:pPr>
            <w:r>
              <w:rPr>
                <w:rFonts w:ascii="宋体" w:hAnsi="宋体" w:eastAsia="宋体"/>
                <w:sz w:val="16"/>
              </w:rPr>
              <w:t>阿克陶县布伦口乡中心小学</w:t>
            </w:r>
          </w:p>
        </w:tc>
      </w:tr>
      <w:tr w14:paraId="62CDBD6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90BD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B96F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B6EC2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A34C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91D333">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1ED6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AA7F6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84BC5">
            <w:pPr>
              <w:jc w:val="center"/>
            </w:pPr>
            <w:r>
              <w:rPr>
                <w:rFonts w:ascii="宋体" w:hAnsi="宋体" w:eastAsia="宋体"/>
                <w:sz w:val="16"/>
              </w:rPr>
              <w:t>得分</w:t>
            </w:r>
          </w:p>
        </w:tc>
      </w:tr>
      <w:tr w14:paraId="7B445E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DD56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308F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3BFFE">
            <w:pPr>
              <w:jc w:val="center"/>
            </w:pPr>
            <w:r>
              <w:rPr>
                <w:rFonts w:ascii="宋体" w:hAnsi="宋体" w:eastAsia="宋体"/>
                <w:sz w:val="16"/>
              </w:rPr>
              <w:t>774.94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AD00F">
            <w:pPr>
              <w:jc w:val="center"/>
            </w:pPr>
            <w:r>
              <w:rPr>
                <w:rFonts w:ascii="宋体" w:hAnsi="宋体" w:eastAsia="宋体"/>
                <w:sz w:val="16"/>
              </w:rPr>
              <w:t>870.04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CA170">
            <w:pPr>
              <w:jc w:val="center"/>
            </w:pPr>
            <w:r>
              <w:rPr>
                <w:rFonts w:ascii="宋体" w:hAnsi="宋体" w:eastAsia="宋体"/>
                <w:sz w:val="16"/>
              </w:rPr>
              <w:t>869.82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C7D3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C5350D">
            <w:pPr>
              <w:jc w:val="center"/>
            </w:pPr>
            <w:r>
              <w:rPr>
                <w:rFonts w:ascii="宋体" w:hAnsi="宋体" w:eastAsia="宋体"/>
                <w:sz w:val="16"/>
              </w:rPr>
              <w:t>99.97%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DE4A7">
            <w:pPr>
              <w:jc w:val="center"/>
            </w:pPr>
            <w:r>
              <w:rPr>
                <w:rFonts w:ascii="宋体" w:hAnsi="宋体" w:eastAsia="宋体"/>
                <w:sz w:val="16"/>
              </w:rPr>
              <w:t>9.99</w:t>
            </w:r>
          </w:p>
        </w:tc>
      </w:tr>
      <w:tr w14:paraId="404570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59ECA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F3DB2">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DB2F1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C712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9036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D279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1E98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CA45A">
            <w:pPr>
              <w:jc w:val="center"/>
            </w:pPr>
            <w:r>
              <w:rPr>
                <w:rFonts w:ascii="宋体" w:hAnsi="宋体" w:eastAsia="宋体"/>
                <w:sz w:val="16"/>
              </w:rPr>
              <w:t>—</w:t>
            </w:r>
          </w:p>
        </w:tc>
      </w:tr>
      <w:tr w14:paraId="186CB1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AF98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18F40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C4B49">
            <w:pPr>
              <w:jc w:val="center"/>
            </w:pPr>
            <w:r>
              <w:rPr>
                <w:rFonts w:ascii="宋体" w:hAnsi="宋体" w:eastAsia="宋体"/>
                <w:sz w:val="16"/>
              </w:rPr>
              <w:t>774.94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80D7F">
            <w:pPr>
              <w:jc w:val="center"/>
            </w:pPr>
            <w:r>
              <w:rPr>
                <w:rFonts w:ascii="宋体" w:hAnsi="宋体" w:eastAsia="宋体"/>
                <w:sz w:val="16"/>
              </w:rPr>
              <w:t>870.04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D710B">
            <w:pPr>
              <w:jc w:val="center"/>
            </w:pPr>
            <w:r>
              <w:rPr>
                <w:rFonts w:ascii="宋体" w:hAnsi="宋体" w:eastAsia="宋体"/>
                <w:sz w:val="16"/>
              </w:rPr>
              <w:t>869.82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A34A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654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3479A">
            <w:pPr>
              <w:jc w:val="center"/>
            </w:pPr>
            <w:r>
              <w:rPr>
                <w:rFonts w:ascii="宋体" w:hAnsi="宋体" w:eastAsia="宋体"/>
                <w:sz w:val="16"/>
              </w:rPr>
              <w:t>—</w:t>
            </w:r>
          </w:p>
        </w:tc>
      </w:tr>
      <w:tr w14:paraId="4123A9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EBBC1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FE41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D8BB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1F394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BE5E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BFE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2E99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41739">
            <w:pPr>
              <w:jc w:val="center"/>
            </w:pPr>
            <w:r>
              <w:rPr>
                <w:rFonts w:ascii="宋体" w:hAnsi="宋体" w:eastAsia="宋体"/>
                <w:sz w:val="16"/>
              </w:rPr>
              <w:t>—</w:t>
            </w:r>
          </w:p>
        </w:tc>
      </w:tr>
      <w:tr w14:paraId="48FF3C8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9A7E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4C47E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51CE54">
            <w:pPr>
              <w:jc w:val="center"/>
            </w:pPr>
            <w:r>
              <w:rPr>
                <w:rFonts w:ascii="宋体" w:hAnsi="宋体" w:eastAsia="宋体"/>
                <w:sz w:val="16"/>
              </w:rPr>
              <w:t>实际完成情况</w:t>
            </w:r>
          </w:p>
        </w:tc>
      </w:tr>
      <w:tr w14:paraId="0434B1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C3E27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AF7179">
            <w:pPr>
              <w:jc w:val="both"/>
            </w:pPr>
            <w:r>
              <w:rPr>
                <w:rFonts w:ascii="宋体" w:hAnsi="宋体" w:eastAsia="宋体"/>
                <w:sz w:val="16"/>
              </w:rPr>
              <w:t>确保在职人员的工资、津贴、补贴、社保、医保、公积金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2D0AF5">
            <w:pPr>
              <w:jc w:val="both"/>
            </w:pPr>
            <w:r>
              <w:rPr>
                <w:rFonts w:ascii="宋体" w:hAnsi="宋体" w:eastAsia="宋体"/>
                <w:sz w:val="16"/>
              </w:rPr>
              <w:t>人员工资福利支出预算保障人数33人，依规、按时、足额发放或缴纳。为科学配置教育资源,加快推动全县城乡教育一体化高质量发展，根据《关于印发&lt;新疆维吾尔自治区中小学机构编制标准&gt;的通知》(新党编办</w:t>
            </w:r>
            <w:r>
              <w:rPr>
                <w:rFonts w:hint="eastAsia" w:ascii="宋体" w:hAnsi="宋体"/>
                <w:sz w:val="16"/>
                <w:lang w:eastAsia="zh-CN"/>
              </w:rPr>
              <w:t>〔2022〕</w:t>
            </w:r>
            <w:r>
              <w:rPr>
                <w:rFonts w:ascii="宋体" w:hAnsi="宋体" w:eastAsia="宋体"/>
                <w:sz w:val="16"/>
              </w:rPr>
              <w:t>21号)精神，结合《阿克陶县学校布局调整优化工作实施方案》，在统筹考虑城乡人口流动、学龄人口变化基础上，经县委编委会 2024 年第3 次会议研究，决定撤销阿克陶县布伦口乡中心小学33 名教师进行分流安置。但在编教职工工资关系在布伦口乡中心小学发放。</w:t>
            </w:r>
          </w:p>
        </w:tc>
      </w:tr>
      <w:tr w14:paraId="42777F9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C078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AA67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F59C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DAD4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1C62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4512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8E890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ACE1E">
            <w:pPr>
              <w:jc w:val="center"/>
            </w:pPr>
            <w:r>
              <w:rPr>
                <w:rFonts w:ascii="宋体" w:hAnsi="宋体" w:eastAsia="宋体"/>
                <w:sz w:val="16"/>
              </w:rPr>
              <w:t>得分</w:t>
            </w:r>
          </w:p>
        </w:tc>
      </w:tr>
      <w:tr w14:paraId="0F8D910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976F6">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D8C2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EA3C9">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D8DE3">
            <w:pPr>
              <w:jc w:val="center"/>
            </w:pPr>
            <w:r>
              <w:rPr>
                <w:rFonts w:ascii="宋体" w:hAnsi="宋体" w:eastAsia="宋体"/>
                <w:sz w:val="16"/>
              </w:rPr>
              <w:t>&gt;=34人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674B9">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3E1F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EC6F99">
            <w:pPr>
              <w:jc w:val="center"/>
            </w:pPr>
            <w:r>
              <w:rPr>
                <w:rFonts w:ascii="宋体" w:hAnsi="宋体" w:eastAsia="宋体"/>
                <w:sz w:val="16"/>
              </w:rPr>
              <w: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5AED3">
            <w:pPr>
              <w:jc w:val="center"/>
            </w:pPr>
            <w:r>
              <w:rPr>
                <w:rFonts w:ascii="宋体" w:hAnsi="宋体" w:eastAsia="宋体"/>
                <w:sz w:val="16"/>
              </w:rPr>
              <w:t>9.7</w:t>
            </w:r>
          </w:p>
        </w:tc>
      </w:tr>
      <w:tr w14:paraId="3EA2E1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01ACDD"/>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902E0">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BA36B">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A4AF4">
            <w:pPr>
              <w:jc w:val="center"/>
            </w:pPr>
            <w:r>
              <w:rPr>
                <w:rFonts w:ascii="宋体" w:hAnsi="宋体" w:eastAsia="宋体"/>
                <w:sz w:val="16"/>
              </w:rPr>
              <w:t>&lt;=766.17万元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F7CCF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35B8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16140">
            <w:pPr>
              <w:jc w:val="center"/>
            </w:pPr>
            <w:r>
              <w:rPr>
                <w:rFonts w:ascii="宋体" w:hAnsi="宋体" w:eastAsia="宋体"/>
                <w:sz w:val="16"/>
              </w:rPr>
              <w:t>842.44万元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AA605">
            <w:pPr>
              <w:jc w:val="center"/>
            </w:pPr>
            <w:r>
              <w:rPr>
                <w:rFonts w:ascii="宋体" w:hAnsi="宋体" w:eastAsia="宋体"/>
                <w:sz w:val="16"/>
              </w:rPr>
              <w:t>9.09</w:t>
            </w:r>
          </w:p>
        </w:tc>
      </w:tr>
      <w:tr w14:paraId="35FE00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B6E98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BB9C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F413F">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A59CC">
            <w:pPr>
              <w:jc w:val="center"/>
            </w:pPr>
            <w:r>
              <w:rPr>
                <w:rFonts w:ascii="宋体" w:hAnsi="宋体" w:eastAsia="宋体"/>
                <w:sz w:val="16"/>
              </w:rPr>
              <w:t>&lt;=8.78万元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DFFA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2E3E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CC843">
            <w:pPr>
              <w:jc w:val="center"/>
            </w:pPr>
            <w:r>
              <w:rPr>
                <w:rFonts w:ascii="宋体" w:hAnsi="宋体" w:eastAsia="宋体"/>
                <w:sz w:val="16"/>
              </w:rPr>
              <w:t>25.15万元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B03BB">
            <w:pPr>
              <w:jc w:val="center"/>
            </w:pPr>
            <w:r>
              <w:rPr>
                <w:rFonts w:ascii="宋体" w:hAnsi="宋体" w:eastAsia="宋体"/>
                <w:sz w:val="16"/>
              </w:rPr>
              <w:t>3.49</w:t>
            </w:r>
          </w:p>
        </w:tc>
      </w:tr>
      <w:tr w14:paraId="251A03D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D890E">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A7CE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140A5">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A76DD">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98DD0">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3A6A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644B8">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6D0F5">
            <w:pPr>
              <w:jc w:val="center"/>
            </w:pPr>
            <w:r>
              <w:rPr>
                <w:rFonts w:ascii="宋体" w:hAnsi="宋体" w:eastAsia="宋体"/>
                <w:sz w:val="16"/>
              </w:rPr>
              <w:t>0</w:t>
            </w:r>
          </w:p>
        </w:tc>
      </w:tr>
      <w:tr w14:paraId="7B5ED4D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F5257">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3E112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22151">
            <w:pPr>
              <w:jc w:val="center"/>
            </w:pPr>
            <w:r>
              <w:rPr>
                <w:rFonts w:ascii="宋体" w:hAnsi="宋体" w:eastAsia="宋体"/>
                <w:sz w:val="16"/>
              </w:rPr>
              <w:t>保障幼儿园升学率（%）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D62869">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F47D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1FE8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1F4F3">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53C28">
            <w:pPr>
              <w:jc w:val="center"/>
            </w:pPr>
            <w:r>
              <w:rPr>
                <w:rFonts w:ascii="宋体" w:hAnsi="宋体" w:eastAsia="宋体"/>
                <w:sz w:val="16"/>
              </w:rPr>
              <w:t>0</w:t>
            </w:r>
          </w:p>
        </w:tc>
      </w:tr>
      <w:tr w14:paraId="5BEB495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BC244">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65624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087B2">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95D5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06C8C">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4B92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F6351">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0C06E">
            <w:pPr>
              <w:jc w:val="center"/>
            </w:pPr>
            <w:r>
              <w:rPr>
                <w:rFonts w:ascii="宋体" w:hAnsi="宋体" w:eastAsia="宋体"/>
                <w:sz w:val="16"/>
              </w:rPr>
              <w:t>0</w:t>
            </w:r>
          </w:p>
        </w:tc>
      </w:tr>
      <w:tr w14:paraId="1E7A4D2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E3A46">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D3543">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A114C">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AF44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39F0E">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D026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3CF426">
            <w:pPr>
              <w:jc w:val="center"/>
            </w:pPr>
            <w:r>
              <w:rPr>
                <w:rFonts w:ascii="宋体" w:hAnsi="宋体" w:eastAsia="宋体"/>
                <w:sz w:val="16"/>
              </w:rPr>
              <w:t>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EA220">
            <w:pPr>
              <w:jc w:val="center"/>
            </w:pPr>
            <w:r>
              <w:rPr>
                <w:rFonts w:ascii="宋体" w:hAnsi="宋体" w:eastAsia="宋体"/>
                <w:sz w:val="16"/>
              </w:rPr>
              <w:t>0</w:t>
            </w:r>
          </w:p>
        </w:tc>
      </w:tr>
      <w:tr w14:paraId="08549E6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0B79E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DB1C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3DC31">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AD88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39E29">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5750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738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8EF6B2">
            <w:pPr>
              <w:jc w:val="center"/>
            </w:pPr>
            <w:r>
              <w:rPr>
                <w:rFonts w:ascii="宋体" w:hAnsi="宋体" w:eastAsia="宋体"/>
                <w:sz w:val="16"/>
              </w:rPr>
              <w:t>10</w:t>
            </w:r>
          </w:p>
        </w:tc>
      </w:tr>
    </w:tbl>
    <w:p w14:paraId="0F77BF36">
      <w:r>
        <w:br w:type="page"/>
      </w:r>
    </w:p>
    <w:p w14:paraId="5828F888">
      <w:pPr>
        <w:spacing w:line="640" w:lineRule="exact"/>
        <w:ind w:firstLine="640"/>
        <w:jc w:val="both"/>
        <w:outlineLvl w:val="2"/>
      </w:pPr>
      <w:r>
        <w:rPr>
          <w:rFonts w:ascii="黑体" w:hAnsi="黑体" w:eastAsia="黑体"/>
          <w:sz w:val="32"/>
        </w:rPr>
        <w:t>十二、其他需说明的事项</w:t>
      </w:r>
    </w:p>
    <w:p w14:paraId="6DF1A285">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03C4033B">
      <w:r>
        <w:br w:type="page"/>
      </w:r>
    </w:p>
    <w:p w14:paraId="5A567399">
      <w:pPr>
        <w:spacing w:line="240" w:lineRule="auto"/>
        <w:jc w:val="center"/>
        <w:outlineLvl w:val="1"/>
      </w:pPr>
      <w:r>
        <w:rPr>
          <w:rFonts w:ascii="黑体" w:hAnsi="黑体" w:eastAsia="黑体"/>
          <w:sz w:val="32"/>
        </w:rPr>
        <w:t>第三部分 专业名词解释</w:t>
      </w:r>
    </w:p>
    <w:p w14:paraId="5B1E5F2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73D60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85C81B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ABAA70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AB302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D29714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DBF4F9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0C3D98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A439F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CAA613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54FDB0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E22D51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CDA4ED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E48456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6752593">
      <w:r>
        <w:br w:type="page"/>
      </w:r>
    </w:p>
    <w:p w14:paraId="30A09586">
      <w:pPr>
        <w:spacing w:line="240" w:lineRule="auto"/>
        <w:jc w:val="center"/>
        <w:outlineLvl w:val="1"/>
      </w:pPr>
      <w:r>
        <w:rPr>
          <w:rFonts w:ascii="黑体" w:hAnsi="黑体" w:eastAsia="黑体"/>
          <w:sz w:val="32"/>
        </w:rPr>
        <w:t>第四部分 部门决算报表（见附表）</w:t>
      </w:r>
    </w:p>
    <w:p w14:paraId="6E1047C1">
      <w:pPr>
        <w:spacing w:line="240" w:lineRule="auto"/>
        <w:ind w:firstLine="640"/>
        <w:jc w:val="both"/>
      </w:pPr>
      <w:r>
        <w:rPr>
          <w:rFonts w:ascii="仿宋_GB2312" w:hAnsi="仿宋_GB2312" w:eastAsia="仿宋_GB2312"/>
          <w:b w:val="0"/>
          <w:sz w:val="32"/>
        </w:rPr>
        <w:t>一、《收入支出决算总表》</w:t>
      </w:r>
    </w:p>
    <w:p w14:paraId="7A11EC5B">
      <w:pPr>
        <w:spacing w:line="240" w:lineRule="auto"/>
        <w:ind w:firstLine="640"/>
        <w:jc w:val="both"/>
      </w:pPr>
      <w:r>
        <w:rPr>
          <w:rFonts w:ascii="仿宋_GB2312" w:hAnsi="仿宋_GB2312" w:eastAsia="仿宋_GB2312"/>
          <w:b w:val="0"/>
          <w:sz w:val="32"/>
        </w:rPr>
        <w:t>二、《收入决算表》</w:t>
      </w:r>
    </w:p>
    <w:p w14:paraId="53E4D552">
      <w:pPr>
        <w:spacing w:line="240" w:lineRule="auto"/>
        <w:ind w:firstLine="640"/>
        <w:jc w:val="both"/>
      </w:pPr>
      <w:r>
        <w:rPr>
          <w:rFonts w:ascii="仿宋_GB2312" w:hAnsi="仿宋_GB2312" w:eastAsia="仿宋_GB2312"/>
          <w:b w:val="0"/>
          <w:sz w:val="32"/>
        </w:rPr>
        <w:t>三、《支出决算表》</w:t>
      </w:r>
    </w:p>
    <w:p w14:paraId="1AA00B28">
      <w:pPr>
        <w:spacing w:line="240" w:lineRule="auto"/>
        <w:ind w:firstLine="640"/>
        <w:jc w:val="both"/>
      </w:pPr>
      <w:r>
        <w:rPr>
          <w:rFonts w:ascii="仿宋_GB2312" w:hAnsi="仿宋_GB2312" w:eastAsia="仿宋_GB2312"/>
          <w:b w:val="0"/>
          <w:sz w:val="32"/>
        </w:rPr>
        <w:t>四、《财政拨款收入支出决算总表》</w:t>
      </w:r>
    </w:p>
    <w:p w14:paraId="3CF4BA52">
      <w:pPr>
        <w:spacing w:line="240" w:lineRule="auto"/>
        <w:ind w:firstLine="640"/>
        <w:jc w:val="both"/>
      </w:pPr>
      <w:r>
        <w:rPr>
          <w:rFonts w:ascii="仿宋_GB2312" w:hAnsi="仿宋_GB2312" w:eastAsia="仿宋_GB2312"/>
          <w:b w:val="0"/>
          <w:sz w:val="32"/>
        </w:rPr>
        <w:t>五、《一般公共预算财政拨款支出决算表》</w:t>
      </w:r>
    </w:p>
    <w:p w14:paraId="173BDC5E">
      <w:pPr>
        <w:spacing w:line="240" w:lineRule="auto"/>
        <w:ind w:firstLine="640"/>
        <w:jc w:val="both"/>
      </w:pPr>
      <w:r>
        <w:rPr>
          <w:rFonts w:ascii="仿宋_GB2312" w:hAnsi="仿宋_GB2312" w:eastAsia="仿宋_GB2312"/>
          <w:b w:val="0"/>
          <w:sz w:val="32"/>
        </w:rPr>
        <w:t>六、《一般公共预算财政拨款基本支出决算表》</w:t>
      </w:r>
    </w:p>
    <w:p w14:paraId="3C0F3A60">
      <w:pPr>
        <w:spacing w:line="240" w:lineRule="auto"/>
        <w:ind w:firstLine="640"/>
        <w:jc w:val="both"/>
      </w:pPr>
      <w:r>
        <w:rPr>
          <w:rFonts w:ascii="仿宋_GB2312" w:hAnsi="仿宋_GB2312" w:eastAsia="仿宋_GB2312"/>
          <w:b w:val="0"/>
          <w:sz w:val="32"/>
        </w:rPr>
        <w:t>七、《政府性基金预算财政拨款收入支出决算表》</w:t>
      </w:r>
    </w:p>
    <w:p w14:paraId="5D82532E">
      <w:pPr>
        <w:spacing w:line="240" w:lineRule="auto"/>
        <w:ind w:firstLine="640"/>
        <w:jc w:val="both"/>
      </w:pPr>
      <w:r>
        <w:rPr>
          <w:rFonts w:ascii="仿宋_GB2312" w:hAnsi="仿宋_GB2312" w:eastAsia="仿宋_GB2312"/>
          <w:b w:val="0"/>
          <w:sz w:val="32"/>
        </w:rPr>
        <w:t>八、《国有资本经营预算财政拨款收入支出决算表》</w:t>
      </w:r>
    </w:p>
    <w:p w14:paraId="6EE35F6C">
      <w:pPr>
        <w:spacing w:line="240" w:lineRule="auto"/>
        <w:ind w:firstLine="640"/>
        <w:jc w:val="both"/>
      </w:pPr>
      <w:r>
        <w:rPr>
          <w:rFonts w:ascii="仿宋_GB2312" w:hAnsi="仿宋_GB2312" w:eastAsia="仿宋_GB2312"/>
          <w:b w:val="0"/>
          <w:sz w:val="32"/>
        </w:rPr>
        <w:t>九、《财政拨款“三公”经费支出决算表》</w:t>
      </w:r>
    </w:p>
    <w:p w14:paraId="5364C9EC">
      <w:pPr>
        <w:spacing w:line="240" w:lineRule="auto"/>
        <w:ind w:firstLine="640"/>
        <w:jc w:val="both"/>
      </w:pPr>
    </w:p>
    <w:p w14:paraId="0ED9DC26">
      <w:pPr>
        <w:spacing w:line="240" w:lineRule="auto"/>
        <w:ind w:firstLine="640"/>
        <w:jc w:val="both"/>
      </w:pPr>
    </w:p>
    <w:p w14:paraId="6062ACC5">
      <w:pPr>
        <w:spacing w:line="240" w:lineRule="auto"/>
        <w:ind w:firstLine="640"/>
        <w:jc w:val="both"/>
      </w:pPr>
    </w:p>
    <w:p w14:paraId="623E0ACB">
      <w:pPr>
        <w:spacing w:line="240" w:lineRule="auto"/>
        <w:ind w:firstLine="640"/>
        <w:jc w:val="both"/>
      </w:pPr>
    </w:p>
    <w:p w14:paraId="61BE7AA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2C4ADE"/>
    <w:rsid w:val="1DAF458D"/>
    <w:rsid w:val="1E086ACE"/>
    <w:rsid w:val="1E4B5CA5"/>
    <w:rsid w:val="1EAA4A5F"/>
    <w:rsid w:val="1F587A0B"/>
    <w:rsid w:val="2064678E"/>
    <w:rsid w:val="20BC0B75"/>
    <w:rsid w:val="20DD6197"/>
    <w:rsid w:val="21F317F2"/>
    <w:rsid w:val="2241392C"/>
    <w:rsid w:val="23BC04D2"/>
    <w:rsid w:val="24777E63"/>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5862</Words>
  <Characters>6596</Characters>
  <Lines>0</Lines>
  <Paragraphs>0</Paragraphs>
  <TotalTime>15</TotalTime>
  <ScaleCrop>false</ScaleCrop>
  <LinksUpToDate>false</LinksUpToDate>
  <CharactersWithSpaces>6611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2025-09-15T07:54:12Z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