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08080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阿克陶县维吾尔医医院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D552E5">
      <w:r>
        <w:br w:type="page"/>
      </w:r>
    </w:p>
    <w:p w14:paraId="261C8076">
      <w:pPr>
        <w:spacing w:line="640" w:lineRule="exact"/>
        <w:jc w:val="center"/>
        <w:outlineLvl w:val="1"/>
      </w:pPr>
      <w:r>
        <w:rPr>
          <w:rFonts w:ascii="黑体" w:hAnsi="黑体" w:eastAsia="黑体"/>
          <w:sz w:val="32"/>
        </w:rPr>
        <w:t>第一部分 单位概况</w:t>
      </w:r>
    </w:p>
    <w:p w14:paraId="26F2F1C1">
      <w:pPr>
        <w:spacing w:line="640" w:lineRule="exact"/>
        <w:ind w:firstLine="640"/>
        <w:jc w:val="both"/>
        <w:outlineLvl w:val="2"/>
      </w:pPr>
      <w:r>
        <w:rPr>
          <w:rFonts w:ascii="黑体" w:hAnsi="黑体" w:eastAsia="黑体"/>
          <w:sz w:val="32"/>
        </w:rPr>
        <w:t>一、主要职能</w:t>
      </w:r>
    </w:p>
    <w:p w14:paraId="0F1C301C">
      <w:pPr>
        <w:spacing w:line="580" w:lineRule="exact"/>
        <w:ind w:firstLine="640"/>
        <w:jc w:val="both"/>
      </w:pPr>
      <w:r>
        <w:rPr>
          <w:rFonts w:ascii="仿宋_GB2312" w:hAnsi="仿宋_GB2312" w:eastAsia="仿宋_GB2312"/>
          <w:sz w:val="32"/>
        </w:rPr>
        <w:t>（1）面向社会开展医疗、预防、保健、救护和康复服务开展医学教学和科研工作。</w:t>
      </w:r>
    </w:p>
    <w:p w14:paraId="1E54DC7F">
      <w:pPr>
        <w:spacing w:line="580" w:lineRule="exact"/>
        <w:ind w:firstLine="640"/>
        <w:jc w:val="both"/>
      </w:pPr>
      <w:r>
        <w:rPr>
          <w:rFonts w:ascii="仿宋_GB2312" w:hAnsi="仿宋_GB2312" w:eastAsia="仿宋_GB2312"/>
          <w:sz w:val="32"/>
        </w:rPr>
        <w:t>（2）承担各类突发公共事件、自然灾害的医疗救治工作。</w:t>
      </w:r>
    </w:p>
    <w:p w14:paraId="1BC2C172">
      <w:pPr>
        <w:spacing w:line="580" w:lineRule="exact"/>
        <w:ind w:firstLine="640"/>
        <w:jc w:val="both"/>
      </w:pPr>
      <w:r>
        <w:rPr>
          <w:rFonts w:ascii="仿宋_GB2312" w:hAnsi="仿宋_GB2312" w:eastAsia="仿宋_GB2312"/>
          <w:sz w:val="32"/>
        </w:rPr>
        <w:t>（3）面向基层、农牧区医疗机构,开展人才培养、技术支持等工作。</w:t>
      </w:r>
    </w:p>
    <w:p w14:paraId="579618E5">
      <w:pPr>
        <w:spacing w:line="580" w:lineRule="exact"/>
        <w:ind w:firstLine="640"/>
        <w:jc w:val="both"/>
      </w:pPr>
      <w:r>
        <w:rPr>
          <w:rFonts w:ascii="仿宋_GB2312" w:hAnsi="仿宋_GB2312" w:eastAsia="仿宋_GB2312"/>
          <w:sz w:val="32"/>
        </w:rPr>
        <w:t>（4）承担阿克陶县人民政府和上级主管单位交办的其他任务。</w:t>
      </w:r>
    </w:p>
    <w:p w14:paraId="0332EAF7">
      <w:pPr>
        <w:spacing w:line="640" w:lineRule="exact"/>
        <w:ind w:firstLine="640"/>
        <w:jc w:val="both"/>
        <w:outlineLvl w:val="2"/>
      </w:pPr>
      <w:r>
        <w:rPr>
          <w:rFonts w:ascii="黑体" w:hAnsi="黑体" w:eastAsia="黑体"/>
          <w:sz w:val="32"/>
        </w:rPr>
        <w:t>二、机构设置及人员情况</w:t>
      </w:r>
    </w:p>
    <w:p w14:paraId="359A27A2">
      <w:pPr>
        <w:spacing w:line="580" w:lineRule="exact"/>
        <w:ind w:firstLine="640"/>
        <w:jc w:val="both"/>
      </w:pPr>
      <w:r>
        <w:rPr>
          <w:rFonts w:ascii="仿宋_GB2312" w:hAnsi="仿宋_GB2312" w:eastAsia="仿宋_GB2312"/>
          <w:sz w:val="32"/>
        </w:rPr>
        <w:t>阿克陶县维吾尔医医院2024年度，实有人数143人，其中：在职人员128人，减少1人；离休人员0人，增加0人；退休人员15人,增加2人。</w:t>
      </w:r>
    </w:p>
    <w:p w14:paraId="6C5617E8">
      <w:pPr>
        <w:spacing w:line="580" w:lineRule="exact"/>
        <w:ind w:firstLine="640"/>
        <w:jc w:val="both"/>
      </w:pPr>
      <w:r>
        <w:rPr>
          <w:rFonts w:ascii="仿宋_GB2312" w:hAnsi="仿宋_GB2312" w:eastAsia="仿宋_GB2312"/>
          <w:sz w:val="32"/>
        </w:rPr>
        <w:t>阿克陶县维吾尔医医院无下属预算单位，下设25个科室，分别是：医院办公室、财务科、医教科、人事科、设备科、信息科、总务科、护理部、药剂科、院感办、发热门诊、纪检办、外科、康复科、内科、病案室、放射科、检验科、特检科、妇一科、妇二科、皮肤科、煎药室、老年病科、治未病科。</w:t>
      </w:r>
    </w:p>
    <w:p w14:paraId="1DAF8F66">
      <w:r>
        <w:br w:type="page"/>
      </w:r>
    </w:p>
    <w:p w14:paraId="795757EE">
      <w:pPr>
        <w:spacing w:line="240" w:lineRule="auto"/>
        <w:jc w:val="center"/>
        <w:outlineLvl w:val="1"/>
      </w:pPr>
      <w:r>
        <w:rPr>
          <w:rFonts w:ascii="黑体" w:hAnsi="黑体" w:eastAsia="黑体"/>
          <w:sz w:val="32"/>
        </w:rPr>
        <w:t>第二部分 部门决算情况说明</w:t>
      </w:r>
    </w:p>
    <w:p w14:paraId="05994019">
      <w:pPr>
        <w:spacing w:line="640" w:lineRule="exact"/>
        <w:ind w:firstLine="640"/>
        <w:jc w:val="both"/>
        <w:outlineLvl w:val="2"/>
      </w:pPr>
      <w:r>
        <w:rPr>
          <w:rFonts w:ascii="黑体" w:hAnsi="黑体" w:eastAsia="黑体"/>
          <w:sz w:val="32"/>
        </w:rPr>
        <w:t>一、收入支出决算总体情况说明</w:t>
      </w:r>
    </w:p>
    <w:p w14:paraId="10CB88C5">
      <w:pPr>
        <w:spacing w:line="580" w:lineRule="exact"/>
        <w:ind w:firstLine="640"/>
        <w:jc w:val="both"/>
      </w:pPr>
      <w:r>
        <w:rPr>
          <w:rFonts w:ascii="仿宋_GB2312" w:hAnsi="仿宋_GB2312" w:eastAsia="仿宋_GB2312"/>
          <w:b/>
          <w:sz w:val="32"/>
        </w:rPr>
        <w:t>2024年度收入总计4,960.53万元，</w:t>
      </w:r>
      <w:r>
        <w:rPr>
          <w:rFonts w:ascii="仿宋_GB2312" w:hAnsi="仿宋_GB2312" w:eastAsia="仿宋_GB2312"/>
          <w:b w:val="0"/>
          <w:sz w:val="32"/>
        </w:rPr>
        <w:t>其中：本年收入合计4,746.57万元，使用非财政拨款结余（含专用结余）0.00万元，年初结转和结余213.95万元。</w:t>
      </w:r>
    </w:p>
    <w:p w14:paraId="4745F771">
      <w:pPr>
        <w:spacing w:line="580" w:lineRule="exact"/>
        <w:ind w:firstLine="640"/>
        <w:jc w:val="both"/>
      </w:pPr>
      <w:r>
        <w:rPr>
          <w:rFonts w:ascii="仿宋_GB2312" w:hAnsi="仿宋_GB2312" w:eastAsia="仿宋_GB2312"/>
          <w:b/>
          <w:sz w:val="32"/>
        </w:rPr>
        <w:t>2024年度支出总计4,960.53万元，</w:t>
      </w:r>
      <w:r>
        <w:rPr>
          <w:rFonts w:ascii="仿宋_GB2312" w:hAnsi="仿宋_GB2312" w:eastAsia="仿宋_GB2312"/>
          <w:b w:val="0"/>
          <w:sz w:val="32"/>
        </w:rPr>
        <w:t>其中：本年支出合计4,434.99万元，结余分配0.00万元，年末结转和结余525.54万元。</w:t>
      </w:r>
    </w:p>
    <w:p w14:paraId="25930A56">
      <w:pPr>
        <w:spacing w:line="580" w:lineRule="exact"/>
        <w:ind w:firstLine="640"/>
        <w:jc w:val="both"/>
      </w:pPr>
      <w:r>
        <w:rPr>
          <w:rFonts w:ascii="仿宋_GB2312" w:hAnsi="仿宋_GB2312" w:eastAsia="仿宋_GB2312"/>
          <w:b w:val="0"/>
          <w:sz w:val="32"/>
        </w:rPr>
        <w:t>收入支出总体与上年相比，减少240.57万元，下降4.63%，主要原因是：本年减少宝康药业公司中药饮片销售收入用于偿还以前年度欠款项目经费，导致相关经费减少。</w:t>
      </w:r>
    </w:p>
    <w:p w14:paraId="125CCE6F">
      <w:pPr>
        <w:spacing w:line="640" w:lineRule="exact"/>
        <w:ind w:firstLine="640"/>
        <w:jc w:val="both"/>
        <w:outlineLvl w:val="2"/>
      </w:pPr>
      <w:r>
        <w:rPr>
          <w:rFonts w:ascii="黑体" w:hAnsi="黑体" w:eastAsia="黑体"/>
          <w:sz w:val="32"/>
        </w:rPr>
        <w:t>二、收入决算情况说明</w:t>
      </w:r>
    </w:p>
    <w:p w14:paraId="7CA7DA18">
      <w:pPr>
        <w:spacing w:line="580" w:lineRule="exact"/>
        <w:ind w:firstLine="640"/>
        <w:jc w:val="both"/>
      </w:pPr>
      <w:r>
        <w:rPr>
          <w:rFonts w:ascii="仿宋_GB2312" w:hAnsi="仿宋_GB2312" w:eastAsia="仿宋_GB2312"/>
          <w:b/>
          <w:sz w:val="32"/>
        </w:rPr>
        <w:t>本年收入4,746.57万元，</w:t>
      </w:r>
      <w:r>
        <w:rPr>
          <w:rFonts w:ascii="仿宋_GB2312" w:hAnsi="仿宋_GB2312" w:eastAsia="仿宋_GB2312"/>
          <w:b w:val="0"/>
          <w:sz w:val="32"/>
        </w:rPr>
        <w:t>其中：财政拨款收入2,645.99万元，占55.75%；上级补助收入0.00万元，占0.00%；事业收入2,077.86万元，占43.78%；经营收入0.00万元，占0.00%；附属单位上缴收入0.00万元，占0.00%；其他收入22.72万元，占0.48%。</w:t>
      </w:r>
    </w:p>
    <w:p w14:paraId="1E8862CE">
      <w:pPr>
        <w:spacing w:line="640" w:lineRule="exact"/>
        <w:ind w:firstLine="640"/>
        <w:jc w:val="both"/>
        <w:outlineLvl w:val="2"/>
      </w:pPr>
      <w:r>
        <w:rPr>
          <w:rFonts w:ascii="黑体" w:hAnsi="黑体" w:eastAsia="黑体"/>
          <w:sz w:val="32"/>
        </w:rPr>
        <w:t>三、支出决算情况说明</w:t>
      </w:r>
    </w:p>
    <w:p w14:paraId="6D0B74CF">
      <w:pPr>
        <w:spacing w:line="580" w:lineRule="exact"/>
        <w:ind w:firstLine="640"/>
        <w:jc w:val="both"/>
      </w:pPr>
      <w:r>
        <w:rPr>
          <w:rFonts w:ascii="仿宋_GB2312" w:hAnsi="仿宋_GB2312" w:eastAsia="仿宋_GB2312"/>
          <w:b/>
          <w:sz w:val="32"/>
        </w:rPr>
        <w:t>本年支出4,434.99万元，</w:t>
      </w:r>
      <w:r>
        <w:rPr>
          <w:rFonts w:ascii="仿宋_GB2312" w:hAnsi="仿宋_GB2312" w:eastAsia="仿宋_GB2312"/>
          <w:b w:val="0"/>
          <w:sz w:val="32"/>
        </w:rPr>
        <w:t>其中：基本支出4,222.84万元，占95.22%；项目支出212.15万元，占4.78%；上缴上级支出0.00万元，占0.00%；经营支出0.00万元，占0.00%；对附属单位补助支出0.00万元，占0.00%。</w:t>
      </w:r>
    </w:p>
    <w:p w14:paraId="61956D87">
      <w:pPr>
        <w:spacing w:line="640" w:lineRule="exact"/>
        <w:ind w:firstLine="640"/>
        <w:jc w:val="both"/>
        <w:outlineLvl w:val="2"/>
      </w:pPr>
      <w:r>
        <w:rPr>
          <w:rFonts w:ascii="黑体" w:hAnsi="黑体" w:eastAsia="黑体"/>
          <w:sz w:val="32"/>
        </w:rPr>
        <w:t>四、财政拨款收入支出决算总体情况说明</w:t>
      </w:r>
    </w:p>
    <w:p w14:paraId="58248CC6">
      <w:pPr>
        <w:spacing w:line="580" w:lineRule="exact"/>
        <w:ind w:firstLine="640"/>
        <w:jc w:val="both"/>
      </w:pPr>
      <w:r>
        <w:rPr>
          <w:rFonts w:ascii="仿宋_GB2312" w:hAnsi="仿宋_GB2312" w:eastAsia="仿宋_GB2312"/>
          <w:b/>
          <w:sz w:val="32"/>
        </w:rPr>
        <w:t>2024年度财政拨款收入总计2,645.99万元，</w:t>
      </w:r>
      <w:r>
        <w:rPr>
          <w:rFonts w:ascii="仿宋_GB2312" w:hAnsi="仿宋_GB2312" w:eastAsia="仿宋_GB2312"/>
          <w:b w:val="0"/>
          <w:sz w:val="32"/>
        </w:rPr>
        <w:t>其中：年初财政拨款结转和结余0.00万元，本年财政拨款收入2,645.99万元。</w:t>
      </w:r>
      <w:r>
        <w:rPr>
          <w:rFonts w:ascii="仿宋_GB2312" w:hAnsi="仿宋_GB2312" w:eastAsia="仿宋_GB2312"/>
          <w:b/>
          <w:sz w:val="32"/>
        </w:rPr>
        <w:t>财政拨款支出总计2,645.99万元，</w:t>
      </w:r>
      <w:r>
        <w:rPr>
          <w:rFonts w:ascii="仿宋_GB2312" w:hAnsi="仿宋_GB2312" w:eastAsia="仿宋_GB2312"/>
          <w:b w:val="0"/>
          <w:sz w:val="32"/>
        </w:rPr>
        <w:t>其中：年末财政拨款结转和结余0.00万元，本年财政拨款支出2,645.99万元。</w:t>
      </w:r>
    </w:p>
    <w:p w14:paraId="0F3DEE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增加72.86万元，增长2.83%，主要原因是：本年在职人员工资调增，社保、公积金基数调增，人员经费增加，本年新增退休人员，职业年金缴费支出增加。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年初预算数2,716.36万元，决算数2,645.99万元，预决算差异率-2.59%，主要原因是：年初预算中包含2024年为民办实事项目经费，年中未执行调减相关经费，导致预决算存在差异。</w:t>
      </w:r>
    </w:p>
    <w:p w14:paraId="4BD3CDCE">
      <w:pPr>
        <w:spacing w:line="640" w:lineRule="exact"/>
        <w:ind w:firstLine="640"/>
        <w:jc w:val="both"/>
        <w:outlineLvl w:val="2"/>
      </w:pPr>
      <w:r>
        <w:rPr>
          <w:rFonts w:ascii="黑体" w:hAnsi="黑体" w:eastAsia="黑体"/>
          <w:sz w:val="32"/>
        </w:rPr>
        <w:t>五、一般公共预算财政拨款支出决算情况说明</w:t>
      </w:r>
    </w:p>
    <w:p w14:paraId="727DC916">
      <w:pPr>
        <w:spacing w:line="640" w:lineRule="exact"/>
        <w:ind w:firstLine="640"/>
        <w:jc w:val="both"/>
        <w:outlineLvl w:val="3"/>
      </w:pPr>
      <w:r>
        <w:rPr>
          <w:rFonts w:ascii="楷体_GB2312" w:hAnsi="楷体_GB2312" w:eastAsia="楷体_GB2312"/>
          <w:b/>
          <w:sz w:val="32"/>
        </w:rPr>
        <w:t>（一）一般公共预算财政拨款支出决算总体情况</w:t>
      </w:r>
    </w:p>
    <w:p w14:paraId="0ADF3B3D">
      <w:pPr>
        <w:spacing w:line="580" w:lineRule="exact"/>
        <w:ind w:firstLine="640"/>
        <w:jc w:val="both"/>
      </w:pPr>
      <w:r>
        <w:rPr>
          <w:rFonts w:ascii="仿宋_GB2312" w:hAnsi="仿宋_GB2312" w:eastAsia="仿宋_GB2312"/>
          <w:b/>
          <w:sz w:val="32"/>
        </w:rPr>
        <w:t>2024年度一般公共预算财政拨款支出2,645.99万元，</w:t>
      </w:r>
      <w:r>
        <w:rPr>
          <w:rFonts w:ascii="仿宋_GB2312" w:hAnsi="仿宋_GB2312" w:eastAsia="仿宋_GB2312"/>
          <w:b w:val="0"/>
          <w:sz w:val="32"/>
        </w:rPr>
        <w:t>占本年支出合计的59.66%。</w:t>
      </w:r>
      <w:r>
        <w:rPr>
          <w:rFonts w:ascii="仿宋_GB2312" w:hAnsi="仿宋_GB2312" w:eastAsia="仿宋_GB2312"/>
          <w:b/>
          <w:sz w:val="32"/>
        </w:rPr>
        <w:t>与上年相比，</w:t>
      </w:r>
      <w:r>
        <w:rPr>
          <w:rFonts w:ascii="仿宋_GB2312" w:hAnsi="仿宋_GB2312" w:eastAsia="仿宋_GB2312"/>
          <w:b w:val="0"/>
          <w:sz w:val="32"/>
        </w:rPr>
        <w:t>增加72.86万元，增长2.83%，主要原因是：本年在职人员工资调增，社保、公积金基数调增，人员经费增加，本年新增退休人员，职业年金缴费支出增加。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年初预算数2,716.36万元，决算数2,645.99万元，预决算差异率-2.59%，主要原因是：年初预算中包含2024年为民办实事项目经费，年中未执行调减相关经费，导致预决算存在差异。</w:t>
      </w:r>
    </w:p>
    <w:p w14:paraId="481CA1FD">
      <w:pPr>
        <w:spacing w:line="640" w:lineRule="exact"/>
        <w:ind w:firstLine="640"/>
        <w:jc w:val="both"/>
        <w:outlineLvl w:val="3"/>
      </w:pPr>
      <w:r>
        <w:rPr>
          <w:rFonts w:ascii="楷体_GB2312" w:hAnsi="楷体_GB2312" w:eastAsia="楷体_GB2312"/>
          <w:b/>
          <w:sz w:val="32"/>
        </w:rPr>
        <w:t>（二）一般公共预算财政拨款支出决算结构情况</w:t>
      </w:r>
    </w:p>
    <w:p w14:paraId="43F760A4">
      <w:pPr>
        <w:spacing w:line="580" w:lineRule="exact"/>
        <w:ind w:firstLine="640"/>
        <w:jc w:val="both"/>
      </w:pPr>
      <w:r>
        <w:rPr>
          <w:rFonts w:ascii="仿宋_GB2312" w:hAnsi="仿宋_GB2312" w:eastAsia="仿宋_GB2312"/>
          <w:b w:val="0"/>
          <w:sz w:val="32"/>
        </w:rPr>
        <w:t>1.社会保障和就业支出(类)294.97万元,占11.15%。</w:t>
      </w:r>
    </w:p>
    <w:p w14:paraId="5CA089A2">
      <w:pPr>
        <w:spacing w:line="580" w:lineRule="exact"/>
        <w:ind w:firstLine="640"/>
        <w:jc w:val="both"/>
      </w:pPr>
      <w:r>
        <w:rPr>
          <w:rFonts w:ascii="仿宋_GB2312" w:hAnsi="仿宋_GB2312" w:eastAsia="仿宋_GB2312"/>
          <w:b w:val="0"/>
          <w:sz w:val="32"/>
        </w:rPr>
        <w:t>2.卫生健康支出(类)2,151.07万元,占81.30%。</w:t>
      </w:r>
    </w:p>
    <w:p w14:paraId="02CC9AC1">
      <w:pPr>
        <w:spacing w:line="580" w:lineRule="exact"/>
        <w:ind w:firstLine="640"/>
        <w:jc w:val="both"/>
      </w:pPr>
      <w:r>
        <w:rPr>
          <w:rFonts w:ascii="仿宋_GB2312" w:hAnsi="仿宋_GB2312" w:eastAsia="仿宋_GB2312"/>
          <w:b w:val="0"/>
          <w:sz w:val="32"/>
        </w:rPr>
        <w:t>3.住房保障支出(类)199.95万元,占7.56%。</w:t>
      </w:r>
    </w:p>
    <w:p w14:paraId="0E6BD6FC">
      <w:pPr>
        <w:spacing w:line="640" w:lineRule="exact"/>
        <w:ind w:firstLine="640"/>
        <w:jc w:val="both"/>
        <w:outlineLvl w:val="3"/>
      </w:pPr>
      <w:r>
        <w:rPr>
          <w:rFonts w:ascii="楷体_GB2312" w:hAnsi="楷体_GB2312" w:eastAsia="楷体_GB2312"/>
          <w:b/>
          <w:sz w:val="32"/>
        </w:rPr>
        <w:t>（三）一般公共预算财政拨款支出决算具体情况</w:t>
      </w:r>
    </w:p>
    <w:p w14:paraId="0B116F5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1.社会保障和就业支出(类)行政事业单位养老支出(款)事业单位离退休(项):支出决算数为10.13万元，比上年决算增加0.57万元，增长5.96%,主要原因是：本年退休人员增加，退休费支出增加。</w:t>
      </w:r>
    </w:p>
    <w:p w14:paraId="4379B21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267.94万元，比上年决算增加39.38万元，增长17.23%,主要原因是：本年在职人员工资基数调增，养老缴费基数上涨，相应支出增加。</w:t>
      </w:r>
    </w:p>
    <w:p w14:paraId="44ED183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3.社会保障和就业支出(类)行政事业单位养老支出(款)机关事业单位职业年金缴费支出(项):支出决算数为16.90万元，比上年决算增加16.90万元，增长100.00%,主要原因是：本年新增退休人员，职业年金缴费支出增加。</w:t>
      </w:r>
    </w:p>
    <w:p w14:paraId="6C8153FD">
      <w:pPr>
        <w:spacing w:line="580" w:lineRule="exact"/>
        <w:ind w:firstLine="640"/>
        <w:jc w:val="both"/>
      </w:pPr>
      <w:r>
        <w:rPr>
          <w:rFonts w:ascii="仿宋_GB2312" w:hAnsi="仿宋_GB2312" w:eastAsia="仿宋_GB2312"/>
          <w:b w:val="0"/>
          <w:sz w:val="32"/>
        </w:rPr>
        <w:t>4.卫生健康支出(类)公立医院(款)中医（民族）医院(项):支出决算数为1,847.77万元，比上年决算减少125.36万元，下降6.35%,主要原因是：本年功能科目调整，自聘人员医疗保险、服务能力提升资金上年度在本科目列支，本年在其他基层医疗卫生机构支出科目列支，导致经费较上年减少。</w:t>
      </w:r>
    </w:p>
    <w:p w14:paraId="651EAEE9">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111.83万元，比上年决算增加111.83万元，增长100.00%,主要原因是：本年功能科目调整，自聘人员医疗保险、服务能力提升资金上年度在本科目列支，本年在其他基层医疗卫生机构支出科目列支，导致经费较上年增加。</w:t>
      </w:r>
    </w:p>
    <w:p w14:paraId="16B922AF">
      <w:pPr>
        <w:spacing w:line="580" w:lineRule="exact"/>
        <w:ind w:firstLine="640"/>
        <w:jc w:val="both"/>
      </w:pPr>
      <w:r>
        <w:rPr>
          <w:rFonts w:ascii="仿宋_GB2312" w:hAnsi="仿宋_GB2312" w:eastAsia="仿宋_GB2312"/>
          <w:b w:val="0"/>
          <w:sz w:val="32"/>
        </w:rPr>
        <w:t>6.卫生健康支出(类)公共卫生(款)突发公共卫生事件应急处置(项):支出决算数为100.32万元，比上年决算增加0.00万元，增长0.00%,主要原因是：</w:t>
      </w:r>
      <w:r>
        <w:rPr>
          <w:rFonts w:hint="eastAsia" w:ascii="仿宋_GB2312" w:hAnsi="仿宋_GB2312" w:eastAsia="仿宋_GB2312"/>
          <w:b w:val="0"/>
          <w:sz w:val="32"/>
          <w:lang w:val="en-US" w:eastAsia="zh-CN"/>
        </w:rPr>
        <w:t>本年</w:t>
      </w:r>
      <w:bookmarkStart w:id="0" w:name="_GoBack"/>
      <w:bookmarkEnd w:id="0"/>
      <w:r>
        <w:rPr>
          <w:rFonts w:hint="eastAsia" w:ascii="仿宋_GB2312" w:hAnsi="仿宋_GB2312" w:eastAsia="仿宋_GB2312"/>
          <w:b w:val="0"/>
          <w:sz w:val="32"/>
        </w:rPr>
        <w:t>疫情防控补助项目（县级财力）</w:t>
      </w:r>
      <w:r>
        <w:rPr>
          <w:rFonts w:ascii="仿宋_GB2312" w:hAnsi="仿宋_GB2312" w:eastAsia="仿宋_GB2312"/>
          <w:b w:val="0"/>
          <w:sz w:val="32"/>
        </w:rPr>
        <w:t>与上年一致，无差异。</w:t>
      </w:r>
    </w:p>
    <w:p w14:paraId="21065F45">
      <w:pPr>
        <w:spacing w:line="580" w:lineRule="exact"/>
        <w:ind w:firstLine="640"/>
        <w:jc w:val="both"/>
      </w:pPr>
      <w:r>
        <w:rPr>
          <w:rFonts w:ascii="仿宋_GB2312" w:hAnsi="仿宋_GB2312" w:eastAsia="仿宋_GB2312"/>
          <w:b w:val="0"/>
          <w:sz w:val="32"/>
        </w:rPr>
        <w:t>7.卫生健康支出(类)行政事业单位医疗(款)事业单位医疗(项):支出决算数为91.15万元，比上年决算增加9.58万元，增长11.74%,主要原因是：本年在职人员工资基数调增，医疗缴费基数上涨，相应支出增加。</w:t>
      </w:r>
    </w:p>
    <w:p w14:paraId="7C18C0A9">
      <w:pPr>
        <w:spacing w:line="580" w:lineRule="exact"/>
        <w:ind w:firstLine="640"/>
        <w:jc w:val="both"/>
      </w:pPr>
      <w:r>
        <w:rPr>
          <w:rFonts w:ascii="仿宋_GB2312" w:hAnsi="仿宋_GB2312" w:eastAsia="仿宋_GB2312"/>
          <w:b w:val="0"/>
          <w:sz w:val="32"/>
        </w:rPr>
        <w:t>8.住房保障支出(类)住房改革支出(款)住房公积金(项):支出决算数为199.95万元，比上年决算增加19.96万元，增长11.09%,主要原因是：本年在职人员工资基数调增，公积金缴费基数上涨，相应支出增加。</w:t>
      </w:r>
    </w:p>
    <w:p w14:paraId="79C0C38F">
      <w:pPr>
        <w:spacing w:line="640" w:lineRule="exact"/>
        <w:ind w:firstLine="640"/>
        <w:jc w:val="both"/>
        <w:outlineLvl w:val="2"/>
      </w:pPr>
      <w:r>
        <w:rPr>
          <w:rFonts w:ascii="黑体" w:hAnsi="黑体" w:eastAsia="黑体"/>
          <w:sz w:val="32"/>
        </w:rPr>
        <w:t>六、一般公共预算财政拨款基本支出决算情况说明</w:t>
      </w:r>
    </w:p>
    <w:p w14:paraId="7F9CD7B2">
      <w:pPr>
        <w:spacing w:line="580" w:lineRule="exact"/>
        <w:ind w:firstLine="640"/>
        <w:jc w:val="both"/>
      </w:pPr>
      <w:r>
        <w:rPr>
          <w:rFonts w:ascii="仿宋_GB2312" w:hAnsi="仿宋_GB2312" w:eastAsia="仿宋_GB2312"/>
          <w:b w:val="0"/>
          <w:sz w:val="32"/>
        </w:rPr>
        <w:t>2024年度一般公共预算财政拨款基本支出2,433.84万元，其中：</w:t>
      </w:r>
      <w:r>
        <w:rPr>
          <w:rFonts w:ascii="仿宋_GB2312" w:hAnsi="仿宋_GB2312" w:eastAsia="仿宋_GB2312"/>
          <w:b/>
          <w:sz w:val="32"/>
        </w:rPr>
        <w:t>人员经费2,433.84万元，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4968802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E9387A1">
      <w:pPr>
        <w:spacing w:line="640" w:lineRule="exact"/>
        <w:ind w:firstLine="640"/>
        <w:jc w:val="both"/>
        <w:outlineLvl w:val="2"/>
      </w:pPr>
      <w:r>
        <w:rPr>
          <w:rFonts w:ascii="黑体" w:hAnsi="黑体" w:eastAsia="黑体"/>
          <w:sz w:val="32"/>
        </w:rPr>
        <w:t>七、政府性基金预算财政拨款收入支出决算情况说明</w:t>
      </w:r>
    </w:p>
    <w:p w14:paraId="37760BD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77EAFEB">
      <w:pPr>
        <w:spacing w:line="640" w:lineRule="exact"/>
        <w:ind w:firstLine="640"/>
        <w:jc w:val="both"/>
        <w:outlineLvl w:val="2"/>
      </w:pPr>
      <w:r>
        <w:rPr>
          <w:rFonts w:ascii="黑体" w:hAnsi="黑体" w:eastAsia="黑体"/>
          <w:sz w:val="32"/>
        </w:rPr>
        <w:t>八、国有资本经营预算财政拨款收入支出决算情况说明</w:t>
      </w:r>
    </w:p>
    <w:p w14:paraId="2B0A38B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DF64BB8">
      <w:pPr>
        <w:spacing w:line="640" w:lineRule="exact"/>
        <w:ind w:firstLine="640"/>
        <w:jc w:val="both"/>
        <w:outlineLvl w:val="2"/>
      </w:pPr>
      <w:r>
        <w:rPr>
          <w:rFonts w:ascii="黑体" w:hAnsi="黑体" w:eastAsia="黑体"/>
          <w:sz w:val="32"/>
        </w:rPr>
        <w:t>九、财政拨款“三公”经费支出决算情况说明</w:t>
      </w:r>
    </w:p>
    <w:p w14:paraId="2C1FE89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E06793D">
      <w:pPr>
        <w:spacing w:line="580" w:lineRule="exact"/>
        <w:ind w:firstLine="640"/>
        <w:jc w:val="both"/>
      </w:pPr>
      <w:r>
        <w:rPr>
          <w:rFonts w:ascii="仿宋_GB2312" w:hAnsi="仿宋_GB2312" w:eastAsia="仿宋_GB2312"/>
          <w:b/>
          <w:sz w:val="32"/>
        </w:rPr>
        <w:t>具体情况如下：</w:t>
      </w:r>
    </w:p>
    <w:p w14:paraId="0CC32B1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751869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w:t>
      </w:r>
    </w:p>
    <w:p w14:paraId="106C279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6DCB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9C753A8">
      <w:pPr>
        <w:spacing w:line="640" w:lineRule="exact"/>
        <w:ind w:firstLine="640"/>
        <w:jc w:val="both"/>
        <w:outlineLvl w:val="2"/>
      </w:pPr>
      <w:r>
        <w:rPr>
          <w:rFonts w:ascii="黑体" w:hAnsi="黑体" w:eastAsia="黑体"/>
          <w:sz w:val="32"/>
        </w:rPr>
        <w:t>十、其他重要事项的情况说明</w:t>
      </w:r>
    </w:p>
    <w:p w14:paraId="5CE0A7DF">
      <w:pPr>
        <w:spacing w:line="640" w:lineRule="exact"/>
        <w:ind w:firstLine="640"/>
        <w:jc w:val="both"/>
        <w:outlineLvl w:val="3"/>
      </w:pPr>
      <w:r>
        <w:rPr>
          <w:rFonts w:ascii="楷体_GB2312" w:hAnsi="楷体_GB2312" w:eastAsia="楷体_GB2312"/>
          <w:b/>
          <w:sz w:val="32"/>
        </w:rPr>
        <w:t>（一）机关运行经费及公用经费支出情况</w:t>
      </w:r>
    </w:p>
    <w:p w14:paraId="7D8CD455">
      <w:pPr>
        <w:spacing w:line="580" w:lineRule="exact"/>
        <w:ind w:firstLine="640"/>
        <w:jc w:val="both"/>
      </w:pPr>
      <w:r>
        <w:rPr>
          <w:rFonts w:ascii="仿宋_GB2312" w:hAnsi="仿宋_GB2312" w:eastAsia="仿宋_GB2312"/>
          <w:b w:val="0"/>
          <w:sz w:val="32"/>
        </w:rPr>
        <w:t>2024年度阿克陶县维吾尔医医院（事业单位）公用经费支出0.00万元，比上年增加0.00万元，增长0.00%，主要原因是：2023年与2024年均未安排公用经费支出。</w:t>
      </w:r>
    </w:p>
    <w:p w14:paraId="36FF560D">
      <w:pPr>
        <w:spacing w:line="640" w:lineRule="exact"/>
        <w:ind w:firstLine="640"/>
        <w:jc w:val="both"/>
        <w:outlineLvl w:val="3"/>
      </w:pPr>
      <w:r>
        <w:rPr>
          <w:rFonts w:ascii="楷体_GB2312" w:hAnsi="楷体_GB2312" w:eastAsia="楷体_GB2312"/>
          <w:b/>
          <w:sz w:val="32"/>
        </w:rPr>
        <w:t>（二）政府采购情况</w:t>
      </w:r>
    </w:p>
    <w:p w14:paraId="64D24588">
      <w:pPr>
        <w:spacing w:line="580" w:lineRule="exact"/>
        <w:ind w:firstLine="640"/>
        <w:jc w:val="both"/>
      </w:pPr>
      <w:r>
        <w:rPr>
          <w:rFonts w:ascii="仿宋_GB2312" w:hAnsi="仿宋_GB2312" w:eastAsia="仿宋_GB2312"/>
          <w:b w:val="0"/>
          <w:sz w:val="32"/>
        </w:rPr>
        <w:t>2024年度政府采购支出总额72.03万元，其中：政府采购货物支出16.00万元、政府采购工程支出54.58万元、政府采购服务支出1.46万元。</w:t>
      </w:r>
    </w:p>
    <w:p w14:paraId="6165876A">
      <w:pPr>
        <w:spacing w:line="580" w:lineRule="exact"/>
        <w:ind w:firstLine="640"/>
        <w:jc w:val="both"/>
      </w:pPr>
      <w:r>
        <w:rPr>
          <w:rFonts w:ascii="仿宋_GB2312" w:hAnsi="仿宋_GB2312" w:eastAsia="仿宋_GB2312"/>
          <w:b w:val="0"/>
          <w:sz w:val="32"/>
        </w:rPr>
        <w:t>授予中小企业合同金额61.30万元，占政府采购支出总额的85.10%，其中：授予小微企业合同金额24.99万元，占政府采购支出总额的34.69%。</w:t>
      </w:r>
    </w:p>
    <w:p w14:paraId="0002C291">
      <w:pPr>
        <w:spacing w:line="640" w:lineRule="exact"/>
        <w:ind w:firstLine="640"/>
        <w:jc w:val="both"/>
        <w:outlineLvl w:val="3"/>
      </w:pPr>
      <w:r>
        <w:rPr>
          <w:rFonts w:ascii="楷体_GB2312" w:hAnsi="楷体_GB2312" w:eastAsia="楷体_GB2312"/>
          <w:b/>
          <w:sz w:val="32"/>
        </w:rPr>
        <w:t>（三）国有资产占用情况说明</w:t>
      </w:r>
    </w:p>
    <w:p w14:paraId="734628F5">
      <w:pPr>
        <w:spacing w:line="580" w:lineRule="exact"/>
        <w:ind w:firstLine="640"/>
        <w:jc w:val="both"/>
      </w:pPr>
      <w:r>
        <w:rPr>
          <w:rFonts w:ascii="仿宋_GB2312" w:hAnsi="仿宋_GB2312" w:eastAsia="仿宋_GB2312"/>
          <w:b w:val="0"/>
          <w:sz w:val="32"/>
        </w:rPr>
        <w:t>截至2024年12月31日，房屋14,480.91平方米，价值2,749.51万元。车辆2辆，价值56.48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1台（套）。</w:t>
      </w:r>
    </w:p>
    <w:p w14:paraId="56D73F8D">
      <w:pPr>
        <w:spacing w:line="640" w:lineRule="exact"/>
        <w:ind w:firstLine="640"/>
        <w:jc w:val="both"/>
        <w:outlineLvl w:val="2"/>
      </w:pPr>
      <w:r>
        <w:rPr>
          <w:rFonts w:ascii="黑体" w:hAnsi="黑体" w:eastAsia="黑体"/>
          <w:sz w:val="32"/>
        </w:rPr>
        <w:t>十一、预算绩效的情况说明</w:t>
      </w:r>
    </w:p>
    <w:p w14:paraId="4DECBE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4,960.53万元，实际执行总额4,434.99万元；预算绩效评价项目1个，全年预算数2.00万元，全年执行数0.00万元。预算绩效管理取得的成效：一是开展绩效评价，提高了绩效工作管理水平，二是科学制定目标，促进了绩效目标顺利实现，提高了项目资金使用的绩效意识，以便项目实施完成，三是进行跟踪问效评价，对下一年此类项目预算编制提供参考。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项目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2ACD36E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A4F0453">
        <w:tblPrEx>
          <w:tblCellMar>
            <w:top w:w="0" w:type="dxa"/>
            <w:left w:w="108" w:type="dxa"/>
            <w:bottom w:w="0" w:type="dxa"/>
            <w:right w:w="108" w:type="dxa"/>
          </w:tblCellMar>
        </w:tblPrEx>
        <w:tc>
          <w:tcPr>
            <w:tcW w:w="8840" w:type="dxa"/>
            <w:gridSpan w:val="8"/>
            <w:vAlign w:val="center"/>
          </w:tcPr>
          <w:p w14:paraId="3D6CD5CF">
            <w:pPr>
              <w:jc w:val="center"/>
            </w:pPr>
            <w:r>
              <w:rPr>
                <w:rFonts w:ascii="宋体" w:hAnsi="宋体" w:eastAsia="宋体"/>
                <w:sz w:val="24"/>
              </w:rPr>
              <w:t>单位整体支出绩效自评表</w:t>
            </w:r>
          </w:p>
        </w:tc>
      </w:tr>
      <w:tr w14:paraId="5B2E3670">
        <w:tblPrEx>
          <w:tblCellMar>
            <w:top w:w="0" w:type="dxa"/>
            <w:left w:w="108" w:type="dxa"/>
            <w:bottom w:w="0" w:type="dxa"/>
            <w:right w:w="108" w:type="dxa"/>
          </w:tblCellMar>
        </w:tblPrEx>
        <w:tc>
          <w:tcPr>
            <w:tcW w:w="8840" w:type="dxa"/>
            <w:gridSpan w:val="8"/>
            <w:vAlign w:val="center"/>
          </w:tcPr>
          <w:p w14:paraId="12CAF98C">
            <w:pPr>
              <w:jc w:val="center"/>
            </w:pPr>
            <w:r>
              <w:rPr>
                <w:rFonts w:ascii="宋体" w:hAnsi="宋体" w:eastAsia="宋体"/>
                <w:sz w:val="24"/>
              </w:rPr>
              <w:t>（2024年度）</w:t>
            </w:r>
          </w:p>
        </w:tc>
      </w:tr>
      <w:tr w14:paraId="1ABBD44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3C82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47E22">
            <w:pPr>
              <w:jc w:val="center"/>
            </w:pPr>
            <w:r>
              <w:rPr>
                <w:rFonts w:ascii="宋体" w:hAnsi="宋体" w:eastAsia="宋体"/>
                <w:sz w:val="16"/>
              </w:rPr>
              <w:t>阿克陶县维吾尔医医院</w:t>
            </w:r>
          </w:p>
        </w:tc>
      </w:tr>
      <w:tr w14:paraId="537C2A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A435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2D47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3849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7FE5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92CF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1E9E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D093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BED78">
            <w:pPr>
              <w:jc w:val="center"/>
            </w:pPr>
            <w:r>
              <w:rPr>
                <w:rFonts w:ascii="宋体" w:hAnsi="宋体" w:eastAsia="宋体"/>
                <w:sz w:val="16"/>
              </w:rPr>
              <w:t>得分</w:t>
            </w:r>
          </w:p>
        </w:tc>
      </w:tr>
      <w:tr w14:paraId="512A3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AB9E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0B88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C2E90">
            <w:pPr>
              <w:jc w:val="center"/>
            </w:pPr>
            <w:r>
              <w:rPr>
                <w:rFonts w:ascii="宋体" w:hAnsi="宋体" w:eastAsia="宋体"/>
                <w:sz w:val="16"/>
              </w:rPr>
              <w:t>2,661.31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296FE">
            <w:pPr>
              <w:jc w:val="center"/>
            </w:pPr>
            <w:r>
              <w:rPr>
                <w:rFonts w:ascii="宋体" w:hAnsi="宋体" w:eastAsia="宋体"/>
                <w:sz w:val="16"/>
              </w:rPr>
              <w:t>4,960.53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776FA">
            <w:pPr>
              <w:jc w:val="center"/>
            </w:pPr>
            <w:r>
              <w:rPr>
                <w:rFonts w:ascii="宋体" w:hAnsi="宋体" w:eastAsia="宋体"/>
                <w:sz w:val="16"/>
              </w:rPr>
              <w:t>4,434.99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D0CC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53C44">
            <w:pPr>
              <w:jc w:val="center"/>
            </w:pPr>
            <w:r>
              <w:rPr>
                <w:rFonts w:ascii="宋体" w:hAnsi="宋体" w:eastAsia="宋体"/>
                <w:sz w:val="16"/>
              </w:rPr>
              <w:t>89.41%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2AEFC">
            <w:pPr>
              <w:jc w:val="center"/>
            </w:pPr>
            <w:r>
              <w:rPr>
                <w:rFonts w:ascii="宋体" w:hAnsi="宋体" w:eastAsia="宋体"/>
                <w:sz w:val="16"/>
              </w:rPr>
              <w:t>8.94</w:t>
            </w:r>
          </w:p>
        </w:tc>
      </w:tr>
      <w:tr w14:paraId="0AB22C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74A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C556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B01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B266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B6BD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1AA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F35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4A08E">
            <w:pPr>
              <w:jc w:val="center"/>
            </w:pPr>
            <w:r>
              <w:rPr>
                <w:rFonts w:ascii="宋体" w:hAnsi="宋体" w:eastAsia="宋体"/>
                <w:sz w:val="16"/>
              </w:rPr>
              <w:t>—</w:t>
            </w:r>
          </w:p>
        </w:tc>
      </w:tr>
      <w:tr w14:paraId="7AF221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E823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6788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601A4">
            <w:pPr>
              <w:jc w:val="center"/>
            </w:pPr>
            <w:r>
              <w:rPr>
                <w:rFonts w:ascii="宋体" w:hAnsi="宋体" w:eastAsia="宋体"/>
                <w:sz w:val="16"/>
              </w:rPr>
              <w:t>2,661.31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D21E9">
            <w:pPr>
              <w:jc w:val="center"/>
            </w:pPr>
            <w:r>
              <w:rPr>
                <w:rFonts w:ascii="宋体" w:hAnsi="宋体" w:eastAsia="宋体"/>
                <w:sz w:val="16"/>
              </w:rPr>
              <w:t>4,960.53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37484">
            <w:pPr>
              <w:jc w:val="center"/>
            </w:pPr>
            <w:r>
              <w:rPr>
                <w:rFonts w:ascii="宋体" w:hAnsi="宋体" w:eastAsia="宋体"/>
                <w:sz w:val="16"/>
              </w:rPr>
              <w:t>4,434.99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A3B9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1C6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82785">
            <w:pPr>
              <w:jc w:val="center"/>
            </w:pPr>
            <w:r>
              <w:rPr>
                <w:rFonts w:ascii="宋体" w:hAnsi="宋体" w:eastAsia="宋体"/>
                <w:sz w:val="16"/>
              </w:rPr>
              <w:t>—</w:t>
            </w:r>
          </w:p>
        </w:tc>
      </w:tr>
      <w:tr w14:paraId="262492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4C73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96F6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7A90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9C5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4FD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F64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EEC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03CC9">
            <w:pPr>
              <w:jc w:val="center"/>
            </w:pPr>
            <w:r>
              <w:rPr>
                <w:rFonts w:ascii="宋体" w:hAnsi="宋体" w:eastAsia="宋体"/>
                <w:sz w:val="16"/>
              </w:rPr>
              <w:t>—</w:t>
            </w:r>
          </w:p>
        </w:tc>
      </w:tr>
      <w:tr w14:paraId="34DB75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F78D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B09B4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D9781F">
            <w:pPr>
              <w:jc w:val="center"/>
            </w:pPr>
            <w:r>
              <w:rPr>
                <w:rFonts w:ascii="宋体" w:hAnsi="宋体" w:eastAsia="宋体"/>
                <w:sz w:val="16"/>
              </w:rPr>
              <w:t>实际完成情况</w:t>
            </w:r>
          </w:p>
        </w:tc>
      </w:tr>
      <w:tr w14:paraId="53EA70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36940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8396E9">
            <w:pPr>
              <w:jc w:val="both"/>
            </w:pPr>
            <w:r>
              <w:rPr>
                <w:rFonts w:ascii="宋体" w:hAnsi="宋体" w:eastAsia="宋体"/>
                <w:sz w:val="16"/>
              </w:rPr>
              <w:t>按时发放单位在职人数128人、退休人数13人、长聘人数1人等人员工资，保障单位正常运转；保障我县各族人民群众的身体健康，为全县城乡居民提供基本的医疗服务。承担全县城乡居民常见病、多发病、地方病和一般疑难疾病治疗；承担对基层医疗卫生服务机构人员培训和技术指导；承担部分公共卫生服务以及自然灾害和突发性事件医疗救治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A05084">
            <w:pPr>
              <w:jc w:val="both"/>
            </w:pPr>
            <w:r>
              <w:rPr>
                <w:rFonts w:ascii="宋体" w:hAnsi="宋体" w:eastAsia="宋体"/>
                <w:sz w:val="16"/>
              </w:rPr>
              <w:t>按时发放了单位在职人数128人、退休人数15人、长聘人数1人等人员工资，保障了单位正常运转；患者就诊率97%，电子监控档案建档率97%，保障了我县各族人民群众的身体健康，为全县城乡居民提供了基本的医疗服务。承担了全县城乡居民常见病、多发病、地方病和一般疑难疾病治疗；承担了对基层医疗卫生服务机构人员培训和技术指导；承担了部分公共卫生服务以及自然灾害和突发性事件医疗救治等工作。项目完成及时率100%，单位职能履行整体效率98%，保障部门单位正常履职和各项政策的有效实施。</w:t>
            </w:r>
          </w:p>
        </w:tc>
      </w:tr>
      <w:tr w14:paraId="7F37749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E866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B5BA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7F7C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3570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AAA2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AB1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750E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A90EF">
            <w:pPr>
              <w:jc w:val="center"/>
            </w:pPr>
            <w:r>
              <w:rPr>
                <w:rFonts w:ascii="宋体" w:hAnsi="宋体" w:eastAsia="宋体"/>
                <w:sz w:val="16"/>
              </w:rPr>
              <w:t>得分</w:t>
            </w:r>
          </w:p>
        </w:tc>
      </w:tr>
      <w:tr w14:paraId="70C8B1E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EBE05">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CA63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4EA3A">
            <w:pPr>
              <w:jc w:val="center"/>
            </w:pPr>
            <w:r>
              <w:rPr>
                <w:rFonts w:ascii="宋体" w:hAnsi="宋体" w:eastAsia="宋体"/>
                <w:sz w:val="16"/>
              </w:rPr>
              <w:t>在职及长聘人员工资福利支出预算保障人数（人)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6D554">
            <w:pPr>
              <w:jc w:val="center"/>
            </w:pPr>
            <w:r>
              <w:rPr>
                <w:rFonts w:ascii="宋体" w:hAnsi="宋体" w:eastAsia="宋体"/>
                <w:sz w:val="16"/>
              </w:rPr>
              <w:t>=129人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33AD6">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245F7">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F2A2D">
            <w:pPr>
              <w:jc w:val="center"/>
            </w:pPr>
            <w:r>
              <w:rPr>
                <w:rFonts w:ascii="宋体" w:hAnsi="宋体" w:eastAsia="宋体"/>
                <w:sz w:val="16"/>
              </w:rPr>
              <w:t>128人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33E81">
            <w:pPr>
              <w:jc w:val="center"/>
            </w:pPr>
            <w:r>
              <w:rPr>
                <w:rFonts w:ascii="宋体" w:hAnsi="宋体" w:eastAsia="宋体"/>
                <w:sz w:val="16"/>
              </w:rPr>
              <w:t>6.95</w:t>
            </w:r>
          </w:p>
        </w:tc>
      </w:tr>
      <w:tr w14:paraId="33A471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320BB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36F3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37B9A">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865E6">
            <w:pPr>
              <w:jc w:val="center"/>
            </w:pPr>
            <w:r>
              <w:rPr>
                <w:rFonts w:ascii="宋体" w:hAnsi="宋体" w:eastAsia="宋体"/>
                <w:sz w:val="16"/>
              </w:rPr>
              <w: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9E65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7BA8C">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8DE27">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0CFD1">
            <w:pPr>
              <w:jc w:val="center"/>
            </w:pPr>
            <w:r>
              <w:rPr>
                <w:rFonts w:ascii="宋体" w:hAnsi="宋体" w:eastAsia="宋体"/>
                <w:sz w:val="16"/>
              </w:rPr>
              <w:t>7</w:t>
            </w:r>
          </w:p>
        </w:tc>
      </w:tr>
      <w:tr w14:paraId="54D964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688A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8FB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9BDD7">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20DA0">
            <w:pPr>
              <w:jc w:val="center"/>
            </w:pPr>
            <w:r>
              <w:rPr>
                <w:rFonts w:ascii="宋体" w:hAnsi="宋体" w:eastAsia="宋体"/>
                <w:sz w:val="16"/>
              </w:rPr>
              <w:t>&lt;=2659.31万元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E11E6">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0C38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06681">
            <w:pPr>
              <w:jc w:val="center"/>
            </w:pPr>
            <w:r>
              <w:rPr>
                <w:rFonts w:ascii="宋体" w:hAnsi="宋体" w:eastAsia="宋体"/>
                <w:sz w:val="16"/>
              </w:rPr>
              <w:t>3277.55万元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F9EB4">
            <w:pPr>
              <w:jc w:val="center"/>
            </w:pPr>
            <w:r>
              <w:rPr>
                <w:rFonts w:ascii="宋体" w:hAnsi="宋体" w:eastAsia="宋体"/>
                <w:sz w:val="16"/>
              </w:rPr>
              <w:t>6.14</w:t>
            </w:r>
          </w:p>
        </w:tc>
      </w:tr>
      <w:tr w14:paraId="215A5A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8B360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509F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D10C6">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436E4">
            <w:pPr>
              <w:jc w:val="center"/>
            </w:pPr>
            <w:r>
              <w:rPr>
                <w:rFonts w:ascii="宋体" w:hAnsi="宋体" w:eastAsia="宋体"/>
                <w:sz w:val="16"/>
              </w:rPr>
              <w:t>&lt;=2万元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960C7">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D01F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F1451">
            <w:pPr>
              <w:jc w:val="center"/>
            </w:pPr>
            <w:r>
              <w:rPr>
                <w:rFonts w:ascii="宋体" w:hAnsi="宋体" w:eastAsia="宋体"/>
                <w:sz w:val="16"/>
              </w:rPr>
              <w:t>212.15万元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F6B29">
            <w:pPr>
              <w:jc w:val="center"/>
            </w:pPr>
            <w:r>
              <w:rPr>
                <w:rFonts w:ascii="宋体" w:hAnsi="宋体" w:eastAsia="宋体"/>
                <w:sz w:val="16"/>
              </w:rPr>
              <w:t>0</w:t>
            </w:r>
          </w:p>
        </w:tc>
      </w:tr>
      <w:tr w14:paraId="4E666E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72F7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F68C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17EF2">
            <w:pPr>
              <w:jc w:val="center"/>
            </w:pPr>
            <w:r>
              <w:rPr>
                <w:rFonts w:ascii="宋体" w:hAnsi="宋体" w:eastAsia="宋体"/>
                <w:sz w:val="16"/>
              </w:rPr>
              <w:t>公用运转经费年初控制数（万元）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D8CA1">
            <w:pPr>
              <w:jc w:val="center"/>
            </w:pPr>
            <w:r>
              <w:rPr>
                <w:rFonts w:ascii="宋体" w:hAnsi="宋体" w:eastAsia="宋体"/>
                <w:sz w:val="16"/>
              </w:rPr>
              <w:t>&lt;=30.53万元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C5218">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6BB0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ACA66">
            <w:pPr>
              <w:jc w:val="center"/>
            </w:pPr>
            <w:r>
              <w:rPr>
                <w:rFonts w:ascii="宋体" w:hAnsi="宋体" w:eastAsia="宋体"/>
                <w:sz w:val="16"/>
              </w:rPr>
              <w:t>945.29万元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90AAA">
            <w:pPr>
              <w:jc w:val="center"/>
            </w:pPr>
            <w:r>
              <w:rPr>
                <w:rFonts w:ascii="宋体" w:hAnsi="宋体" w:eastAsia="宋体"/>
                <w:sz w:val="16"/>
              </w:rPr>
              <w:t>0</w:t>
            </w:r>
          </w:p>
        </w:tc>
      </w:tr>
      <w:tr w14:paraId="0E6776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9187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5D72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1D006">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FD3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E9EA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07EB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411A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2CDE3">
            <w:pPr>
              <w:jc w:val="center"/>
            </w:pPr>
            <w:r>
              <w:rPr>
                <w:rFonts w:ascii="宋体" w:hAnsi="宋体" w:eastAsia="宋体"/>
                <w:sz w:val="16"/>
              </w:rPr>
              <w:t>5</w:t>
            </w:r>
          </w:p>
        </w:tc>
      </w:tr>
      <w:tr w14:paraId="336984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0C5EE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91D1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9D70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35B0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415B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EEE8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0044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E37A5">
            <w:pPr>
              <w:jc w:val="center"/>
            </w:pPr>
            <w:r>
              <w:rPr>
                <w:rFonts w:ascii="宋体" w:hAnsi="宋体" w:eastAsia="宋体"/>
                <w:sz w:val="16"/>
              </w:rPr>
              <w:t>5</w:t>
            </w:r>
          </w:p>
        </w:tc>
      </w:tr>
      <w:tr w14:paraId="0CEAB30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A4262">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7D22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54FB6">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EE99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C988C">
            <w:pPr>
              <w:jc w:val="center"/>
            </w:pPr>
            <w:r>
              <w:rPr>
                <w:rFonts w:ascii="宋体" w:hAnsi="宋体" w:eastAsia="宋体"/>
                <w:sz w:val="16"/>
              </w:rPr>
              <w:t>实际业务需要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B7EF4">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80694">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35FC7">
            <w:pPr>
              <w:jc w:val="center"/>
            </w:pPr>
            <w:r>
              <w:rPr>
                <w:rFonts w:ascii="宋体" w:hAnsi="宋体" w:eastAsia="宋体"/>
                <w:sz w:val="16"/>
              </w:rPr>
              <w:t>6</w:t>
            </w:r>
          </w:p>
        </w:tc>
      </w:tr>
      <w:tr w14:paraId="618C46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0D83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9B68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5C962">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2C1E3">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CF25D">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FC2E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F540B">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2B5D3">
            <w:pPr>
              <w:jc w:val="center"/>
            </w:pPr>
            <w:r>
              <w:rPr>
                <w:rFonts w:ascii="宋体" w:hAnsi="宋体" w:eastAsia="宋体"/>
                <w:sz w:val="16"/>
              </w:rPr>
              <w:t>6</w:t>
            </w:r>
          </w:p>
        </w:tc>
      </w:tr>
      <w:tr w14:paraId="6A92929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2202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ED02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36694">
            <w:pPr>
              <w:jc w:val="center"/>
            </w:pPr>
            <w:r>
              <w:rPr>
                <w:rFonts w:ascii="宋体" w:hAnsi="宋体" w:eastAsia="宋体"/>
                <w:sz w:val="16"/>
              </w:rPr>
              <w:t>电子健康档案建档率（%）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908E0">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16B71">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2575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089B8">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33B97">
            <w:pPr>
              <w:jc w:val="center"/>
            </w:pPr>
            <w:r>
              <w:rPr>
                <w:rFonts w:ascii="宋体" w:hAnsi="宋体" w:eastAsia="宋体"/>
                <w:sz w:val="16"/>
              </w:rPr>
              <w:t>5</w:t>
            </w:r>
          </w:p>
        </w:tc>
      </w:tr>
      <w:tr w14:paraId="14E971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301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7CA4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FDC49">
            <w:pPr>
              <w:jc w:val="center"/>
            </w:pPr>
            <w:r>
              <w:rPr>
                <w:rFonts w:ascii="宋体" w:hAnsi="宋体" w:eastAsia="宋体"/>
                <w:sz w:val="16"/>
              </w:rPr>
              <w:t>单位职能履行整体效率（%）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C9E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3B35F">
            <w:pPr>
              <w:jc w:val="center"/>
            </w:pPr>
            <w:r>
              <w:rPr>
                <w:rFonts w:ascii="宋体" w:hAnsi="宋体" w:eastAsia="宋体"/>
                <w:sz w:val="16"/>
              </w:rPr>
              <w:t>部门职能要求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4597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0C9CD">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3237A">
            <w:pPr>
              <w:jc w:val="center"/>
            </w:pPr>
            <w:r>
              <w:rPr>
                <w:rFonts w:ascii="宋体" w:hAnsi="宋体" w:eastAsia="宋体"/>
                <w:sz w:val="16"/>
              </w:rPr>
              <w:t>5</w:t>
            </w:r>
          </w:p>
        </w:tc>
      </w:tr>
      <w:tr w14:paraId="574E9D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04B5C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B15D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5E606">
            <w:pPr>
              <w:jc w:val="center"/>
            </w:pPr>
            <w:r>
              <w:rPr>
                <w:rFonts w:ascii="宋体" w:hAnsi="宋体" w:eastAsia="宋体"/>
                <w:sz w:val="16"/>
              </w:rPr>
              <w:t>项目完成及时率（%）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387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211E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099C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22F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CF854">
            <w:pPr>
              <w:jc w:val="center"/>
            </w:pPr>
            <w:r>
              <w:rPr>
                <w:rFonts w:ascii="宋体" w:hAnsi="宋体" w:eastAsia="宋体"/>
                <w:sz w:val="16"/>
              </w:rPr>
              <w:t>5</w:t>
            </w:r>
          </w:p>
        </w:tc>
      </w:tr>
      <w:tr w14:paraId="57465A5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C9E5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A3F6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B202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65996">
            <w:pPr>
              <w:jc w:val="center"/>
            </w:pPr>
            <w:r>
              <w:rPr>
                <w:rFonts w:ascii="宋体" w:hAnsi="宋体" w:eastAsia="宋体"/>
                <w:sz w:val="16"/>
              </w:rPr>
              <w:t>有效保障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B1F2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2F45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0FA2F">
            <w:pPr>
              <w:jc w:val="center"/>
            </w:pPr>
            <w:r>
              <w:rPr>
                <w:rFonts w:ascii="宋体" w:hAnsi="宋体" w:eastAsia="宋体"/>
                <w:sz w:val="16"/>
              </w:rPr>
              <w:t>有效保障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E9C2E">
            <w:pPr>
              <w:jc w:val="center"/>
            </w:pPr>
            <w:r>
              <w:rPr>
                <w:rFonts w:ascii="宋体" w:hAnsi="宋体" w:eastAsia="宋体"/>
                <w:sz w:val="16"/>
              </w:rPr>
              <w:t>5</w:t>
            </w:r>
          </w:p>
        </w:tc>
      </w:tr>
      <w:tr w14:paraId="113B599B">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0CF5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5526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E575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0105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4976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1AEC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A6631">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79FCC">
            <w:pPr>
              <w:jc w:val="center"/>
            </w:pPr>
            <w:r>
              <w:rPr>
                <w:rFonts w:ascii="宋体" w:hAnsi="宋体" w:eastAsia="宋体"/>
                <w:sz w:val="16"/>
              </w:rPr>
              <w:t>5</w:t>
            </w:r>
          </w:p>
        </w:tc>
      </w:tr>
      <w:tr w14:paraId="31DF3B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737E7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8DBB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DFFBD">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93EC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1F39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AF3C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9559F">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78752">
            <w:pPr>
              <w:jc w:val="center"/>
            </w:pPr>
            <w:r>
              <w:rPr>
                <w:rFonts w:ascii="宋体" w:hAnsi="宋体" w:eastAsia="宋体"/>
                <w:sz w:val="16"/>
              </w:rPr>
              <w:t>5</w:t>
            </w:r>
          </w:p>
        </w:tc>
      </w:tr>
    </w:tbl>
    <w:p w14:paraId="2019D3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17BDF20">
        <w:tblPrEx>
          <w:tblCellMar>
            <w:top w:w="0" w:type="dxa"/>
            <w:left w:w="108" w:type="dxa"/>
            <w:bottom w:w="0" w:type="dxa"/>
            <w:right w:w="108" w:type="dxa"/>
          </w:tblCellMar>
        </w:tblPrEx>
        <w:tc>
          <w:tcPr>
            <w:tcW w:w="8848" w:type="dxa"/>
            <w:gridSpan w:val="14"/>
            <w:vAlign w:val="center"/>
          </w:tcPr>
          <w:p w14:paraId="43E67E40">
            <w:pPr>
              <w:jc w:val="center"/>
            </w:pPr>
            <w:r>
              <w:rPr>
                <w:rFonts w:ascii="宋体" w:hAnsi="宋体" w:eastAsia="宋体"/>
                <w:sz w:val="24"/>
              </w:rPr>
              <w:t>项目支出绩效自评表</w:t>
            </w:r>
          </w:p>
        </w:tc>
      </w:tr>
      <w:tr w14:paraId="05911179">
        <w:tblPrEx>
          <w:tblCellMar>
            <w:top w:w="0" w:type="dxa"/>
            <w:left w:w="108" w:type="dxa"/>
            <w:bottom w:w="0" w:type="dxa"/>
            <w:right w:w="108" w:type="dxa"/>
          </w:tblCellMar>
        </w:tblPrEx>
        <w:tc>
          <w:tcPr>
            <w:tcW w:w="8848" w:type="dxa"/>
            <w:gridSpan w:val="14"/>
            <w:vAlign w:val="center"/>
          </w:tcPr>
          <w:p w14:paraId="6B33E3D1">
            <w:pPr>
              <w:jc w:val="center"/>
            </w:pPr>
            <w:r>
              <w:rPr>
                <w:rFonts w:ascii="宋体" w:hAnsi="宋体" w:eastAsia="宋体"/>
                <w:sz w:val="24"/>
              </w:rPr>
              <w:t>(2024年度)</w:t>
            </w:r>
          </w:p>
        </w:tc>
      </w:tr>
      <w:tr w14:paraId="40F1D5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12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5C6523">
            <w:pPr>
              <w:jc w:val="center"/>
            </w:pPr>
            <w:r>
              <w:rPr>
                <w:rFonts w:ascii="宋体" w:hAnsi="宋体" w:eastAsia="宋体"/>
                <w:sz w:val="16"/>
              </w:rPr>
              <w:t>2024年度县级工作队第一书记为民办实事补助项目</w:t>
            </w:r>
          </w:p>
        </w:tc>
      </w:tr>
      <w:tr w14:paraId="0D9AF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5F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ABF27">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87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1B125">
            <w:pPr>
              <w:jc w:val="center"/>
            </w:pPr>
            <w:r>
              <w:rPr>
                <w:rFonts w:ascii="宋体" w:hAnsi="宋体" w:eastAsia="宋体"/>
                <w:sz w:val="16"/>
              </w:rPr>
              <w:t>阿克陶县维吾尔医医院</w:t>
            </w:r>
          </w:p>
        </w:tc>
      </w:tr>
      <w:tr w14:paraId="64F16C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8E2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44E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B5B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80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59E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48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3ED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276D">
            <w:pPr>
              <w:jc w:val="center"/>
            </w:pPr>
            <w:r>
              <w:rPr>
                <w:rFonts w:ascii="宋体" w:hAnsi="宋体" w:eastAsia="宋体"/>
                <w:sz w:val="16"/>
              </w:rPr>
              <w:t>得分</w:t>
            </w:r>
          </w:p>
        </w:tc>
      </w:tr>
      <w:tr w14:paraId="373D9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89C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B2F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7417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728D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4D0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F3E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0CFD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2D24">
            <w:pPr>
              <w:jc w:val="center"/>
            </w:pPr>
            <w:r>
              <w:rPr>
                <w:rFonts w:ascii="宋体" w:hAnsi="宋体" w:eastAsia="宋体"/>
                <w:sz w:val="16"/>
              </w:rPr>
              <w:t>0.00分</w:t>
            </w:r>
          </w:p>
        </w:tc>
      </w:tr>
      <w:tr w14:paraId="5A8D4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6DF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951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2C7E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7CBF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386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2C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AB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3396">
            <w:pPr>
              <w:jc w:val="center"/>
            </w:pPr>
            <w:r>
              <w:rPr>
                <w:rFonts w:ascii="宋体" w:hAnsi="宋体" w:eastAsia="宋体"/>
                <w:sz w:val="16"/>
              </w:rPr>
              <w:t>—</w:t>
            </w:r>
          </w:p>
        </w:tc>
      </w:tr>
      <w:tr w14:paraId="67370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51D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B8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5A2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56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B9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35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A2D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98CB">
            <w:pPr>
              <w:jc w:val="center"/>
            </w:pPr>
            <w:r>
              <w:rPr>
                <w:rFonts w:ascii="宋体" w:hAnsi="宋体" w:eastAsia="宋体"/>
                <w:sz w:val="16"/>
              </w:rPr>
              <w:t>—</w:t>
            </w:r>
          </w:p>
        </w:tc>
      </w:tr>
      <w:tr w14:paraId="186ABA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C7B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478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F638FB">
            <w:pPr>
              <w:jc w:val="center"/>
            </w:pPr>
            <w:r>
              <w:rPr>
                <w:rFonts w:ascii="宋体" w:hAnsi="宋体" w:eastAsia="宋体"/>
                <w:sz w:val="16"/>
              </w:rPr>
              <w:t>实际完成情况</w:t>
            </w:r>
          </w:p>
        </w:tc>
      </w:tr>
      <w:tr w14:paraId="7BE8E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555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DADB5">
            <w:pPr>
              <w:jc w:val="both"/>
            </w:pPr>
            <w:r>
              <w:rPr>
                <w:rFonts w:ascii="宋体" w:hAnsi="宋体" w:eastAsia="宋体"/>
                <w:sz w:val="16"/>
              </w:rPr>
              <w:t>该项目资金用于</w:t>
            </w:r>
            <w:r>
              <w:rPr>
                <w:rFonts w:hint="eastAsia" w:ascii="宋体" w:hAnsi="宋体"/>
                <w:sz w:val="16"/>
                <w:lang w:val="en-US" w:eastAsia="zh-CN"/>
              </w:rPr>
              <w:t>为民办实事</w:t>
            </w:r>
            <w:r>
              <w:rPr>
                <w:rFonts w:ascii="宋体" w:hAnsi="宋体" w:eastAsia="宋体"/>
                <w:sz w:val="16"/>
              </w:rPr>
              <w:t>的工作，办公及专题活动支出。通过该项目的实施更好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保障了对群众的宣传教育，团结联谊，同时倡导了现代文明新风尚，实现访民情常态化等正常业务开展。</w:t>
            </w:r>
            <w:r>
              <w:rPr>
                <w:rFonts w:hint="eastAsia" w:ascii="宋体" w:hAnsi="宋体"/>
                <w:sz w:val="16"/>
                <w:lang w:eastAsia="zh-CN"/>
              </w:rPr>
              <w:t>切实加强</w:t>
            </w:r>
            <w:r>
              <w:rPr>
                <w:rFonts w:ascii="宋体" w:hAnsi="宋体" w:eastAsia="宋体"/>
                <w:sz w:val="16"/>
              </w:rPr>
              <w:t>基层组织，维护社会稳定，确保参保群众共享经济社会发展成果。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A2A71">
            <w:pPr>
              <w:jc w:val="both"/>
            </w:pPr>
            <w:r>
              <w:rPr>
                <w:rFonts w:ascii="宋体" w:hAnsi="宋体" w:eastAsia="宋体"/>
                <w:sz w:val="16"/>
              </w:rPr>
              <w:t>通过购买</w:t>
            </w:r>
            <w:r>
              <w:rPr>
                <w:rFonts w:hint="eastAsia" w:ascii="宋体" w:hAnsi="宋体"/>
                <w:sz w:val="16"/>
                <w:lang w:eastAsia="zh-CN"/>
              </w:rPr>
              <w:t>为民办实事</w:t>
            </w:r>
            <w:r>
              <w:rPr>
                <w:rFonts w:ascii="宋体" w:hAnsi="宋体" w:eastAsia="宋体"/>
                <w:sz w:val="16"/>
              </w:rPr>
              <w:t>慰问生活用品1批，购买</w:t>
            </w:r>
            <w:r>
              <w:rPr>
                <w:rFonts w:hint="eastAsia" w:ascii="宋体" w:hAnsi="宋体"/>
                <w:sz w:val="16"/>
                <w:lang w:eastAsia="zh-CN"/>
              </w:rPr>
              <w:t>为民办实事</w:t>
            </w:r>
            <w:r>
              <w:rPr>
                <w:rFonts w:ascii="宋体" w:hAnsi="宋体" w:eastAsia="宋体"/>
                <w:sz w:val="16"/>
              </w:rPr>
              <w:t>慰问办公用品1批，有效改善群众民族团结，有效改善牧民的生活质量，保障了对群众的宣传教育，团结联谊，同时倡导了现代文明新风尚，实现访民情常态化等正常业务开展。</w:t>
            </w:r>
            <w:r>
              <w:rPr>
                <w:rFonts w:hint="eastAsia" w:ascii="宋体" w:hAnsi="宋体"/>
                <w:sz w:val="16"/>
                <w:lang w:eastAsia="zh-CN"/>
              </w:rPr>
              <w:t>切实加强</w:t>
            </w:r>
            <w:r>
              <w:rPr>
                <w:rFonts w:ascii="宋体" w:hAnsi="宋体" w:eastAsia="宋体"/>
                <w:sz w:val="16"/>
              </w:rPr>
              <w:t>基层组织，维护社会稳定，确保参保群众共享经济社会发展成果。</w:t>
            </w:r>
          </w:p>
        </w:tc>
      </w:tr>
      <w:tr w14:paraId="4364F0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08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21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1C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B3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1D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12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A6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B5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DF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72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6C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E3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6E991">
            <w:pPr>
              <w:jc w:val="center"/>
            </w:pPr>
            <w:r>
              <w:rPr>
                <w:rFonts w:ascii="宋体" w:hAnsi="宋体" w:eastAsia="宋体"/>
                <w:sz w:val="16"/>
              </w:rPr>
              <w:t>偏差原因分析及改进措施</w:t>
            </w:r>
          </w:p>
        </w:tc>
      </w:tr>
      <w:tr w14:paraId="03ACDF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0B0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B37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8C4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35F1">
            <w:pPr>
              <w:jc w:val="center"/>
            </w:pPr>
            <w:r>
              <w:rPr>
                <w:rFonts w:ascii="宋体" w:hAnsi="宋体" w:eastAsia="宋体"/>
                <w:sz w:val="16"/>
              </w:rPr>
              <w:t>购买</w:t>
            </w:r>
            <w:r>
              <w:rPr>
                <w:rFonts w:hint="eastAsia" w:ascii="宋体" w:hAnsi="宋体"/>
                <w:sz w:val="16"/>
                <w:lang w:eastAsia="zh-CN"/>
              </w:rPr>
              <w:t>为民办实事</w:t>
            </w:r>
            <w:r>
              <w:rPr>
                <w:rFonts w:ascii="宋体" w:hAnsi="宋体" w:eastAsia="宋体"/>
                <w:sz w:val="16"/>
              </w:rPr>
              <w:t>慰问生活用品（大米，面粉等）（批）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DBA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4C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5D4A">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EA5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9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EB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B20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2A40">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B0C98">
            <w:pPr>
              <w:jc w:val="center"/>
            </w:pPr>
          </w:p>
        </w:tc>
      </w:tr>
      <w:tr w14:paraId="52B23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7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B43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5A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4D1A">
            <w:pPr>
              <w:jc w:val="center"/>
            </w:pPr>
            <w:r>
              <w:rPr>
                <w:rFonts w:ascii="宋体" w:hAnsi="宋体" w:eastAsia="宋体"/>
                <w:sz w:val="16"/>
              </w:rPr>
              <w:t>购买</w:t>
            </w:r>
            <w:r>
              <w:rPr>
                <w:rFonts w:hint="eastAsia" w:ascii="宋体" w:hAnsi="宋体"/>
                <w:sz w:val="16"/>
                <w:lang w:eastAsia="zh-CN"/>
              </w:rPr>
              <w:t>为民办实事</w:t>
            </w:r>
            <w:r>
              <w:rPr>
                <w:rFonts w:ascii="宋体" w:hAnsi="宋体" w:eastAsia="宋体"/>
                <w:sz w:val="16"/>
              </w:rPr>
              <w:t>慰问办公用品（批）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97D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8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C60D">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ABE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F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74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C62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036C">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EE925">
            <w:pPr>
              <w:jc w:val="center"/>
            </w:pPr>
          </w:p>
        </w:tc>
      </w:tr>
      <w:tr w14:paraId="52D2C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5D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C7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B6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F7C6">
            <w:pPr>
              <w:jc w:val="center"/>
            </w:pPr>
            <w:r>
              <w:rPr>
                <w:rFonts w:ascii="宋体" w:hAnsi="宋体" w:eastAsia="宋体"/>
                <w:sz w:val="16"/>
              </w:rPr>
              <w:t>购买验收合格率（%）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4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7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9E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C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56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5C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4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61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30EB2">
            <w:pPr>
              <w:jc w:val="center"/>
            </w:pPr>
          </w:p>
        </w:tc>
      </w:tr>
      <w:tr w14:paraId="5C1F5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B6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3EF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E10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7600">
            <w:pPr>
              <w:jc w:val="center"/>
            </w:pPr>
            <w:r>
              <w:rPr>
                <w:rFonts w:ascii="宋体" w:hAnsi="宋体" w:eastAsia="宋体"/>
                <w:sz w:val="16"/>
              </w:rPr>
              <w:t>采购完成时限（月）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044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87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E6F8">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4E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8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54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FDC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316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5AA7B">
            <w:pPr>
              <w:jc w:val="center"/>
            </w:pPr>
          </w:p>
        </w:tc>
      </w:tr>
      <w:tr w14:paraId="3889C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AA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13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8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B142">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0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B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FD9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1D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A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3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FB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F1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A26F">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13976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EF9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3FF3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E13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0403">
            <w:pPr>
              <w:jc w:val="center"/>
            </w:pPr>
            <w:r>
              <w:rPr>
                <w:rFonts w:ascii="宋体" w:hAnsi="宋体" w:eastAsia="宋体"/>
                <w:sz w:val="16"/>
              </w:rPr>
              <w:t>购买</w:t>
            </w:r>
            <w:r>
              <w:rPr>
                <w:rFonts w:hint="eastAsia" w:ascii="宋体" w:hAnsi="宋体"/>
                <w:sz w:val="16"/>
                <w:lang w:eastAsia="zh-CN"/>
              </w:rPr>
              <w:t>为民办实事</w:t>
            </w:r>
            <w:r>
              <w:rPr>
                <w:rFonts w:ascii="宋体" w:hAnsi="宋体" w:eastAsia="宋体"/>
                <w:sz w:val="16"/>
              </w:rPr>
              <w:t>慰问生活用品（万元）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5F1D">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5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63C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5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A5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96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D77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26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D1AC7">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03F96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F2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99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66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AFA3">
            <w:pPr>
              <w:jc w:val="center"/>
            </w:pPr>
            <w:r>
              <w:rPr>
                <w:rFonts w:ascii="宋体" w:hAnsi="宋体" w:eastAsia="宋体"/>
                <w:sz w:val="16"/>
              </w:rPr>
              <w:t>购买</w:t>
            </w:r>
            <w:r>
              <w:rPr>
                <w:rFonts w:hint="eastAsia" w:ascii="宋体" w:hAnsi="宋体"/>
                <w:sz w:val="16"/>
                <w:lang w:eastAsia="zh-CN"/>
              </w:rPr>
              <w:t>为民办实事</w:t>
            </w:r>
            <w:r>
              <w:rPr>
                <w:rFonts w:ascii="宋体" w:hAnsi="宋体" w:eastAsia="宋体"/>
                <w:sz w:val="16"/>
              </w:rPr>
              <w:t>慰问办公用品费用（万元）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F59F">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0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F4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4F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0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DC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0FB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56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FFF6A">
            <w:pPr>
              <w:jc w:val="center"/>
            </w:pPr>
            <w:r>
              <w:rPr>
                <w:rFonts w:ascii="宋体" w:hAnsi="宋体" w:eastAsia="宋体"/>
                <w:sz w:val="16"/>
              </w:rPr>
              <w:t>本项目年初规划时，财政预算已将2万县级资金列入计划。然后受各因素影响，财政资金不得不优先保障更为紧迫的支出事项，导致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5F1DC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24E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D347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F23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F9B3">
            <w:pPr>
              <w:jc w:val="center"/>
            </w:pPr>
            <w:r>
              <w:rPr>
                <w:rFonts w:ascii="宋体" w:hAnsi="宋体" w:eastAsia="宋体"/>
                <w:sz w:val="16"/>
              </w:rPr>
              <w:t>有效改善牧民的生活质量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D14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5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6D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5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00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2B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910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78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AE01">
            <w:pPr>
              <w:jc w:val="center"/>
            </w:pPr>
          </w:p>
        </w:tc>
      </w:tr>
      <w:tr w14:paraId="05F9F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91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5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D1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E8A7">
            <w:pPr>
              <w:jc w:val="center"/>
            </w:pPr>
            <w:r>
              <w:rPr>
                <w:rFonts w:ascii="宋体" w:hAnsi="宋体" w:eastAsia="宋体"/>
                <w:sz w:val="16"/>
              </w:rPr>
              <w:t>有效改善群众民族团结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7AE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6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97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67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6C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9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AAE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0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CAEA5">
            <w:pPr>
              <w:jc w:val="center"/>
            </w:pPr>
          </w:p>
        </w:tc>
      </w:tr>
      <w:tr w14:paraId="2BC56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4E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99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6C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D226">
            <w:pPr>
              <w:jc w:val="center"/>
            </w:pPr>
            <w:r>
              <w:rPr>
                <w:rFonts w:ascii="宋体" w:hAnsi="宋体" w:eastAsia="宋体"/>
                <w:sz w:val="16"/>
              </w:rPr>
              <w:t>受益社区群众满意度（%）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50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8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F8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9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2A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AB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5B6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80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3A12">
            <w:pPr>
              <w:jc w:val="center"/>
            </w:pPr>
          </w:p>
        </w:tc>
      </w:tr>
      <w:tr w14:paraId="0EA2A7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C80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2C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707A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B83E">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43415A"/>
        </w:tc>
      </w:tr>
    </w:tbl>
    <w:p w14:paraId="047246A1">
      <w:r>
        <w:br w:type="page"/>
      </w:r>
    </w:p>
    <w:p w14:paraId="65490661">
      <w:pPr>
        <w:spacing w:line="640" w:lineRule="exact"/>
        <w:ind w:firstLine="640"/>
        <w:jc w:val="both"/>
        <w:outlineLvl w:val="2"/>
      </w:pPr>
      <w:r>
        <w:rPr>
          <w:rFonts w:ascii="黑体" w:hAnsi="黑体" w:eastAsia="黑体"/>
          <w:sz w:val="32"/>
        </w:rPr>
        <w:t>十二、其他需说明的事项</w:t>
      </w:r>
    </w:p>
    <w:p w14:paraId="2EF3C899">
      <w:pPr>
        <w:spacing w:line="580" w:lineRule="exact"/>
        <w:ind w:firstLine="640"/>
        <w:jc w:val="both"/>
      </w:pPr>
      <w:r>
        <w:rPr>
          <w:rFonts w:ascii="仿宋_GB2312" w:hAnsi="仿宋_GB2312" w:eastAsia="仿宋_GB2312"/>
          <w:b w:val="0"/>
          <w:sz w:val="32"/>
        </w:rPr>
        <w:t>本单位无其他需说明的事项。</w:t>
      </w:r>
    </w:p>
    <w:p w14:paraId="4A0A87CC">
      <w:r>
        <w:br w:type="page"/>
      </w:r>
    </w:p>
    <w:p w14:paraId="5B4CF759">
      <w:pPr>
        <w:spacing w:line="240" w:lineRule="auto"/>
        <w:jc w:val="center"/>
        <w:outlineLvl w:val="1"/>
      </w:pPr>
      <w:r>
        <w:rPr>
          <w:rFonts w:ascii="黑体" w:hAnsi="黑体" w:eastAsia="黑体"/>
          <w:sz w:val="32"/>
        </w:rPr>
        <w:t>第三部分 专业名词解释</w:t>
      </w:r>
    </w:p>
    <w:p w14:paraId="0B8F58E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0A66C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F0C0A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33D03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5FA2D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9A0C3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954C9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295F8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F177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5EF7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D330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467B7A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A130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CC6F9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9D96BE">
      <w:r>
        <w:br w:type="page"/>
      </w:r>
    </w:p>
    <w:p w14:paraId="32BE4B85">
      <w:pPr>
        <w:spacing w:line="240" w:lineRule="auto"/>
        <w:jc w:val="center"/>
        <w:outlineLvl w:val="1"/>
      </w:pPr>
      <w:r>
        <w:rPr>
          <w:rFonts w:ascii="黑体" w:hAnsi="黑体" w:eastAsia="黑体"/>
          <w:sz w:val="32"/>
        </w:rPr>
        <w:t>第四部分 部门决算报表（见附表）</w:t>
      </w:r>
    </w:p>
    <w:p w14:paraId="27BDFB2E">
      <w:pPr>
        <w:spacing w:line="240" w:lineRule="auto"/>
        <w:ind w:firstLine="640"/>
        <w:jc w:val="both"/>
      </w:pPr>
      <w:r>
        <w:rPr>
          <w:rFonts w:ascii="仿宋_GB2312" w:hAnsi="仿宋_GB2312" w:eastAsia="仿宋_GB2312"/>
          <w:b w:val="0"/>
          <w:sz w:val="32"/>
        </w:rPr>
        <w:t>一、《收入支出决算总表》</w:t>
      </w:r>
    </w:p>
    <w:p w14:paraId="174C1E79">
      <w:pPr>
        <w:spacing w:line="240" w:lineRule="auto"/>
        <w:ind w:firstLine="640"/>
        <w:jc w:val="both"/>
      </w:pPr>
      <w:r>
        <w:rPr>
          <w:rFonts w:ascii="仿宋_GB2312" w:hAnsi="仿宋_GB2312" w:eastAsia="仿宋_GB2312"/>
          <w:b w:val="0"/>
          <w:sz w:val="32"/>
        </w:rPr>
        <w:t>二、《收入决算表》</w:t>
      </w:r>
    </w:p>
    <w:p w14:paraId="27F7E8AF">
      <w:pPr>
        <w:spacing w:line="240" w:lineRule="auto"/>
        <w:ind w:firstLine="640"/>
        <w:jc w:val="both"/>
      </w:pPr>
      <w:r>
        <w:rPr>
          <w:rFonts w:ascii="仿宋_GB2312" w:hAnsi="仿宋_GB2312" w:eastAsia="仿宋_GB2312"/>
          <w:b w:val="0"/>
          <w:sz w:val="32"/>
        </w:rPr>
        <w:t>三、《支出决算表》</w:t>
      </w:r>
    </w:p>
    <w:p w14:paraId="57B0DD7B">
      <w:pPr>
        <w:spacing w:line="240" w:lineRule="auto"/>
        <w:ind w:firstLine="640"/>
        <w:jc w:val="both"/>
      </w:pPr>
      <w:r>
        <w:rPr>
          <w:rFonts w:ascii="仿宋_GB2312" w:hAnsi="仿宋_GB2312" w:eastAsia="仿宋_GB2312"/>
          <w:b w:val="0"/>
          <w:sz w:val="32"/>
        </w:rPr>
        <w:t>四、《财政拨款收入支出决算总表》</w:t>
      </w:r>
    </w:p>
    <w:p w14:paraId="31C5C17C">
      <w:pPr>
        <w:spacing w:line="240" w:lineRule="auto"/>
        <w:ind w:firstLine="640"/>
        <w:jc w:val="both"/>
      </w:pPr>
      <w:r>
        <w:rPr>
          <w:rFonts w:ascii="仿宋_GB2312" w:hAnsi="仿宋_GB2312" w:eastAsia="仿宋_GB2312"/>
          <w:b w:val="0"/>
          <w:sz w:val="32"/>
        </w:rPr>
        <w:t>五、《一般公共预算财政拨款支出决算表》</w:t>
      </w:r>
    </w:p>
    <w:p w14:paraId="1D354825">
      <w:pPr>
        <w:spacing w:line="240" w:lineRule="auto"/>
        <w:ind w:firstLine="640"/>
        <w:jc w:val="both"/>
      </w:pPr>
      <w:r>
        <w:rPr>
          <w:rFonts w:ascii="仿宋_GB2312" w:hAnsi="仿宋_GB2312" w:eastAsia="仿宋_GB2312"/>
          <w:b w:val="0"/>
          <w:sz w:val="32"/>
        </w:rPr>
        <w:t>六、《一般公共预算财政拨款基本支出决算表》</w:t>
      </w:r>
    </w:p>
    <w:p w14:paraId="58ABD9DC">
      <w:pPr>
        <w:spacing w:line="240" w:lineRule="auto"/>
        <w:ind w:firstLine="640"/>
        <w:jc w:val="both"/>
      </w:pPr>
      <w:r>
        <w:rPr>
          <w:rFonts w:ascii="仿宋_GB2312" w:hAnsi="仿宋_GB2312" w:eastAsia="仿宋_GB2312"/>
          <w:b w:val="0"/>
          <w:sz w:val="32"/>
        </w:rPr>
        <w:t>七、《政府性基金预算财政拨款收入支出决算表》</w:t>
      </w:r>
    </w:p>
    <w:p w14:paraId="2F7ACC7A">
      <w:pPr>
        <w:spacing w:line="240" w:lineRule="auto"/>
        <w:ind w:firstLine="640"/>
        <w:jc w:val="both"/>
      </w:pPr>
      <w:r>
        <w:rPr>
          <w:rFonts w:ascii="仿宋_GB2312" w:hAnsi="仿宋_GB2312" w:eastAsia="仿宋_GB2312"/>
          <w:b w:val="0"/>
          <w:sz w:val="32"/>
        </w:rPr>
        <w:t>八、《国有资本经营预算财政拨款收入支出决算表》</w:t>
      </w:r>
    </w:p>
    <w:p w14:paraId="7862C40B">
      <w:pPr>
        <w:spacing w:line="240" w:lineRule="auto"/>
        <w:ind w:firstLine="640"/>
        <w:jc w:val="both"/>
      </w:pPr>
      <w:r>
        <w:rPr>
          <w:rFonts w:ascii="仿宋_GB2312" w:hAnsi="仿宋_GB2312" w:eastAsia="仿宋_GB2312"/>
          <w:b w:val="0"/>
          <w:sz w:val="32"/>
        </w:rPr>
        <w:t>九、《财政拨款“三公”经费支出决算表》</w:t>
      </w:r>
    </w:p>
    <w:p w14:paraId="44C477FE">
      <w:pPr>
        <w:spacing w:line="240" w:lineRule="auto"/>
        <w:ind w:firstLine="640"/>
        <w:jc w:val="both"/>
      </w:pPr>
    </w:p>
    <w:p w14:paraId="39DDA8B2">
      <w:pPr>
        <w:spacing w:line="240" w:lineRule="auto"/>
        <w:ind w:firstLine="640"/>
        <w:jc w:val="both"/>
      </w:pPr>
    </w:p>
    <w:p w14:paraId="2C911D9E">
      <w:pPr>
        <w:spacing w:line="240" w:lineRule="auto"/>
        <w:ind w:firstLine="640"/>
        <w:jc w:val="both"/>
      </w:pPr>
    </w:p>
    <w:p w14:paraId="138C463A">
      <w:pPr>
        <w:spacing w:line="240" w:lineRule="auto"/>
        <w:ind w:firstLine="640"/>
        <w:jc w:val="both"/>
      </w:pPr>
    </w:p>
    <w:p w14:paraId="4F7D70E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C3370E"/>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8E1B31"/>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17571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5430</Words>
  <Characters>6319</Characters>
  <Lines>0</Lines>
  <Paragraphs>0</Paragraphs>
  <TotalTime>8</TotalTime>
  <ScaleCrop>false</ScaleCrop>
  <LinksUpToDate>false</LinksUpToDate>
  <CharactersWithSpaces>6328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