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阿克陶县水政水资源服务中心2024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9AFF54A">
      <w:r>
        <w:br w:type="page"/>
      </w:r>
    </w:p>
    <w:p w14:paraId="70713DC5">
      <w:pPr>
        <w:spacing w:line="640" w:lineRule="exact"/>
        <w:jc w:val="center"/>
        <w:outlineLvl w:val="1"/>
      </w:pPr>
      <w:r>
        <w:rPr>
          <w:rFonts w:ascii="黑体" w:hAnsi="黑体" w:eastAsia="黑体"/>
          <w:sz w:val="32"/>
        </w:rPr>
        <w:t>第一部分 单位概况</w:t>
      </w:r>
    </w:p>
    <w:p w14:paraId="02120571">
      <w:pPr>
        <w:spacing w:line="640" w:lineRule="exact"/>
        <w:ind w:firstLine="640"/>
        <w:jc w:val="both"/>
        <w:outlineLvl w:val="2"/>
      </w:pPr>
      <w:r>
        <w:rPr>
          <w:rFonts w:ascii="黑体" w:hAnsi="黑体" w:eastAsia="黑体"/>
          <w:sz w:val="32"/>
        </w:rPr>
        <w:t>一、主要职能</w:t>
      </w:r>
    </w:p>
    <w:p w14:paraId="5352A0E1">
      <w:pPr>
        <w:spacing w:line="580" w:lineRule="exact"/>
        <w:ind w:firstLine="640"/>
        <w:jc w:val="both"/>
      </w:pPr>
      <w:r>
        <w:rPr>
          <w:rFonts w:ascii="仿宋_GB2312" w:hAnsi="仿宋_GB2312" w:eastAsia="仿宋_GB2312"/>
          <w:sz w:val="32"/>
        </w:rPr>
        <w:t>阿克陶县水政水资源服务中心负责水法、水土保持法、防洪法等有关法律法规的贯彻落实、组织实施和监督检查；归口管理地方性水法规、政策、规范性文件；负责全县水资源的统一调查管理和保护工作，负责组织实施取水许可证制度和水资源费征收管理制度；归口协调地区、部门和兵团间的水事纠纷；负责水事案件行为复议工作；拟定水资源保护规划，制定全县中长期供水计划和水量分配方案并监督实施；管理全州节约用水和水政执法队伍建设；组织指导水政监察、水行政执法、水土保持和河道工作；组织全县水土流失的监测和综合防治；负责水土保持补偿费和水土流失防治费的征收。</w:t>
      </w:r>
    </w:p>
    <w:p w14:paraId="4098705D">
      <w:pPr>
        <w:spacing w:line="640" w:lineRule="exact"/>
        <w:ind w:firstLine="640"/>
        <w:jc w:val="both"/>
        <w:outlineLvl w:val="2"/>
      </w:pPr>
      <w:r>
        <w:rPr>
          <w:rFonts w:ascii="黑体" w:hAnsi="黑体" w:eastAsia="黑体"/>
          <w:sz w:val="32"/>
        </w:rPr>
        <w:t>二、机构设置及人员情况</w:t>
      </w:r>
    </w:p>
    <w:p w14:paraId="0244E5B7">
      <w:pPr>
        <w:spacing w:line="580" w:lineRule="exact"/>
        <w:ind w:firstLine="640"/>
        <w:jc w:val="both"/>
      </w:pPr>
      <w:r>
        <w:rPr>
          <w:rFonts w:ascii="仿宋_GB2312" w:hAnsi="仿宋_GB2312" w:eastAsia="仿宋_GB2312"/>
          <w:sz w:val="32"/>
        </w:rPr>
        <w:t>阿克陶县水政水资源服务中心2024年度，实有人数12人，其中：在职人员9人，增加0人；离休人员0人，增加0人；退休人员3人</w:t>
      </w:r>
      <w:r>
        <w:rPr>
          <w:rFonts w:hint="eastAsia" w:ascii="仿宋_GB2312" w:hAnsi="仿宋_GB2312" w:eastAsia="仿宋_GB2312"/>
          <w:sz w:val="32"/>
          <w:lang w:eastAsia="zh-CN"/>
        </w:rPr>
        <w:t>，</w:t>
      </w:r>
      <w:r>
        <w:rPr>
          <w:rFonts w:ascii="仿宋_GB2312" w:hAnsi="仿宋_GB2312" w:eastAsia="仿宋_GB2312"/>
          <w:sz w:val="32"/>
        </w:rPr>
        <w:t>减少1人。</w:t>
      </w:r>
    </w:p>
    <w:p w14:paraId="5544A256">
      <w:pPr>
        <w:spacing w:line="580" w:lineRule="exact"/>
        <w:ind w:firstLine="640"/>
        <w:jc w:val="both"/>
      </w:pPr>
      <w:r>
        <w:rPr>
          <w:rFonts w:ascii="仿宋_GB2312" w:hAnsi="仿宋_GB2312" w:eastAsia="仿宋_GB2312"/>
          <w:sz w:val="32"/>
        </w:rPr>
        <w:t>阿克陶县水政水资源服务中心无下属预算单位，下设2个科室，分别是：财务室、综合办公室。</w:t>
      </w:r>
    </w:p>
    <w:p w14:paraId="5A4EF9C3">
      <w:r>
        <w:br w:type="page"/>
      </w:r>
    </w:p>
    <w:p w14:paraId="004E3818">
      <w:pPr>
        <w:spacing w:line="240" w:lineRule="auto"/>
        <w:jc w:val="center"/>
        <w:outlineLvl w:val="1"/>
      </w:pPr>
      <w:r>
        <w:rPr>
          <w:rFonts w:ascii="黑体" w:hAnsi="黑体" w:eastAsia="黑体"/>
          <w:sz w:val="32"/>
        </w:rPr>
        <w:t>第二部分 部门决算情况说明</w:t>
      </w:r>
    </w:p>
    <w:p w14:paraId="160F0ABD">
      <w:pPr>
        <w:spacing w:line="640" w:lineRule="exact"/>
        <w:ind w:firstLine="640"/>
        <w:jc w:val="both"/>
        <w:outlineLvl w:val="2"/>
      </w:pPr>
      <w:r>
        <w:rPr>
          <w:rFonts w:ascii="黑体" w:hAnsi="黑体" w:eastAsia="黑体"/>
          <w:sz w:val="32"/>
        </w:rPr>
        <w:t>一、收入支出决算总体情况说明</w:t>
      </w:r>
    </w:p>
    <w:p w14:paraId="1E60FEED">
      <w:pPr>
        <w:spacing w:line="580" w:lineRule="exact"/>
        <w:ind w:firstLine="640"/>
        <w:jc w:val="both"/>
      </w:pPr>
      <w:r>
        <w:rPr>
          <w:rFonts w:ascii="仿宋_GB2312" w:hAnsi="仿宋_GB2312" w:eastAsia="仿宋_GB2312"/>
          <w:b/>
          <w:sz w:val="32"/>
        </w:rPr>
        <w:t>2024年度收入总计230.12万元，</w:t>
      </w:r>
      <w:r>
        <w:rPr>
          <w:rFonts w:ascii="仿宋_GB2312" w:hAnsi="仿宋_GB2312" w:eastAsia="仿宋_GB2312"/>
          <w:b w:val="0"/>
          <w:sz w:val="32"/>
        </w:rPr>
        <w:t>其中：本年收入合计230.08万元，使用非财政拨款结余（含专用结余）0.00万元，年初结转和结余0.05万元。</w:t>
      </w:r>
    </w:p>
    <w:p w14:paraId="569B33DE">
      <w:pPr>
        <w:spacing w:line="580" w:lineRule="exact"/>
        <w:ind w:firstLine="640"/>
        <w:jc w:val="both"/>
      </w:pPr>
      <w:r>
        <w:rPr>
          <w:rFonts w:ascii="仿宋_GB2312" w:hAnsi="仿宋_GB2312" w:eastAsia="仿宋_GB2312"/>
          <w:b/>
          <w:sz w:val="32"/>
        </w:rPr>
        <w:t>2024年度支出总计230.12万元，</w:t>
      </w:r>
      <w:r>
        <w:rPr>
          <w:rFonts w:ascii="仿宋_GB2312" w:hAnsi="仿宋_GB2312" w:eastAsia="仿宋_GB2312"/>
          <w:b w:val="0"/>
          <w:sz w:val="32"/>
        </w:rPr>
        <w:t>其中：本年支出合计230.07万元，结余分配0.00万元，年末结转和结余0.06万元。</w:t>
      </w:r>
    </w:p>
    <w:p w14:paraId="5EF92F4B">
      <w:pPr>
        <w:spacing w:line="580" w:lineRule="exact"/>
        <w:ind w:firstLine="640"/>
        <w:jc w:val="both"/>
      </w:pPr>
      <w:r>
        <w:rPr>
          <w:rFonts w:ascii="仿宋_GB2312" w:hAnsi="仿宋_GB2312" w:eastAsia="仿宋_GB2312"/>
          <w:b w:val="0"/>
          <w:sz w:val="32"/>
        </w:rPr>
        <w:t>收入支出总体与上年相比，增加17.11万元，增长8.03%，主要原因是：本年在职人员工资调增，社保、公积金基数调增，人员经费增加。新增死亡人员，死亡抚恤支出增加。</w:t>
      </w:r>
    </w:p>
    <w:p w14:paraId="18E6A2E1">
      <w:pPr>
        <w:spacing w:line="640" w:lineRule="exact"/>
        <w:ind w:firstLine="640"/>
        <w:jc w:val="both"/>
        <w:outlineLvl w:val="2"/>
      </w:pPr>
      <w:r>
        <w:rPr>
          <w:rFonts w:ascii="黑体" w:hAnsi="黑体" w:eastAsia="黑体"/>
          <w:sz w:val="32"/>
        </w:rPr>
        <w:t>二、收入决算情况说明</w:t>
      </w:r>
    </w:p>
    <w:p w14:paraId="4FCE8EC4">
      <w:pPr>
        <w:spacing w:line="580" w:lineRule="exact"/>
        <w:ind w:firstLine="640"/>
        <w:jc w:val="both"/>
      </w:pPr>
      <w:r>
        <w:rPr>
          <w:rFonts w:ascii="仿宋_GB2312" w:hAnsi="仿宋_GB2312" w:eastAsia="仿宋_GB2312"/>
          <w:b/>
          <w:sz w:val="32"/>
        </w:rPr>
        <w:t>本年收入230.08万元，</w:t>
      </w:r>
      <w:r>
        <w:rPr>
          <w:rFonts w:ascii="仿宋_GB2312" w:hAnsi="仿宋_GB2312" w:eastAsia="仿宋_GB2312"/>
          <w:b w:val="0"/>
          <w:sz w:val="32"/>
        </w:rPr>
        <w:t>其中：财政拨款收入230.03万元，占99.98%；上级补助收入0.00万元，占0.00%；事业收入0.00万元，占0.00%；经营收入0.00万元，占0.00%；附属单位上缴收入0.00万元，占0.00%；其他收入0.05万元，占0.02%。</w:t>
      </w:r>
    </w:p>
    <w:p w14:paraId="26840226">
      <w:pPr>
        <w:spacing w:line="640" w:lineRule="exact"/>
        <w:ind w:firstLine="640"/>
        <w:jc w:val="both"/>
        <w:outlineLvl w:val="2"/>
      </w:pPr>
      <w:r>
        <w:rPr>
          <w:rFonts w:ascii="黑体" w:hAnsi="黑体" w:eastAsia="黑体"/>
          <w:sz w:val="32"/>
        </w:rPr>
        <w:t>三、支出决算情况说明</w:t>
      </w:r>
    </w:p>
    <w:p w14:paraId="0A0F4A2D">
      <w:pPr>
        <w:spacing w:line="580" w:lineRule="exact"/>
        <w:ind w:firstLine="640"/>
        <w:jc w:val="both"/>
      </w:pPr>
      <w:r>
        <w:rPr>
          <w:rFonts w:ascii="仿宋_GB2312" w:hAnsi="仿宋_GB2312" w:eastAsia="仿宋_GB2312"/>
          <w:b/>
          <w:sz w:val="32"/>
        </w:rPr>
        <w:t>本年支出230.07万元，</w:t>
      </w:r>
      <w:r>
        <w:rPr>
          <w:rFonts w:ascii="仿宋_GB2312" w:hAnsi="仿宋_GB2312" w:eastAsia="仿宋_GB2312"/>
          <w:b w:val="0"/>
          <w:sz w:val="32"/>
        </w:rPr>
        <w:t>其中：基本支出230.07万元，占100.00%；项目支出0.00万元，占0.00%；上缴上级支出0.00万元，占0.00%；经营支出0.00万元，占0.00%；对附属单位补助支出0.00万元，占0.00%。</w:t>
      </w:r>
    </w:p>
    <w:p w14:paraId="4E94FC8C">
      <w:pPr>
        <w:spacing w:line="640" w:lineRule="exact"/>
        <w:ind w:firstLine="640"/>
        <w:jc w:val="both"/>
        <w:outlineLvl w:val="2"/>
      </w:pPr>
      <w:r>
        <w:rPr>
          <w:rFonts w:ascii="黑体" w:hAnsi="黑体" w:eastAsia="黑体"/>
          <w:sz w:val="32"/>
        </w:rPr>
        <w:t>四、财政拨款收入支出决算总体情况说明</w:t>
      </w:r>
    </w:p>
    <w:p w14:paraId="60893248">
      <w:pPr>
        <w:spacing w:line="580" w:lineRule="exact"/>
        <w:ind w:firstLine="640"/>
        <w:jc w:val="both"/>
      </w:pPr>
      <w:r>
        <w:rPr>
          <w:rFonts w:ascii="仿宋_GB2312" w:hAnsi="仿宋_GB2312" w:eastAsia="仿宋_GB2312"/>
          <w:b/>
          <w:sz w:val="32"/>
        </w:rPr>
        <w:t>2024年度财政拨款收入总计230.03万元，</w:t>
      </w:r>
      <w:r>
        <w:rPr>
          <w:rFonts w:ascii="仿宋_GB2312" w:hAnsi="仿宋_GB2312" w:eastAsia="仿宋_GB2312"/>
          <w:b w:val="0"/>
          <w:sz w:val="32"/>
        </w:rPr>
        <w:t>其中：年初财政拨款结转和结余0.00万元，本年财政拨款收入230.03万元。</w:t>
      </w:r>
      <w:r>
        <w:rPr>
          <w:rFonts w:ascii="仿宋_GB2312" w:hAnsi="仿宋_GB2312" w:eastAsia="仿宋_GB2312"/>
          <w:b/>
          <w:sz w:val="32"/>
        </w:rPr>
        <w:t>财政拨款支出总计230.03万元，</w:t>
      </w:r>
      <w:r>
        <w:rPr>
          <w:rFonts w:ascii="仿宋_GB2312" w:hAnsi="仿宋_GB2312" w:eastAsia="仿宋_GB2312"/>
          <w:b w:val="0"/>
          <w:sz w:val="32"/>
        </w:rPr>
        <w:t>其中：年末财政拨款结转和结余0.00万元，本年财政拨款支出230.03万元。</w:t>
      </w:r>
    </w:p>
    <w:p w14:paraId="095058E7">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增加18.55万元，增长8.77%，主要原因是：本年在职人员工资调增，社保、公积金基数调增，人员经费增加。新增死亡人员，死亡抚恤支出增加。</w:t>
      </w:r>
      <w:r>
        <w:rPr>
          <w:rFonts w:ascii="仿宋_GB2312" w:hAnsi="仿宋_GB2312" w:eastAsia="仿宋_GB2312"/>
          <w:b/>
          <w:sz w:val="32"/>
        </w:rPr>
        <w:t>与年初预算相比，</w:t>
      </w:r>
      <w:r>
        <w:rPr>
          <w:rFonts w:ascii="仿宋_GB2312" w:hAnsi="仿宋_GB2312" w:eastAsia="仿宋_GB2312"/>
          <w:b w:val="0"/>
          <w:sz w:val="32"/>
        </w:rPr>
        <w:t>年初预算数217.55万元，决算数230.03万元，预决算差异率5.74%，主要原因是：年中追加人员工资、社保、公积金基数调增部分资金，新增死亡人员，追加死亡抚恤</w:t>
      </w:r>
      <w:r>
        <w:rPr>
          <w:rFonts w:hint="eastAsia" w:ascii="仿宋_GB2312" w:hAnsi="仿宋_GB2312" w:eastAsia="仿宋_GB2312"/>
          <w:b w:val="0"/>
          <w:sz w:val="32"/>
          <w:lang w:val="en-US" w:eastAsia="zh-CN"/>
        </w:rPr>
        <w:t>金</w:t>
      </w:r>
      <w:r>
        <w:rPr>
          <w:rFonts w:ascii="仿宋_GB2312" w:hAnsi="仿宋_GB2312" w:eastAsia="仿宋_GB2312"/>
          <w:b w:val="0"/>
          <w:sz w:val="32"/>
        </w:rPr>
        <w:t>，导致预决算存在差异。</w:t>
      </w:r>
    </w:p>
    <w:p w14:paraId="2B8471D0">
      <w:pPr>
        <w:spacing w:line="640" w:lineRule="exact"/>
        <w:ind w:firstLine="640"/>
        <w:jc w:val="both"/>
        <w:outlineLvl w:val="2"/>
      </w:pPr>
      <w:r>
        <w:rPr>
          <w:rFonts w:ascii="黑体" w:hAnsi="黑体" w:eastAsia="黑体"/>
          <w:sz w:val="32"/>
        </w:rPr>
        <w:t>五、一般公共预算财政拨款支出决算情况说明</w:t>
      </w:r>
    </w:p>
    <w:p w14:paraId="765B0341">
      <w:pPr>
        <w:spacing w:line="640" w:lineRule="exact"/>
        <w:ind w:firstLine="640"/>
        <w:jc w:val="both"/>
        <w:outlineLvl w:val="3"/>
      </w:pPr>
      <w:r>
        <w:rPr>
          <w:rFonts w:ascii="楷体_GB2312" w:hAnsi="楷体_GB2312" w:eastAsia="楷体_GB2312"/>
          <w:b/>
          <w:sz w:val="32"/>
        </w:rPr>
        <w:t>（一）一般公共预算财政拨款支出决算总体情况</w:t>
      </w:r>
    </w:p>
    <w:p w14:paraId="67A66C67">
      <w:pPr>
        <w:spacing w:line="580" w:lineRule="exact"/>
        <w:ind w:firstLine="640"/>
        <w:jc w:val="both"/>
      </w:pPr>
      <w:r>
        <w:rPr>
          <w:rFonts w:ascii="仿宋_GB2312" w:hAnsi="仿宋_GB2312" w:eastAsia="仿宋_GB2312"/>
          <w:b/>
          <w:sz w:val="32"/>
        </w:rPr>
        <w:t>2024年度一般公共预算财政拨款支出230.03万元，</w:t>
      </w:r>
      <w:r>
        <w:rPr>
          <w:rFonts w:ascii="仿宋_GB2312" w:hAnsi="仿宋_GB2312" w:eastAsia="仿宋_GB2312"/>
          <w:b w:val="0"/>
          <w:sz w:val="32"/>
        </w:rPr>
        <w:t>占本年支出合计的99.98%。</w:t>
      </w:r>
      <w:r>
        <w:rPr>
          <w:rFonts w:ascii="仿宋_GB2312" w:hAnsi="仿宋_GB2312" w:eastAsia="仿宋_GB2312"/>
          <w:b/>
          <w:sz w:val="32"/>
        </w:rPr>
        <w:t>与上年相比，</w:t>
      </w:r>
      <w:r>
        <w:rPr>
          <w:rFonts w:ascii="仿宋_GB2312" w:hAnsi="仿宋_GB2312" w:eastAsia="仿宋_GB2312"/>
          <w:b w:val="0"/>
          <w:sz w:val="32"/>
        </w:rPr>
        <w:t>增加18.55万元，增长8.77%，主要原因是：本年在职人员工资调增，社保、公积金基数调增，人员经费增加。新增死亡人员，死亡抚恤支出增加。</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年初预算数217.55万元，决算数230.03万元，预决算差异率5.74%，主要原因是：年中追加人员工资、社保、公积金基数调增部分资金，新增死亡人员，追加死亡抚恤</w:t>
      </w:r>
      <w:r>
        <w:rPr>
          <w:rFonts w:hint="eastAsia" w:ascii="仿宋_GB2312" w:hAnsi="仿宋_GB2312" w:eastAsia="仿宋_GB2312"/>
          <w:b w:val="0"/>
          <w:sz w:val="32"/>
          <w:lang w:val="en-US" w:eastAsia="zh-CN"/>
        </w:rPr>
        <w:t>金</w:t>
      </w:r>
      <w:r>
        <w:rPr>
          <w:rFonts w:ascii="仿宋_GB2312" w:hAnsi="仿宋_GB2312" w:eastAsia="仿宋_GB2312"/>
          <w:b w:val="0"/>
          <w:sz w:val="32"/>
        </w:rPr>
        <w:t>，导致预决算存在差异。</w:t>
      </w:r>
    </w:p>
    <w:p w14:paraId="2390E78C">
      <w:pPr>
        <w:spacing w:line="640" w:lineRule="exact"/>
        <w:ind w:firstLine="640"/>
        <w:jc w:val="both"/>
        <w:outlineLvl w:val="3"/>
      </w:pPr>
      <w:r>
        <w:rPr>
          <w:rFonts w:ascii="楷体_GB2312" w:hAnsi="楷体_GB2312" w:eastAsia="楷体_GB2312"/>
          <w:b/>
          <w:sz w:val="32"/>
        </w:rPr>
        <w:t>（二）一般公共预算财政拨款支出决算结构情况</w:t>
      </w:r>
    </w:p>
    <w:p w14:paraId="176793BC">
      <w:pPr>
        <w:spacing w:line="580" w:lineRule="exact"/>
        <w:ind w:firstLine="640"/>
        <w:jc w:val="both"/>
      </w:pPr>
      <w:r>
        <w:rPr>
          <w:rFonts w:ascii="仿宋_GB2312" w:hAnsi="仿宋_GB2312" w:eastAsia="仿宋_GB2312"/>
          <w:b w:val="0"/>
          <w:sz w:val="32"/>
        </w:rPr>
        <w:t>1.社会保障和就业支出(类)41.61万元</w:t>
      </w:r>
      <w:r>
        <w:rPr>
          <w:rFonts w:hint="eastAsia" w:ascii="仿宋_GB2312" w:hAnsi="仿宋_GB2312" w:eastAsia="仿宋_GB2312"/>
          <w:b w:val="0"/>
          <w:sz w:val="32"/>
          <w:lang w:eastAsia="zh-CN"/>
        </w:rPr>
        <w:t>，</w:t>
      </w:r>
      <w:r>
        <w:rPr>
          <w:rFonts w:ascii="仿宋_GB2312" w:hAnsi="仿宋_GB2312" w:eastAsia="仿宋_GB2312"/>
          <w:b w:val="0"/>
          <w:sz w:val="32"/>
        </w:rPr>
        <w:t>占18.09%。</w:t>
      </w:r>
    </w:p>
    <w:p w14:paraId="458F75AD">
      <w:pPr>
        <w:spacing w:line="580" w:lineRule="exact"/>
        <w:ind w:firstLine="640"/>
        <w:jc w:val="both"/>
      </w:pPr>
      <w:r>
        <w:rPr>
          <w:rFonts w:ascii="仿宋_GB2312" w:hAnsi="仿宋_GB2312" w:eastAsia="仿宋_GB2312"/>
          <w:b w:val="0"/>
          <w:sz w:val="32"/>
        </w:rPr>
        <w:t>2.卫生健康支出(类)7.77万元</w:t>
      </w:r>
      <w:r>
        <w:rPr>
          <w:rFonts w:hint="eastAsia" w:ascii="仿宋_GB2312" w:hAnsi="仿宋_GB2312" w:eastAsia="仿宋_GB2312"/>
          <w:b w:val="0"/>
          <w:sz w:val="32"/>
          <w:lang w:eastAsia="zh-CN"/>
        </w:rPr>
        <w:t>，</w:t>
      </w:r>
      <w:r>
        <w:rPr>
          <w:rFonts w:ascii="仿宋_GB2312" w:hAnsi="仿宋_GB2312" w:eastAsia="仿宋_GB2312"/>
          <w:b w:val="0"/>
          <w:sz w:val="32"/>
        </w:rPr>
        <w:t>占3.38%。</w:t>
      </w:r>
    </w:p>
    <w:p w14:paraId="24165EFB">
      <w:pPr>
        <w:spacing w:line="580" w:lineRule="exact"/>
        <w:ind w:firstLine="640"/>
        <w:jc w:val="both"/>
      </w:pPr>
      <w:r>
        <w:rPr>
          <w:rFonts w:ascii="仿宋_GB2312" w:hAnsi="仿宋_GB2312" w:eastAsia="仿宋_GB2312"/>
          <w:b w:val="0"/>
          <w:sz w:val="32"/>
        </w:rPr>
        <w:t>3.农林水支出(类)163.64万元</w:t>
      </w:r>
      <w:r>
        <w:rPr>
          <w:rFonts w:hint="eastAsia" w:ascii="仿宋_GB2312" w:hAnsi="仿宋_GB2312" w:eastAsia="仿宋_GB2312"/>
          <w:b w:val="0"/>
          <w:sz w:val="32"/>
          <w:lang w:eastAsia="zh-CN"/>
        </w:rPr>
        <w:t>，</w:t>
      </w:r>
      <w:r>
        <w:rPr>
          <w:rFonts w:ascii="仿宋_GB2312" w:hAnsi="仿宋_GB2312" w:eastAsia="仿宋_GB2312"/>
          <w:b w:val="0"/>
          <w:sz w:val="32"/>
        </w:rPr>
        <w:t>占71.14%。</w:t>
      </w:r>
    </w:p>
    <w:p w14:paraId="331FA3FC">
      <w:pPr>
        <w:spacing w:line="580" w:lineRule="exact"/>
        <w:ind w:firstLine="640"/>
        <w:jc w:val="both"/>
      </w:pPr>
      <w:r>
        <w:rPr>
          <w:rFonts w:ascii="仿宋_GB2312" w:hAnsi="仿宋_GB2312" w:eastAsia="仿宋_GB2312"/>
          <w:b w:val="0"/>
          <w:sz w:val="32"/>
        </w:rPr>
        <w:t>4.住房保障支出(类)17.01万元</w:t>
      </w:r>
      <w:r>
        <w:rPr>
          <w:rFonts w:hint="eastAsia" w:ascii="仿宋_GB2312" w:hAnsi="仿宋_GB2312" w:eastAsia="仿宋_GB2312"/>
          <w:b w:val="0"/>
          <w:sz w:val="32"/>
          <w:lang w:eastAsia="zh-CN"/>
        </w:rPr>
        <w:t>，</w:t>
      </w:r>
      <w:r>
        <w:rPr>
          <w:rFonts w:ascii="仿宋_GB2312" w:hAnsi="仿宋_GB2312" w:eastAsia="仿宋_GB2312"/>
          <w:b w:val="0"/>
          <w:sz w:val="32"/>
        </w:rPr>
        <w:t>占7.39%。</w:t>
      </w:r>
    </w:p>
    <w:p w14:paraId="24D3CC44">
      <w:pPr>
        <w:spacing w:line="640" w:lineRule="exact"/>
        <w:ind w:firstLine="640"/>
        <w:jc w:val="both"/>
        <w:outlineLvl w:val="3"/>
      </w:pPr>
      <w:r>
        <w:rPr>
          <w:rFonts w:ascii="楷体_GB2312" w:hAnsi="楷体_GB2312" w:eastAsia="楷体_GB2312"/>
          <w:b/>
          <w:sz w:val="32"/>
        </w:rPr>
        <w:t>（三）一般公共预算财政拨款支出决算具体情况</w:t>
      </w:r>
    </w:p>
    <w:p w14:paraId="1E742D22">
      <w:pPr>
        <w:spacing w:line="580" w:lineRule="exact"/>
        <w:ind w:firstLine="640"/>
        <w:jc w:val="both"/>
      </w:pPr>
      <w:r>
        <w:rPr>
          <w:rFonts w:ascii="仿宋_GB2312" w:hAnsi="仿宋_GB2312" w:eastAsia="仿宋_GB2312"/>
          <w:b w:val="0"/>
          <w:sz w:val="32"/>
        </w:rPr>
        <w:t>1.社会保障和就业支出(类)行政事业单位养老支出(款)事业单位离退休(项)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支出决算数为4.95万元，比上年决算增加0.39万元，增长8.55%</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主要原因是：本年增加退休人员基础绩效奖，退休费支出增加。</w:t>
      </w:r>
    </w:p>
    <w:p w14:paraId="0E15CE82">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支出决算数为21.92万元，比上年决算增加3.22万元，增长17.22%</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主要原因是：本年在职人员工资基数调增，养老缴费基数上涨，相应支出增加。</w:t>
      </w:r>
    </w:p>
    <w:p w14:paraId="1905B25F">
      <w:pPr>
        <w:spacing w:line="580" w:lineRule="exact"/>
        <w:ind w:firstLine="640"/>
        <w:jc w:val="both"/>
      </w:pPr>
      <w:r>
        <w:rPr>
          <w:rFonts w:ascii="仿宋_GB2312" w:hAnsi="仿宋_GB2312" w:eastAsia="仿宋_GB2312"/>
          <w:b w:val="0"/>
          <w:sz w:val="32"/>
        </w:rPr>
        <w:t>3.社会保障和就业支出(类)抚恤(款)死亡抚恤(项)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支出决算数为14.74万元，比上年决算增加14.74万元，增长100.00%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主要原因是：本年新增死亡人员，死亡抚恤支出增加。</w:t>
      </w:r>
    </w:p>
    <w:p w14:paraId="43348328">
      <w:pPr>
        <w:spacing w:line="580" w:lineRule="exact"/>
        <w:ind w:firstLine="640"/>
        <w:jc w:val="both"/>
      </w:pPr>
      <w:r>
        <w:rPr>
          <w:rFonts w:ascii="仿宋_GB2312" w:hAnsi="仿宋_GB2312" w:eastAsia="仿宋_GB2312"/>
          <w:b w:val="0"/>
          <w:sz w:val="32"/>
        </w:rPr>
        <w:t>4.卫生健康支出(类)行政事业单位医疗(款)事业单位医疗(项)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支出决算数为7.77万元，比上年决算增加1.21万元，增长18.45%</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主要原因是：本年在职人员工资基数调增，医疗缴费基数上涨，相应支出增加。</w:t>
      </w:r>
    </w:p>
    <w:p w14:paraId="771F1AEC">
      <w:pPr>
        <w:spacing w:line="580" w:lineRule="exact"/>
        <w:ind w:firstLine="640"/>
        <w:jc w:val="both"/>
      </w:pPr>
      <w:r>
        <w:rPr>
          <w:rFonts w:ascii="仿宋_GB2312" w:hAnsi="仿宋_GB2312" w:eastAsia="仿宋_GB2312"/>
          <w:b w:val="0"/>
          <w:sz w:val="32"/>
        </w:rPr>
        <w:t>5.农林水支出(类)水利(款)水利执法监督(项)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支出决算数为163.64万元，比上年决算减少2.82万元，下降1.69%</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主要原因是：本年度水利执法监督费用投入较上年减少。</w:t>
      </w:r>
    </w:p>
    <w:p w14:paraId="74D3E4E5">
      <w:pPr>
        <w:spacing w:line="580" w:lineRule="exact"/>
        <w:ind w:firstLine="640"/>
        <w:jc w:val="both"/>
      </w:pPr>
      <w:r>
        <w:rPr>
          <w:rFonts w:ascii="仿宋_GB2312" w:hAnsi="仿宋_GB2312" w:eastAsia="仿宋_GB2312"/>
          <w:b w:val="0"/>
          <w:sz w:val="32"/>
        </w:rPr>
        <w:t>6.住房保障支出(类)住房改革支出(款)住房公积金(项)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支出决算数为17.01万元，比上年决算增加1.81万元，增长11.91%</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主要原因是：本年在职人员工资基数调增，公积金缴费基数上涨，相应支出增加。</w:t>
      </w:r>
    </w:p>
    <w:p w14:paraId="64E048F6">
      <w:pPr>
        <w:spacing w:line="640" w:lineRule="exact"/>
        <w:ind w:firstLine="640"/>
        <w:jc w:val="both"/>
        <w:outlineLvl w:val="2"/>
      </w:pPr>
      <w:r>
        <w:rPr>
          <w:rFonts w:ascii="黑体" w:hAnsi="黑体" w:eastAsia="黑体"/>
          <w:sz w:val="32"/>
        </w:rPr>
        <w:t>六、一般公共预算财政拨款基本支出决算情况说明</w:t>
      </w:r>
    </w:p>
    <w:p w14:paraId="6DB15D35">
      <w:pPr>
        <w:spacing w:line="580" w:lineRule="exact"/>
        <w:ind w:firstLine="640"/>
        <w:jc w:val="both"/>
      </w:pPr>
      <w:r>
        <w:rPr>
          <w:rFonts w:ascii="仿宋_GB2312" w:hAnsi="仿宋_GB2312" w:eastAsia="仿宋_GB2312"/>
          <w:b w:val="0"/>
          <w:sz w:val="32"/>
        </w:rPr>
        <w:t>2024年度一般公共预算财政拨款基本支出230.03万元，其中：</w:t>
      </w:r>
      <w:r>
        <w:rPr>
          <w:rFonts w:ascii="仿宋_GB2312" w:hAnsi="仿宋_GB2312" w:eastAsia="仿宋_GB2312"/>
          <w:b/>
          <w:sz w:val="32"/>
        </w:rPr>
        <w:t>人员经费223.09万元，</w:t>
      </w:r>
      <w:r>
        <w:rPr>
          <w:rFonts w:ascii="仿宋_GB2312" w:hAnsi="仿宋_GB2312" w:eastAsia="仿宋_GB2312"/>
          <w:b w:val="0"/>
          <w:sz w:val="32"/>
        </w:rPr>
        <w:t>包括：基本工资、津贴补贴、奖金、机关事业单位基本养老保险缴费、职工基本医疗保险缴费、其他社会保障缴费、住房公积金、退休费、抚恤金。</w:t>
      </w:r>
    </w:p>
    <w:p w14:paraId="7A4C6DBF">
      <w:pPr>
        <w:spacing w:line="580" w:lineRule="exact"/>
        <w:ind w:firstLine="640"/>
        <w:jc w:val="both"/>
      </w:pPr>
      <w:r>
        <w:rPr>
          <w:rFonts w:ascii="仿宋_GB2312" w:hAnsi="仿宋_GB2312" w:eastAsia="仿宋_GB2312"/>
          <w:b/>
          <w:sz w:val="32"/>
        </w:rPr>
        <w:t>公用经费6.95万元，</w:t>
      </w:r>
      <w:r>
        <w:rPr>
          <w:rFonts w:ascii="仿宋_GB2312" w:hAnsi="仿宋_GB2312" w:eastAsia="仿宋_GB2312"/>
          <w:b w:val="0"/>
          <w:sz w:val="32"/>
        </w:rPr>
        <w:t>包括：办公费、印刷费、差旅费、公务用车运行维护费、其他交通费用。</w:t>
      </w:r>
    </w:p>
    <w:p w14:paraId="217843A5">
      <w:pPr>
        <w:spacing w:line="640" w:lineRule="exact"/>
        <w:ind w:firstLine="640"/>
        <w:jc w:val="both"/>
        <w:outlineLvl w:val="2"/>
      </w:pPr>
      <w:r>
        <w:rPr>
          <w:rFonts w:ascii="黑体" w:hAnsi="黑体" w:eastAsia="黑体"/>
          <w:sz w:val="32"/>
        </w:rPr>
        <w:t>七、政府性基金预算财政拨款收入支出决算情况说明</w:t>
      </w:r>
    </w:p>
    <w:p w14:paraId="24EF81B8">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513D16B5">
      <w:pPr>
        <w:spacing w:line="640" w:lineRule="exact"/>
        <w:ind w:firstLine="640"/>
        <w:jc w:val="both"/>
        <w:outlineLvl w:val="2"/>
      </w:pPr>
      <w:r>
        <w:rPr>
          <w:rFonts w:ascii="黑体" w:hAnsi="黑体" w:eastAsia="黑体"/>
          <w:sz w:val="32"/>
        </w:rPr>
        <w:t>八、国有资本经营预算财政拨款收入支出决算情况说明</w:t>
      </w:r>
    </w:p>
    <w:p w14:paraId="01C1FB04">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3665498">
      <w:pPr>
        <w:spacing w:line="640" w:lineRule="exact"/>
        <w:ind w:firstLine="640"/>
        <w:jc w:val="both"/>
        <w:outlineLvl w:val="2"/>
      </w:pPr>
      <w:r>
        <w:rPr>
          <w:rFonts w:ascii="黑体" w:hAnsi="黑体" w:eastAsia="黑体"/>
          <w:sz w:val="32"/>
        </w:rPr>
        <w:t>九、财政拨款“三公”经费支出决算情况说明</w:t>
      </w:r>
    </w:p>
    <w:p w14:paraId="0EFA81A5">
      <w:pPr>
        <w:spacing w:line="580" w:lineRule="exact"/>
        <w:ind w:firstLine="640"/>
        <w:jc w:val="both"/>
      </w:pPr>
      <w:r>
        <w:rPr>
          <w:rFonts w:ascii="仿宋_GB2312" w:hAnsi="仿宋_GB2312" w:eastAsia="仿宋_GB2312"/>
          <w:b/>
          <w:sz w:val="32"/>
        </w:rPr>
        <w:t>2024年度财政拨款“三公”经费支出1.23万元，</w:t>
      </w:r>
      <w:r>
        <w:rPr>
          <w:rFonts w:ascii="仿宋_GB2312" w:hAnsi="仿宋_GB2312" w:eastAsia="仿宋_GB2312"/>
          <w:b w:val="0"/>
          <w:sz w:val="32"/>
        </w:rPr>
        <w:t>比上年增加0.32万元，增长35.16%，主要原因是：本年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1.23万元，占100.00%，比上年增加0.32万元，增长35.16%，主要原因是：本年因业务需求，用车次数增加，燃油费增加，导致公务用车运行维护费较上年增加。公务接待费支出0.00万元，占0.00%，比上年增加0.00万元，增长0.00%，主要原因是：2023年与2024年均未安排公务接待费支出。</w:t>
      </w:r>
    </w:p>
    <w:p w14:paraId="34CEA3B1">
      <w:pPr>
        <w:spacing w:line="580" w:lineRule="exact"/>
        <w:ind w:firstLine="640"/>
        <w:jc w:val="both"/>
      </w:pPr>
      <w:r>
        <w:rPr>
          <w:rFonts w:ascii="仿宋_GB2312" w:hAnsi="仿宋_GB2312" w:eastAsia="仿宋_GB2312"/>
          <w:b/>
          <w:sz w:val="32"/>
        </w:rPr>
        <w:t>具体情况如下：</w:t>
      </w:r>
    </w:p>
    <w:p w14:paraId="49C42B31">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F44CB47">
      <w:pPr>
        <w:spacing w:line="580" w:lineRule="exact"/>
        <w:ind w:firstLine="640"/>
        <w:jc w:val="both"/>
      </w:pPr>
      <w:r>
        <w:rPr>
          <w:rFonts w:ascii="仿宋_GB2312" w:hAnsi="仿宋_GB2312" w:eastAsia="仿宋_GB2312"/>
          <w:b w:val="0"/>
          <w:sz w:val="32"/>
        </w:rPr>
        <w:t>公务用车购置及运行维护费1.23万元，其中：公务用车购置费0.00万元，公务用车运行维护费1.23万元。公务用车运行维护费开支内容包括车辆加油费、维修费、保险费、审车费、过路费等。公务用车购置数0辆，公务用车保有量1辆。国有资产占用情况中固定资产车辆1辆，与公务用车保有量差异原因是：本单位固定资产车辆与公务用车保有量一致无差异。</w:t>
      </w:r>
    </w:p>
    <w:p w14:paraId="4B14B702">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775557F">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1.23万元，决算数1.23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1.23万元，决算数1.23万元，预决算差异率0.00%，主要原因是：严格按照预算执行，预决算无差异。公务接待费全年预算数0.00万元，决算数0.00万元，预决算差异率0.00%，主要原因是：本单位无公务接待费。</w:t>
      </w:r>
    </w:p>
    <w:p w14:paraId="733D8628">
      <w:pPr>
        <w:spacing w:line="640" w:lineRule="exact"/>
        <w:ind w:firstLine="640"/>
        <w:jc w:val="both"/>
        <w:outlineLvl w:val="2"/>
      </w:pPr>
      <w:r>
        <w:rPr>
          <w:rFonts w:ascii="黑体" w:hAnsi="黑体" w:eastAsia="黑体"/>
          <w:sz w:val="32"/>
        </w:rPr>
        <w:t>十、其他重要事项的情况说明</w:t>
      </w:r>
    </w:p>
    <w:p w14:paraId="15CA0498">
      <w:pPr>
        <w:spacing w:line="640" w:lineRule="exact"/>
        <w:ind w:firstLine="640"/>
        <w:jc w:val="both"/>
        <w:outlineLvl w:val="3"/>
      </w:pPr>
      <w:r>
        <w:rPr>
          <w:rFonts w:ascii="楷体_GB2312" w:hAnsi="楷体_GB2312" w:eastAsia="楷体_GB2312"/>
          <w:b/>
          <w:sz w:val="32"/>
        </w:rPr>
        <w:t>（一）机关运行经费及公用经费支出情况</w:t>
      </w:r>
    </w:p>
    <w:p w14:paraId="034E31EA">
      <w:pPr>
        <w:spacing w:line="580" w:lineRule="exact"/>
        <w:ind w:firstLine="640"/>
        <w:jc w:val="both"/>
      </w:pPr>
      <w:r>
        <w:rPr>
          <w:rFonts w:ascii="仿宋_GB2312" w:hAnsi="仿宋_GB2312" w:eastAsia="仿宋_GB2312"/>
          <w:b w:val="0"/>
          <w:sz w:val="32"/>
        </w:rPr>
        <w:t>2024年度阿克陶县水政水资源服务中心（事业单位）公用经费支出6.95万元，比上年增加1.19万元，增长20.66%，主要原因是：本年业务量增加，公用经费增加。</w:t>
      </w:r>
    </w:p>
    <w:p w14:paraId="7F38CF27">
      <w:pPr>
        <w:spacing w:line="640" w:lineRule="exact"/>
        <w:ind w:firstLine="640"/>
        <w:jc w:val="both"/>
        <w:outlineLvl w:val="3"/>
      </w:pPr>
      <w:r>
        <w:rPr>
          <w:rFonts w:ascii="楷体_GB2312" w:hAnsi="楷体_GB2312" w:eastAsia="楷体_GB2312"/>
          <w:b/>
          <w:sz w:val="32"/>
        </w:rPr>
        <w:t>（二）政府采购情况</w:t>
      </w:r>
    </w:p>
    <w:p w14:paraId="31E12150">
      <w:pPr>
        <w:spacing w:line="580" w:lineRule="exact"/>
        <w:ind w:firstLine="640"/>
        <w:jc w:val="both"/>
      </w:pPr>
      <w:r>
        <w:rPr>
          <w:rFonts w:ascii="仿宋_GB2312" w:hAnsi="仿宋_GB2312" w:eastAsia="仿宋_GB2312"/>
          <w:b w:val="0"/>
          <w:sz w:val="32"/>
        </w:rPr>
        <w:t>2024年度政府采购支出总额4.00万元，其中：政府采购货物支出0.00万元、政府采购工程支出0.00万元、政府采购服务支出4.00万元。</w:t>
      </w:r>
    </w:p>
    <w:p w14:paraId="4CF0ADC5">
      <w:pPr>
        <w:spacing w:line="580" w:lineRule="exact"/>
        <w:ind w:firstLine="640"/>
        <w:jc w:val="both"/>
      </w:pPr>
      <w:r>
        <w:rPr>
          <w:rFonts w:ascii="仿宋_GB2312" w:hAnsi="仿宋_GB2312" w:eastAsia="仿宋_GB2312"/>
          <w:b w:val="0"/>
          <w:sz w:val="32"/>
        </w:rPr>
        <w:t>授予中小企业合同金额4.00万元，占政府采购支出总额的100.00%，其中：授予小微企业合同金额4.00万元，占政府采购支出总额的100.00%。</w:t>
      </w:r>
    </w:p>
    <w:p w14:paraId="3A22A78A">
      <w:pPr>
        <w:spacing w:line="640" w:lineRule="exact"/>
        <w:ind w:firstLine="640"/>
        <w:jc w:val="both"/>
        <w:outlineLvl w:val="3"/>
      </w:pPr>
      <w:r>
        <w:rPr>
          <w:rFonts w:ascii="楷体_GB2312" w:hAnsi="楷体_GB2312" w:eastAsia="楷体_GB2312"/>
          <w:b/>
          <w:sz w:val="32"/>
        </w:rPr>
        <w:t>（三）国有资产占用情况说明</w:t>
      </w:r>
    </w:p>
    <w:p w14:paraId="2CFF6BF8">
      <w:pPr>
        <w:spacing w:line="580" w:lineRule="exact"/>
        <w:ind w:firstLine="640"/>
        <w:jc w:val="both"/>
      </w:pPr>
      <w:r>
        <w:rPr>
          <w:rFonts w:ascii="仿宋_GB2312" w:hAnsi="仿宋_GB2312" w:eastAsia="仿宋_GB2312"/>
          <w:b w:val="0"/>
          <w:sz w:val="32"/>
        </w:rPr>
        <w:t>截至2024年12月31日，房屋0.00平方米，价值0.00万元。车辆1辆，价值17.59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14:paraId="111F92BE">
      <w:pPr>
        <w:spacing w:line="640" w:lineRule="exact"/>
        <w:ind w:firstLine="640"/>
        <w:jc w:val="both"/>
        <w:outlineLvl w:val="2"/>
      </w:pPr>
      <w:r>
        <w:rPr>
          <w:rFonts w:ascii="黑体" w:hAnsi="黑体" w:eastAsia="黑体"/>
          <w:sz w:val="32"/>
        </w:rPr>
        <w:t>十一、预算绩效的情况说明</w:t>
      </w:r>
    </w:p>
    <w:p w14:paraId="701685E2">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230.12万元，实际执行总额230.07万元；预算绩效评价项目1个，全年预算数4.00万元，全年执行数4.00万元。预算绩效管理取得的成效：一是不断完善各项预算管理制度，根据新形势和新要求，结合不断出台的各项制度，制定相应的预算管理制度。强化预算管理，事前必编预算，控制经费使用，使用必问绩效，将绩效管理贯穿于预算；二是加强宣传，加强对各项制度的执行力度，杜绝有令不行、有禁不止的情况发生。发现的问题及原因：一是部分业务人员绩效管理意识有待增强，未能全面深入认识理解绩效管理工作的意义。绩效管理经验不足，预算绩效管理工作有待进一步落实；二是绩效指标的明确性、可衡量性、相关性还需进一步提升。预算精细化管理还需完善，预算编制管理水平仍有进一步提升的空间。下一步改进措施：一是绩效管理方面：绩效目标设置是预算批复和预算安排的前置条件，是实施绩效监控、开展绩效评价等工作的重要基础和依据，统领预算绩效管理。二是资金管理方面：建议预算单位要树立起预算执行主体责任意识和效率意识，强化预算执行管理，根据项目实施计划，严格把控项目资金支出进度，对项目实施过程中遇到影响项目完成进度或资金支付进度的问题，在自身不能采取有效措施进行解决的情况下应尽快向财政部门反馈，使财政部门能够对涉及的资金进行适当调整，充分提高财政资金使用效益。三是项目管理方面：建议预算单位加强对项目建设、实施进度以及质量的管控，定期监督检查项目执行进度和实施质量，及时采取措施对发现的问题进行纠偏整改，对需要及时协调各方共同解决的问题，应加强各责任部门之间的沟通，共同推动项目管理水平的提升。具体附整体支出绩效自评表，项目支出绩效自评表和评价报告。</w:t>
      </w:r>
    </w:p>
    <w:p w14:paraId="62B70B4A">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183049BA">
        <w:tblPrEx>
          <w:tblCellMar>
            <w:top w:w="0" w:type="dxa"/>
            <w:left w:w="108" w:type="dxa"/>
            <w:bottom w:w="0" w:type="dxa"/>
            <w:right w:w="108" w:type="dxa"/>
          </w:tblCellMar>
        </w:tblPrEx>
        <w:tc>
          <w:tcPr>
            <w:tcW w:w="8840" w:type="dxa"/>
            <w:gridSpan w:val="8"/>
            <w:vAlign w:val="center"/>
          </w:tcPr>
          <w:p w14:paraId="571E3608">
            <w:pPr>
              <w:jc w:val="center"/>
            </w:pPr>
            <w:r>
              <w:rPr>
                <w:rFonts w:ascii="宋体" w:hAnsi="宋体" w:eastAsia="宋体"/>
                <w:sz w:val="24"/>
              </w:rPr>
              <w:t>单位整体支出绩效自评表</w:t>
            </w:r>
          </w:p>
        </w:tc>
      </w:tr>
      <w:tr w14:paraId="20307167">
        <w:tblPrEx>
          <w:tblCellMar>
            <w:top w:w="0" w:type="dxa"/>
            <w:left w:w="108" w:type="dxa"/>
            <w:bottom w:w="0" w:type="dxa"/>
            <w:right w:w="108" w:type="dxa"/>
          </w:tblCellMar>
        </w:tblPrEx>
        <w:tc>
          <w:tcPr>
            <w:tcW w:w="8840" w:type="dxa"/>
            <w:gridSpan w:val="8"/>
            <w:vAlign w:val="center"/>
          </w:tcPr>
          <w:p w14:paraId="00B42E2E">
            <w:pPr>
              <w:jc w:val="center"/>
            </w:pPr>
            <w:r>
              <w:rPr>
                <w:rFonts w:ascii="宋体" w:hAnsi="宋体" w:eastAsia="宋体"/>
                <w:sz w:val="24"/>
              </w:rPr>
              <w:t>（2024年度）</w:t>
            </w:r>
          </w:p>
        </w:tc>
      </w:tr>
      <w:tr w14:paraId="2B061EF2">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1C3BE5">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45D311">
            <w:pPr>
              <w:jc w:val="center"/>
            </w:pPr>
            <w:r>
              <w:rPr>
                <w:rFonts w:ascii="宋体" w:hAnsi="宋体" w:eastAsia="宋体"/>
                <w:sz w:val="16"/>
              </w:rPr>
              <w:t>阿克陶县水政水资源服务中心</w:t>
            </w:r>
          </w:p>
        </w:tc>
      </w:tr>
      <w:tr w14:paraId="0827263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2A3010">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C80227">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199FB7">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B4CEDF">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13ECAB">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A83CAF">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39D2E4">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9A77D9">
            <w:pPr>
              <w:jc w:val="center"/>
            </w:pPr>
            <w:r>
              <w:rPr>
                <w:rFonts w:ascii="宋体" w:hAnsi="宋体" w:eastAsia="宋体"/>
                <w:sz w:val="16"/>
              </w:rPr>
              <w:t>得分</w:t>
            </w:r>
          </w:p>
        </w:tc>
      </w:tr>
      <w:tr w14:paraId="05404B3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234CA0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163CDC">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A0EBA5">
            <w:pPr>
              <w:jc w:val="center"/>
            </w:pPr>
            <w:r>
              <w:rPr>
                <w:rFonts w:ascii="宋体" w:hAnsi="宋体" w:eastAsia="宋体"/>
                <w:sz w:val="16"/>
              </w:rPr>
              <w:t>217.55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0D6026">
            <w:pPr>
              <w:jc w:val="center"/>
            </w:pPr>
            <w:r>
              <w:rPr>
                <w:rFonts w:ascii="宋体" w:hAnsi="宋体" w:eastAsia="宋体"/>
                <w:sz w:val="16"/>
              </w:rPr>
              <w:t>230.12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C9770D">
            <w:pPr>
              <w:jc w:val="center"/>
            </w:pPr>
            <w:r>
              <w:rPr>
                <w:rFonts w:ascii="宋体" w:hAnsi="宋体" w:eastAsia="宋体"/>
                <w:sz w:val="16"/>
              </w:rPr>
              <w:t>230.07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67B568">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1822A2">
            <w:pPr>
              <w:jc w:val="center"/>
            </w:pPr>
            <w:r>
              <w:rPr>
                <w:rFonts w:ascii="宋体" w:hAnsi="宋体" w:eastAsia="宋体"/>
                <w:sz w:val="16"/>
              </w:rPr>
              <w:t>99.98%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765A99">
            <w:pPr>
              <w:jc w:val="center"/>
            </w:pPr>
            <w:r>
              <w:rPr>
                <w:rFonts w:ascii="宋体" w:hAnsi="宋体" w:eastAsia="宋体"/>
                <w:sz w:val="16"/>
              </w:rPr>
              <w:t>10</w:t>
            </w:r>
          </w:p>
        </w:tc>
      </w:tr>
      <w:tr w14:paraId="10DA5F4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6DDC3C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5AC764">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4089DE">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7A76A4">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9DE93D">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A2557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A3A8A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1A04DB">
            <w:pPr>
              <w:jc w:val="center"/>
            </w:pPr>
            <w:r>
              <w:rPr>
                <w:rFonts w:ascii="宋体" w:hAnsi="宋体" w:eastAsia="宋体"/>
                <w:sz w:val="16"/>
              </w:rPr>
              <w:t>—</w:t>
            </w:r>
          </w:p>
        </w:tc>
      </w:tr>
      <w:tr w14:paraId="1D7ACD9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0BB34D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F4FD88">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1F179C">
            <w:pPr>
              <w:jc w:val="center"/>
            </w:pPr>
            <w:r>
              <w:rPr>
                <w:rFonts w:ascii="宋体" w:hAnsi="宋体" w:eastAsia="宋体"/>
                <w:sz w:val="16"/>
              </w:rPr>
              <w:t>217.55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77023C">
            <w:pPr>
              <w:jc w:val="center"/>
            </w:pPr>
            <w:r>
              <w:rPr>
                <w:rFonts w:ascii="宋体" w:hAnsi="宋体" w:eastAsia="宋体"/>
                <w:sz w:val="16"/>
              </w:rPr>
              <w:t>230.12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3ACE35">
            <w:pPr>
              <w:jc w:val="center"/>
            </w:pPr>
            <w:r>
              <w:rPr>
                <w:rFonts w:ascii="宋体" w:hAnsi="宋体" w:eastAsia="宋体"/>
                <w:sz w:val="16"/>
              </w:rPr>
              <w:t>230.07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6AA31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DDD1E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C66181">
            <w:pPr>
              <w:jc w:val="center"/>
            </w:pPr>
            <w:r>
              <w:rPr>
                <w:rFonts w:ascii="宋体" w:hAnsi="宋体" w:eastAsia="宋体"/>
                <w:sz w:val="16"/>
              </w:rPr>
              <w:t>—</w:t>
            </w:r>
          </w:p>
        </w:tc>
      </w:tr>
      <w:tr w14:paraId="013FFAB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6FD5C7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92DBDB">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35A027">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767773">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66829E">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77277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E8092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8C2A6C">
            <w:pPr>
              <w:jc w:val="center"/>
            </w:pPr>
            <w:r>
              <w:rPr>
                <w:rFonts w:ascii="宋体" w:hAnsi="宋体" w:eastAsia="宋体"/>
                <w:sz w:val="16"/>
              </w:rPr>
              <w:t>—</w:t>
            </w:r>
          </w:p>
        </w:tc>
      </w:tr>
      <w:tr w14:paraId="7DD8F08D">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08B18A">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9764CF3">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7216B8D">
            <w:pPr>
              <w:jc w:val="center"/>
            </w:pPr>
            <w:r>
              <w:rPr>
                <w:rFonts w:ascii="宋体" w:hAnsi="宋体" w:eastAsia="宋体"/>
                <w:sz w:val="16"/>
              </w:rPr>
              <w:t>实际完成情况</w:t>
            </w:r>
          </w:p>
        </w:tc>
      </w:tr>
      <w:tr w14:paraId="4583E75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A8B1A37"/>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29A1982">
            <w:pPr>
              <w:jc w:val="both"/>
            </w:pPr>
            <w:r>
              <w:rPr>
                <w:rFonts w:ascii="宋体" w:hAnsi="宋体" w:eastAsia="宋体"/>
                <w:sz w:val="16"/>
              </w:rPr>
              <w:t>确保在职人员的工资、津贴、补贴、社保、医保、公积金等以及离退休人员的工资、医疗费等人员保障性经费能够依规、按时、足额发放或缴纳，提升部门人员工作积极性和服务质量；保障部门日常运转，为部门正常履职和开展综合性事务管理提供有效支撑，确保公用保障性经费按照财政安排和相关工作要求及时支出；负责《</w:t>
            </w:r>
            <w:r>
              <w:rPr>
                <w:rFonts w:hint="eastAsia" w:ascii="宋体" w:hAnsi="宋体"/>
                <w:sz w:val="16"/>
                <w:lang w:eastAsia="zh-CN"/>
              </w:rPr>
              <w:t>中华人民共和国水法》《中华人民共和国水土保持法》《中华人民共和国防洪法</w:t>
            </w:r>
            <w:r>
              <w:rPr>
                <w:rFonts w:ascii="宋体" w:hAnsi="宋体" w:eastAsia="宋体"/>
                <w:sz w:val="16"/>
              </w:rPr>
              <w:t>》等有关法律法规的贯彻落实、组织实施和监督检查；归口管理地方性水法规、政策、规范性文件负责全县水资源的统一调查管理和保护工作；负责组织实施取水许可证制度和水资源费征收管理制度；归口协调地区、部门和兵团间的水事纠纷等。加大宣传力度，加强水政水资源管理力度，提升工作效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5B2E3E1">
            <w:pPr>
              <w:jc w:val="both"/>
            </w:pPr>
            <w:r>
              <w:rPr>
                <w:rFonts w:ascii="宋体" w:hAnsi="宋体" w:eastAsia="宋体"/>
                <w:sz w:val="16"/>
              </w:rPr>
              <w:t>确保在职人员的工资、津贴、补贴、社保、医保、公积金等以及离退休人员的工资、医疗费等人员保障性经费能够依规、按时、足额发放或缴纳，提升部门人员工作积极性和服务质量；保障部门日常运转，为部门正常履职和开展综合性事务管理提供有效支撑，确保公用保障性经费按照财政安排和相关工作要求及时支出；负责《</w:t>
            </w:r>
            <w:r>
              <w:rPr>
                <w:rFonts w:hint="eastAsia" w:ascii="宋体" w:hAnsi="宋体"/>
                <w:sz w:val="16"/>
                <w:lang w:eastAsia="zh-CN"/>
              </w:rPr>
              <w:t>中华人民共和国水法》《中华人民共和国水土保持法》《中华人民共和国防洪法</w:t>
            </w:r>
            <w:r>
              <w:rPr>
                <w:rFonts w:ascii="宋体" w:hAnsi="宋体" w:eastAsia="宋体"/>
                <w:sz w:val="16"/>
              </w:rPr>
              <w:t>》等有关法律法规的贯彻落实、组织实施和监督检查；归口管理地方性水法规、政策、规范性文件负责全县水资源的统一调查管理和保护工作；负责组织实施取水许可证制度和水资源费征收管理制度；归口协调地区、部门和兵团间的水事纠纷等。加大宣传力度，加强水政水资源管理力度，提升工作效率。</w:t>
            </w:r>
          </w:p>
        </w:tc>
      </w:tr>
      <w:tr w14:paraId="5FAFE537">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590C88">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E0EF23">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745C8C">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330D5C">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21A1CA">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B0BC21">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15A225">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AFC313">
            <w:pPr>
              <w:jc w:val="center"/>
            </w:pPr>
            <w:r>
              <w:rPr>
                <w:rFonts w:ascii="宋体" w:hAnsi="宋体" w:eastAsia="宋体"/>
                <w:sz w:val="16"/>
              </w:rPr>
              <w:t>得分</w:t>
            </w:r>
          </w:p>
        </w:tc>
      </w:tr>
      <w:tr w14:paraId="2612424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DE302A">
            <w:pPr>
              <w:jc w:val="center"/>
            </w:pPr>
            <w:r>
              <w:rPr>
                <w:rFonts w:ascii="宋体" w:hAnsi="宋体" w:eastAsia="宋体"/>
                <w:sz w:val="16"/>
              </w:rPr>
              <w:t>运行成本</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B7AD0F">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60E8D8">
            <w:pPr>
              <w:jc w:val="center"/>
            </w:pPr>
            <w:r>
              <w:rPr>
                <w:rFonts w:ascii="宋体" w:hAnsi="宋体" w:eastAsia="宋体"/>
                <w:sz w:val="16"/>
              </w:rPr>
              <w:t>在职人员工资福利支出预算保障人数（人)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BB3905">
            <w:pPr>
              <w:jc w:val="center"/>
            </w:pPr>
            <w:r>
              <w:rPr>
                <w:rFonts w:ascii="宋体" w:hAnsi="宋体" w:eastAsia="宋体"/>
                <w:sz w:val="16"/>
              </w:rPr>
              <w:t>&gt;=9人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D76CA8">
            <w:pPr>
              <w:jc w:val="center"/>
            </w:pPr>
            <w:r>
              <w:rPr>
                <w:rFonts w:ascii="宋体" w:hAnsi="宋体" w:eastAsia="宋体"/>
                <w:sz w:val="16"/>
              </w:rPr>
              <w:t>上年度末工资册汇总表\人员编制增减变动的批复文件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69D10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19A584">
            <w:pPr>
              <w:jc w:val="center"/>
            </w:pPr>
            <w:r>
              <w:rPr>
                <w:rFonts w:ascii="宋体" w:hAnsi="宋体" w:eastAsia="宋体"/>
                <w:sz w:val="16"/>
              </w:rPr>
              <w:t>&gt;=9人</w:t>
            </w:r>
            <w:r>
              <w:rPr>
                <w:rFonts w:ascii="宋体" w:hAnsi="宋体" w:eastAsia="宋体"/>
                <w:sz w:val="16"/>
              </w:rPr>
              <w:tab/>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65D09E">
            <w:pPr>
              <w:jc w:val="center"/>
            </w:pPr>
            <w:r>
              <w:rPr>
                <w:rFonts w:ascii="宋体" w:hAnsi="宋体" w:eastAsia="宋体"/>
                <w:sz w:val="16"/>
              </w:rPr>
              <w:t>10</w:t>
            </w:r>
          </w:p>
        </w:tc>
      </w:tr>
      <w:tr w14:paraId="7C66ED7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2741084"/>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7E633F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F8624D">
            <w:pPr>
              <w:jc w:val="center"/>
            </w:pPr>
            <w:r>
              <w:rPr>
                <w:rFonts w:ascii="宋体" w:hAnsi="宋体" w:eastAsia="宋体"/>
                <w:sz w:val="16"/>
              </w:rPr>
              <w:t>公务用车保障数量（辆）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B07132">
            <w:pPr>
              <w:jc w:val="center"/>
            </w:pPr>
            <w:r>
              <w:rPr>
                <w:rFonts w:ascii="宋体" w:hAnsi="宋体" w:eastAsia="宋体"/>
                <w:sz w:val="16"/>
              </w:rPr>
              <w:t>=1辆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9DEA0D">
            <w:pPr>
              <w:jc w:val="center"/>
            </w:pPr>
            <w:r>
              <w:rPr>
                <w:rFonts w:ascii="宋体" w:hAnsi="宋体" w:eastAsia="宋体"/>
                <w:sz w:val="16"/>
              </w:rPr>
              <w:t>现有车辆登记证书\车辆编制增减变动的批复文件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31714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E4AA89">
            <w:pPr>
              <w:jc w:val="center"/>
            </w:pPr>
            <w:r>
              <w:rPr>
                <w:rFonts w:ascii="宋体" w:hAnsi="宋体" w:eastAsia="宋体"/>
                <w:sz w:val="16"/>
              </w:rPr>
              <w:t>=1辆</w:t>
            </w:r>
            <w:r>
              <w:rPr>
                <w:rFonts w:ascii="宋体" w:hAnsi="宋体" w:eastAsia="宋体"/>
                <w:sz w:val="16"/>
              </w:rPr>
              <w:tab/>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4A0FF4">
            <w:pPr>
              <w:jc w:val="center"/>
            </w:pPr>
            <w:r>
              <w:rPr>
                <w:rFonts w:ascii="宋体" w:hAnsi="宋体" w:eastAsia="宋体"/>
                <w:sz w:val="16"/>
              </w:rPr>
              <w:t>10</w:t>
            </w:r>
          </w:p>
        </w:tc>
      </w:tr>
      <w:tr w14:paraId="0E9E81A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241A93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411208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714F46">
            <w:pPr>
              <w:jc w:val="center"/>
            </w:pPr>
            <w:r>
              <w:rPr>
                <w:rFonts w:ascii="宋体" w:hAnsi="宋体" w:eastAsia="宋体"/>
                <w:sz w:val="16"/>
              </w:rPr>
              <w:t>年度部门整体支出控制数（万元）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6143DD">
            <w:pPr>
              <w:jc w:val="center"/>
            </w:pPr>
            <w:r>
              <w:rPr>
                <w:rFonts w:ascii="宋体" w:hAnsi="宋体" w:eastAsia="宋体"/>
                <w:sz w:val="16"/>
              </w:rPr>
              <w:t>&lt;=217.55万元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3957BD">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0191D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BDA2E7">
            <w:pPr>
              <w:jc w:val="center"/>
            </w:pPr>
            <w:r>
              <w:rPr>
                <w:rFonts w:ascii="宋体" w:hAnsi="宋体" w:eastAsia="宋体"/>
                <w:sz w:val="16"/>
              </w:rPr>
              <w:t>&lt;=230.07万元</w:t>
            </w:r>
            <w:r>
              <w:rPr>
                <w:rFonts w:ascii="宋体" w:hAnsi="宋体" w:eastAsia="宋体"/>
                <w:sz w:val="16"/>
              </w:rPr>
              <w:tab/>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D786B0">
            <w:pPr>
              <w:jc w:val="center"/>
            </w:pPr>
            <w:r>
              <w:rPr>
                <w:rFonts w:ascii="宋体" w:hAnsi="宋体" w:eastAsia="宋体"/>
                <w:sz w:val="16"/>
              </w:rPr>
              <w:t>9.46</w:t>
            </w:r>
          </w:p>
        </w:tc>
      </w:tr>
      <w:tr w14:paraId="4299C23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F5D1D5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AB891A">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AF9399">
            <w:pPr>
              <w:jc w:val="center"/>
            </w:pPr>
            <w:r>
              <w:rPr>
                <w:rFonts w:ascii="宋体" w:hAnsi="宋体" w:eastAsia="宋体"/>
                <w:sz w:val="16"/>
              </w:rPr>
              <w:t>资金使用合规率（%）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F09303">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848463">
            <w:pPr>
              <w:jc w:val="center"/>
            </w:pPr>
            <w:r>
              <w:rPr>
                <w:rFonts w:ascii="宋体" w:hAnsi="宋体" w:eastAsia="宋体"/>
                <w:sz w:val="16"/>
              </w:rPr>
              <w:t>县人大年初预算批复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3F6658">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D515EB">
            <w:pPr>
              <w:jc w:val="center"/>
            </w:pPr>
            <w:r>
              <w:rPr>
                <w:rFonts w:ascii="宋体" w:hAnsi="宋体" w:eastAsia="宋体"/>
                <w:sz w:val="16"/>
              </w:rPr>
              <w:t>=100%</w:t>
            </w:r>
            <w:r>
              <w:rPr>
                <w:rFonts w:ascii="宋体" w:hAnsi="宋体" w:eastAsia="宋体"/>
                <w:sz w:val="16"/>
              </w:rPr>
              <w:tab/>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D3C2F9">
            <w:pPr>
              <w:jc w:val="center"/>
            </w:pPr>
            <w:r>
              <w:rPr>
                <w:rFonts w:ascii="宋体" w:hAnsi="宋体" w:eastAsia="宋体"/>
                <w:sz w:val="16"/>
              </w:rPr>
              <w:t>8</w:t>
            </w:r>
          </w:p>
        </w:tc>
      </w:tr>
      <w:tr w14:paraId="1BBE8D95">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9C8A8D">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1DDA9A">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DF0F1F">
            <w:pPr>
              <w:jc w:val="center"/>
            </w:pPr>
            <w:r>
              <w:rPr>
                <w:rFonts w:ascii="宋体" w:hAnsi="宋体" w:eastAsia="宋体"/>
                <w:sz w:val="16"/>
              </w:rPr>
              <w:t>水法宣传政策知晓率（%）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703852">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950280">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9C6D33">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5D6BC6">
            <w:pPr>
              <w:jc w:val="center"/>
            </w:pPr>
            <w:r>
              <w:rPr>
                <w:rFonts w:ascii="宋体" w:hAnsi="宋体" w:eastAsia="宋体"/>
                <w:sz w:val="16"/>
              </w:rPr>
              <w:t>&gt;=95%</w:t>
            </w:r>
            <w:r>
              <w:rPr>
                <w:rFonts w:ascii="宋体" w:hAnsi="宋体" w:eastAsia="宋体"/>
                <w:sz w:val="16"/>
              </w:rPr>
              <w:tab/>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1A35EC">
            <w:pPr>
              <w:jc w:val="center"/>
            </w:pPr>
            <w:r>
              <w:rPr>
                <w:rFonts w:ascii="宋体" w:hAnsi="宋体" w:eastAsia="宋体"/>
                <w:sz w:val="16"/>
              </w:rPr>
              <w:t>8</w:t>
            </w:r>
          </w:p>
        </w:tc>
      </w:tr>
      <w:tr w14:paraId="708C6FA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193758">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3D1322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FE9EC1">
            <w:pPr>
              <w:jc w:val="center"/>
            </w:pPr>
            <w:r>
              <w:rPr>
                <w:rFonts w:ascii="宋体" w:hAnsi="宋体" w:eastAsia="宋体"/>
                <w:sz w:val="16"/>
              </w:rPr>
              <w:t>水法宣传活动次数（次）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301B94">
            <w:pPr>
              <w:jc w:val="center"/>
            </w:pPr>
            <w:r>
              <w:rPr>
                <w:rFonts w:ascii="宋体" w:hAnsi="宋体" w:eastAsia="宋体"/>
                <w:sz w:val="16"/>
              </w:rPr>
              <w:t>&gt;=20次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3EAF8D">
            <w:pPr>
              <w:jc w:val="center"/>
            </w:pPr>
            <w:r>
              <w:rPr>
                <w:rFonts w:ascii="宋体" w:hAnsi="宋体" w:eastAsia="宋体"/>
                <w:sz w:val="16"/>
              </w:rPr>
              <w:t>水法宣传活动次数（次）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4BB8FC">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AEB5E5">
            <w:pPr>
              <w:jc w:val="center"/>
            </w:pPr>
            <w:r>
              <w:rPr>
                <w:rFonts w:ascii="宋体" w:hAnsi="宋体" w:eastAsia="宋体"/>
                <w:sz w:val="16"/>
              </w:rPr>
              <w:t>&gt;=20次</w:t>
            </w:r>
            <w:r>
              <w:rPr>
                <w:rFonts w:ascii="宋体" w:hAnsi="宋体" w:eastAsia="宋体"/>
                <w:sz w:val="16"/>
              </w:rPr>
              <w:tab/>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625BD8">
            <w:pPr>
              <w:jc w:val="center"/>
            </w:pPr>
            <w:r>
              <w:rPr>
                <w:rFonts w:ascii="宋体" w:hAnsi="宋体" w:eastAsia="宋体"/>
                <w:sz w:val="16"/>
              </w:rPr>
              <w:t>8</w:t>
            </w:r>
          </w:p>
        </w:tc>
      </w:tr>
      <w:tr w14:paraId="4689BE4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78E7BC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370B67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DFABD0">
            <w:pPr>
              <w:jc w:val="center"/>
            </w:pPr>
            <w:r>
              <w:rPr>
                <w:rFonts w:ascii="宋体" w:hAnsi="宋体" w:eastAsia="宋体"/>
                <w:sz w:val="16"/>
              </w:rPr>
              <w:t>车辆保险及时购买率（%）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A78C4F">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298475">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30864D">
            <w:pPr>
              <w:jc w:val="center"/>
            </w:pPr>
            <w:r>
              <w:rPr>
                <w:rFonts w:ascii="宋体" w:hAnsi="宋体" w:eastAsia="宋体"/>
                <w:sz w:val="16"/>
              </w:rPr>
              <w:t>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6E5A02">
            <w:pPr>
              <w:jc w:val="center"/>
            </w:pPr>
            <w:r>
              <w:rPr>
                <w:rFonts w:ascii="宋体" w:hAnsi="宋体" w:eastAsia="宋体"/>
                <w:sz w:val="16"/>
              </w:rPr>
              <w:t>0%</w:t>
            </w:r>
            <w:r>
              <w:rPr>
                <w:rFonts w:ascii="宋体" w:hAnsi="宋体" w:eastAsia="宋体"/>
                <w:sz w:val="16"/>
              </w:rPr>
              <w:tab/>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444602">
            <w:pPr>
              <w:jc w:val="center"/>
            </w:pPr>
            <w:r>
              <w:rPr>
                <w:rFonts w:ascii="宋体" w:hAnsi="宋体" w:eastAsia="宋体"/>
                <w:sz w:val="16"/>
              </w:rPr>
              <w:t>0</w:t>
            </w:r>
          </w:p>
        </w:tc>
      </w:tr>
      <w:tr w14:paraId="2AC086C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D08024">
            <w:pPr>
              <w:jc w:val="center"/>
            </w:pPr>
            <w:r>
              <w:rPr>
                <w:rFonts w:ascii="宋体" w:hAnsi="宋体" w:eastAsia="宋体"/>
                <w:sz w:val="16"/>
              </w:rPr>
              <w:t>社会效益</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3C7557">
            <w:pPr>
              <w:jc w:val="center"/>
            </w:pPr>
            <w:r>
              <w:rPr>
                <w:rFonts w:ascii="宋体" w:hAnsi="宋体" w:eastAsia="宋体"/>
                <w:sz w:val="16"/>
              </w:rPr>
              <w:t>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476D55">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369B71">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1D6A8E">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EFA5E2">
            <w:pPr>
              <w:jc w:val="center"/>
            </w:pPr>
            <w:r>
              <w:rPr>
                <w:rFonts w:ascii="宋体" w:hAnsi="宋体" w:eastAsia="宋体"/>
                <w:sz w:val="16"/>
              </w:rPr>
              <w:t>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79BB86">
            <w:pPr>
              <w:jc w:val="center"/>
            </w:pPr>
            <w:r>
              <w:rPr>
                <w:rFonts w:ascii="宋体" w:hAnsi="宋体" w:eastAsia="宋体"/>
                <w:sz w:val="16"/>
              </w:rPr>
              <w:t>保障</w:t>
            </w:r>
            <w:r>
              <w:rPr>
                <w:rFonts w:ascii="宋体" w:hAnsi="宋体" w:eastAsia="宋体"/>
                <w:sz w:val="16"/>
              </w:rPr>
              <w:tab/>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CE6024">
            <w:pPr>
              <w:jc w:val="center"/>
            </w:pPr>
            <w:r>
              <w:rPr>
                <w:rFonts w:ascii="宋体" w:hAnsi="宋体" w:eastAsia="宋体"/>
                <w:sz w:val="16"/>
              </w:rPr>
              <w:t>7</w:t>
            </w:r>
          </w:p>
        </w:tc>
      </w:tr>
      <w:tr w14:paraId="659BF4B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A0CBC89"/>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6E2FDB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E0C102">
            <w:pPr>
              <w:jc w:val="center"/>
            </w:pPr>
            <w:r>
              <w:rPr>
                <w:rFonts w:ascii="宋体" w:hAnsi="宋体" w:eastAsia="宋体"/>
                <w:sz w:val="16"/>
              </w:rPr>
              <w:t>增强人民的节水意识和水资源保护意识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34DAC1">
            <w:pPr>
              <w:jc w:val="center"/>
            </w:pPr>
            <w:r>
              <w:rPr>
                <w:rFonts w:ascii="宋体" w:hAnsi="宋体" w:eastAsia="宋体"/>
                <w:sz w:val="16"/>
              </w:rPr>
              <w:t>增强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61FFF5">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2E9DDD">
            <w:pPr>
              <w:jc w:val="center"/>
            </w:pPr>
            <w:r>
              <w:rPr>
                <w:rFonts w:ascii="宋体" w:hAnsi="宋体" w:eastAsia="宋体"/>
                <w:sz w:val="16"/>
              </w:rPr>
              <w:t>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63BA4A">
            <w:pPr>
              <w:jc w:val="center"/>
            </w:pPr>
            <w:r>
              <w:rPr>
                <w:rFonts w:ascii="宋体" w:hAnsi="宋体" w:eastAsia="宋体"/>
                <w:sz w:val="16"/>
              </w:rPr>
              <w:t>增强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293466">
            <w:pPr>
              <w:jc w:val="center"/>
            </w:pPr>
            <w:r>
              <w:rPr>
                <w:rFonts w:ascii="宋体" w:hAnsi="宋体" w:eastAsia="宋体"/>
                <w:sz w:val="16"/>
              </w:rPr>
              <w:t>7</w:t>
            </w:r>
          </w:p>
        </w:tc>
      </w:tr>
      <w:tr w14:paraId="5312A60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A91189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31E5A0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B46A35">
            <w:pPr>
              <w:jc w:val="center"/>
            </w:pPr>
            <w:r>
              <w:rPr>
                <w:rFonts w:ascii="宋体" w:hAnsi="宋体" w:eastAsia="宋体"/>
                <w:sz w:val="16"/>
              </w:rPr>
              <w:t>保障水资源可持续发展</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9750C3">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F44A1B">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FE969E">
            <w:pPr>
              <w:jc w:val="center"/>
            </w:pPr>
            <w:r>
              <w:rPr>
                <w:rFonts w:ascii="宋体" w:hAnsi="宋体" w:eastAsia="宋体"/>
                <w:sz w:val="16"/>
              </w:rPr>
              <w:t>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C201C6">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BEED8B">
            <w:pPr>
              <w:jc w:val="center"/>
            </w:pPr>
            <w:r>
              <w:rPr>
                <w:rFonts w:ascii="宋体" w:hAnsi="宋体" w:eastAsia="宋体"/>
                <w:sz w:val="16"/>
              </w:rPr>
              <w:t>6</w:t>
            </w:r>
          </w:p>
        </w:tc>
      </w:tr>
      <w:tr w14:paraId="3E89CF0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88DCD2">
            <w:pPr>
              <w:jc w:val="center"/>
            </w:pPr>
            <w:r>
              <w:rPr>
                <w:rFonts w:ascii="宋体" w:hAnsi="宋体" w:eastAsia="宋体"/>
                <w:sz w:val="16"/>
              </w:rPr>
              <w:t>服务对象满意度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C1D93D">
            <w:pPr>
              <w:jc w:val="center"/>
            </w:pPr>
            <w:r>
              <w:rPr>
                <w:rFonts w:ascii="宋体" w:hAnsi="宋体" w:eastAsia="宋体"/>
                <w:sz w:val="16"/>
              </w:rPr>
              <w:t>社会公众对本部门履职效果的满意度（%）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BBBEE5">
            <w:pPr>
              <w:jc w:val="center"/>
            </w:pPr>
            <w:r>
              <w:rPr>
                <w:rFonts w:ascii="宋体" w:hAnsi="宋体" w:eastAsia="宋体"/>
                <w:sz w:val="16"/>
              </w:rPr>
              <w:t>社会公众对本部门履职效果的满意度（%）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7DC8EF">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3F40CC">
            <w:pPr>
              <w:jc w:val="center"/>
            </w:pPr>
            <w:r>
              <w:rPr>
                <w:rFonts w:hint="eastAsia" w:ascii="宋体" w:hAnsi="宋体"/>
                <w:sz w:val="16"/>
                <w:lang w:eastAsia="zh-CN"/>
              </w:rPr>
              <w:t>“十四五”发展规划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81F0F3">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F0A853">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BC2093">
            <w:pPr>
              <w:jc w:val="center"/>
            </w:pPr>
            <w:r>
              <w:rPr>
                <w:rFonts w:ascii="宋体" w:hAnsi="宋体" w:eastAsia="宋体"/>
                <w:sz w:val="16"/>
              </w:rPr>
              <w:t>5</w:t>
            </w:r>
          </w:p>
        </w:tc>
      </w:tr>
      <w:tr w14:paraId="78820D9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F307DC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42A1E7">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D1202A">
            <w:pPr>
              <w:jc w:val="center"/>
            </w:pPr>
            <w:r>
              <w:rPr>
                <w:rFonts w:ascii="宋体" w:hAnsi="宋体" w:eastAsia="宋体"/>
                <w:sz w:val="16"/>
              </w:rPr>
              <w:t>在职人员的满意度（%）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8AFC04">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0E3E58">
            <w:pPr>
              <w:jc w:val="center"/>
            </w:pPr>
            <w:r>
              <w:rPr>
                <w:rFonts w:hint="eastAsia" w:ascii="宋体" w:hAnsi="宋体"/>
                <w:sz w:val="16"/>
                <w:lang w:eastAsia="zh-CN"/>
              </w:rPr>
              <w:t>“十四五”发展规划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643CB3">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D7F6A0">
            <w:pPr>
              <w:jc w:val="center"/>
            </w:pPr>
            <w:r>
              <w:rPr>
                <w:rFonts w:ascii="宋体" w:hAnsi="宋体" w:eastAsia="宋体"/>
                <w:sz w:val="16"/>
              </w:rPr>
              <w:t>&gt;=95%</w:t>
            </w:r>
            <w:r>
              <w:rPr>
                <w:rFonts w:ascii="宋体" w:hAnsi="宋体" w:eastAsia="宋体"/>
                <w:sz w:val="16"/>
              </w:rPr>
              <w:tab/>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A2DFDF">
            <w:pPr>
              <w:jc w:val="center"/>
            </w:pPr>
            <w:r>
              <w:rPr>
                <w:rFonts w:ascii="宋体" w:hAnsi="宋体" w:eastAsia="宋体"/>
                <w:sz w:val="16"/>
              </w:rPr>
              <w:t>5</w:t>
            </w:r>
          </w:p>
        </w:tc>
      </w:tr>
    </w:tbl>
    <w:p w14:paraId="4F107DA0">
      <w:r>
        <w:br w:type="page"/>
      </w:r>
    </w:p>
    <w:tbl>
      <w:tblPr>
        <w:tblStyle w:val="9"/>
        <w:tblW w:w="0" w:type="auto"/>
        <w:tblInd w:w="0" w:type="dxa"/>
        <w:tblLayout w:type="autofit"/>
        <w:tblCellMar>
          <w:top w:w="0" w:type="dxa"/>
          <w:left w:w="108" w:type="dxa"/>
          <w:bottom w:w="0" w:type="dxa"/>
          <w:right w:w="108" w:type="dxa"/>
        </w:tblCellMar>
      </w:tblPr>
      <w:tblGrid>
        <w:gridCol w:w="626"/>
        <w:gridCol w:w="615"/>
        <w:gridCol w:w="615"/>
        <w:gridCol w:w="696"/>
        <w:gridCol w:w="776"/>
        <w:gridCol w:w="615"/>
        <w:gridCol w:w="631"/>
        <w:gridCol w:w="621"/>
        <w:gridCol w:w="615"/>
        <w:gridCol w:w="615"/>
        <w:gridCol w:w="776"/>
        <w:gridCol w:w="632"/>
        <w:gridCol w:w="595"/>
        <w:gridCol w:w="632"/>
      </w:tblGrid>
      <w:tr w14:paraId="0ED2C63D">
        <w:tblPrEx>
          <w:tblCellMar>
            <w:top w:w="0" w:type="dxa"/>
            <w:left w:w="108" w:type="dxa"/>
            <w:bottom w:w="0" w:type="dxa"/>
            <w:right w:w="108" w:type="dxa"/>
          </w:tblCellMar>
        </w:tblPrEx>
        <w:tc>
          <w:tcPr>
            <w:tcW w:w="8848" w:type="dxa"/>
            <w:gridSpan w:val="14"/>
            <w:vAlign w:val="center"/>
          </w:tcPr>
          <w:p w14:paraId="221B233C">
            <w:pPr>
              <w:jc w:val="center"/>
            </w:pPr>
            <w:r>
              <w:rPr>
                <w:rFonts w:ascii="宋体" w:hAnsi="宋体" w:eastAsia="宋体"/>
                <w:sz w:val="24"/>
              </w:rPr>
              <w:t>项目支出绩效自评表</w:t>
            </w:r>
          </w:p>
        </w:tc>
      </w:tr>
      <w:tr w14:paraId="789AB11B">
        <w:tblPrEx>
          <w:tblCellMar>
            <w:top w:w="0" w:type="dxa"/>
            <w:left w:w="108" w:type="dxa"/>
            <w:bottom w:w="0" w:type="dxa"/>
            <w:right w:w="108" w:type="dxa"/>
          </w:tblCellMar>
        </w:tblPrEx>
        <w:tc>
          <w:tcPr>
            <w:tcW w:w="8848" w:type="dxa"/>
            <w:gridSpan w:val="14"/>
            <w:vAlign w:val="center"/>
          </w:tcPr>
          <w:p w14:paraId="23FFEBCB">
            <w:pPr>
              <w:jc w:val="center"/>
            </w:pPr>
            <w:r>
              <w:rPr>
                <w:rFonts w:ascii="宋体" w:hAnsi="宋体" w:eastAsia="宋体"/>
                <w:sz w:val="24"/>
              </w:rPr>
              <w:t>(2024年度)</w:t>
            </w:r>
          </w:p>
        </w:tc>
      </w:tr>
      <w:tr w14:paraId="512A870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6A26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0260638">
            <w:pPr>
              <w:jc w:val="center"/>
            </w:pPr>
            <w:r>
              <w:rPr>
                <w:rFonts w:ascii="宋体" w:hAnsi="宋体" w:eastAsia="宋体"/>
                <w:sz w:val="16"/>
              </w:rPr>
              <w:t>2024年水法宣传活动费（县级）</w:t>
            </w:r>
          </w:p>
        </w:tc>
      </w:tr>
      <w:tr w14:paraId="2A60938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C511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E7F5D1">
            <w:pPr>
              <w:jc w:val="center"/>
            </w:pPr>
            <w:r>
              <w:rPr>
                <w:rFonts w:ascii="宋体" w:hAnsi="宋体" w:eastAsia="宋体"/>
                <w:sz w:val="16"/>
              </w:rPr>
              <w:t>阿克陶县水利局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1C7C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77D8F62">
            <w:pPr>
              <w:jc w:val="center"/>
            </w:pPr>
            <w:r>
              <w:rPr>
                <w:rFonts w:ascii="宋体" w:hAnsi="宋体" w:eastAsia="宋体"/>
                <w:sz w:val="16"/>
              </w:rPr>
              <w:t>阿克陶县水政水资源服务中心</w:t>
            </w:r>
          </w:p>
        </w:tc>
      </w:tr>
      <w:tr w14:paraId="05288D7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06D42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8DD2B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47758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E42B6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581AC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E2DC2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9C67B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4F351">
            <w:pPr>
              <w:jc w:val="center"/>
            </w:pPr>
            <w:r>
              <w:rPr>
                <w:rFonts w:ascii="宋体" w:hAnsi="宋体" w:eastAsia="宋体"/>
                <w:sz w:val="16"/>
              </w:rPr>
              <w:t>得分</w:t>
            </w:r>
          </w:p>
        </w:tc>
      </w:tr>
      <w:tr w14:paraId="2DA34E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8AE83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DEEF4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FB30C1">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7D6B91">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860B25">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25EEE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6D5570">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4D91A">
            <w:pPr>
              <w:jc w:val="center"/>
            </w:pPr>
            <w:r>
              <w:rPr>
                <w:rFonts w:ascii="宋体" w:hAnsi="宋体" w:eastAsia="宋体"/>
                <w:sz w:val="16"/>
              </w:rPr>
              <w:t>10.00分</w:t>
            </w:r>
          </w:p>
        </w:tc>
      </w:tr>
      <w:tr w14:paraId="4B6E91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9E33B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69909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B3E7D3">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CF2E3A">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05BB25">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6CF46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3C859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77BFA">
            <w:pPr>
              <w:jc w:val="center"/>
            </w:pPr>
            <w:r>
              <w:rPr>
                <w:rFonts w:ascii="宋体" w:hAnsi="宋体" w:eastAsia="宋体"/>
                <w:sz w:val="16"/>
              </w:rPr>
              <w:t>—</w:t>
            </w:r>
          </w:p>
        </w:tc>
      </w:tr>
      <w:tr w14:paraId="6291F0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45211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59B95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09200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EE1AA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0A9E8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A585F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85653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8F3E2">
            <w:pPr>
              <w:jc w:val="center"/>
            </w:pPr>
            <w:r>
              <w:rPr>
                <w:rFonts w:ascii="宋体" w:hAnsi="宋体" w:eastAsia="宋体"/>
                <w:sz w:val="16"/>
              </w:rPr>
              <w:t>—</w:t>
            </w:r>
          </w:p>
        </w:tc>
      </w:tr>
      <w:tr w14:paraId="4A2D6D6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EC5A0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3BD4B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B40D6D9">
            <w:pPr>
              <w:jc w:val="center"/>
            </w:pPr>
            <w:r>
              <w:rPr>
                <w:rFonts w:ascii="宋体" w:hAnsi="宋体" w:eastAsia="宋体"/>
                <w:sz w:val="16"/>
              </w:rPr>
              <w:t>实际完成情况</w:t>
            </w:r>
          </w:p>
        </w:tc>
      </w:tr>
      <w:tr w14:paraId="09D6EB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DE5BF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9C9688">
            <w:pPr>
              <w:jc w:val="both"/>
            </w:pPr>
            <w:r>
              <w:rPr>
                <w:rFonts w:ascii="宋体" w:hAnsi="宋体" w:eastAsia="宋体"/>
                <w:sz w:val="16"/>
              </w:rPr>
              <w:t>该项目资金共计4万元，资金来源为财政其他资金，用于开展2024年“世界水日”“中国水周”宣传活动，订购宣传画和文创产品，在全县范围内张贴、宣传、使用。计划制作宣传横幅6条、宣传</w:t>
            </w:r>
            <w:bookmarkStart w:id="0" w:name="_GoBack"/>
            <w:r>
              <w:rPr>
                <w:rFonts w:hint="eastAsia" w:ascii="宋体" w:hAnsi="宋体"/>
                <w:sz w:val="16"/>
                <w:lang w:eastAsia="zh-CN"/>
              </w:rPr>
              <w:t>图板</w:t>
            </w:r>
            <w:bookmarkEnd w:id="0"/>
            <w:r>
              <w:rPr>
                <w:rFonts w:ascii="宋体" w:hAnsi="宋体" w:eastAsia="宋体"/>
                <w:sz w:val="16"/>
              </w:rPr>
              <w:t>3块、宣传单10000余份、宣传标语1000张，节水宣传物品20000余个（抽纸、纸杯）。</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AB748D5">
            <w:pPr>
              <w:jc w:val="both"/>
            </w:pPr>
            <w:r>
              <w:rPr>
                <w:rFonts w:hint="eastAsia" w:ascii="宋体" w:hAnsi="宋体"/>
                <w:sz w:val="16"/>
                <w:lang w:eastAsia="zh-CN"/>
              </w:rPr>
              <w:t>该项目资金用于</w:t>
            </w:r>
            <w:r>
              <w:rPr>
                <w:rFonts w:ascii="宋体" w:hAnsi="宋体" w:eastAsia="宋体"/>
                <w:sz w:val="16"/>
              </w:rPr>
              <w:t>2024年水法宣传和活动费用于2024年3月22日</w:t>
            </w:r>
            <w:r>
              <w:rPr>
                <w:rFonts w:hint="eastAsia" w:ascii="宋体" w:hAnsi="宋体"/>
                <w:sz w:val="16"/>
                <w:lang w:eastAsia="zh-CN"/>
              </w:rPr>
              <w:t>—</w:t>
            </w:r>
            <w:r>
              <w:rPr>
                <w:rFonts w:ascii="宋体" w:hAnsi="宋体" w:eastAsia="宋体"/>
                <w:sz w:val="16"/>
              </w:rPr>
              <w:t>28日第三十七届“中国水周”宣传工作。在全县及乡镇范围内进行水法宣传。通过该项目的实施，使广大群众进一步提高了“中华人民共和国水法”“水土保持法”的认识。</w:t>
            </w:r>
          </w:p>
        </w:tc>
      </w:tr>
      <w:tr w14:paraId="6C57532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91539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E802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E34C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51A6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8019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20C4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90C9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A6A1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4799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0ECD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9091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8D40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6D30F1">
            <w:pPr>
              <w:jc w:val="center"/>
            </w:pPr>
            <w:r>
              <w:rPr>
                <w:rFonts w:ascii="宋体" w:hAnsi="宋体" w:eastAsia="宋体"/>
                <w:sz w:val="16"/>
              </w:rPr>
              <w:t>偏差原因分析及改进措施</w:t>
            </w:r>
          </w:p>
        </w:tc>
      </w:tr>
      <w:tr w14:paraId="226E30E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89871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B29EB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842B7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2B5AB">
            <w:pPr>
              <w:jc w:val="center"/>
            </w:pPr>
            <w:r>
              <w:rPr>
                <w:rFonts w:ascii="宋体" w:hAnsi="宋体" w:eastAsia="宋体"/>
                <w:sz w:val="16"/>
              </w:rPr>
              <w:t>水法宣传活动次数（次）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AC2BB">
            <w:pPr>
              <w:jc w:val="center"/>
            </w:pPr>
            <w:r>
              <w:rPr>
                <w:rFonts w:ascii="宋体" w:hAnsi="宋体" w:eastAsia="宋体"/>
                <w:sz w:val="16"/>
              </w:rPr>
              <w:t>&gt;=20次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1C03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147DE">
            <w:pPr>
              <w:jc w:val="center"/>
            </w:pPr>
            <w:r>
              <w:rPr>
                <w:rFonts w:ascii="宋体" w:hAnsi="宋体" w:eastAsia="宋体"/>
                <w:sz w:val="16"/>
              </w:rPr>
              <w:t>20次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C317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06E4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87C6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727A2">
            <w:pPr>
              <w:jc w:val="center"/>
            </w:pPr>
            <w:r>
              <w:rPr>
                <w:rFonts w:ascii="宋体" w:hAnsi="宋体" w:eastAsia="宋体"/>
                <w:sz w:val="16"/>
              </w:rPr>
              <w:t>&gt;=20次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3F24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D3AC78">
            <w:pPr>
              <w:jc w:val="center"/>
            </w:pPr>
          </w:p>
        </w:tc>
      </w:tr>
      <w:tr w14:paraId="708801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B17F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F5BA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27E9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A97B5">
            <w:pPr>
              <w:jc w:val="center"/>
            </w:pPr>
            <w:r>
              <w:rPr>
                <w:rFonts w:ascii="宋体" w:hAnsi="宋体" w:eastAsia="宋体"/>
                <w:sz w:val="16"/>
              </w:rPr>
              <w:t>宣传横幅制作数（条）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80665">
            <w:pPr>
              <w:jc w:val="center"/>
            </w:pPr>
            <w:r>
              <w:rPr>
                <w:rFonts w:ascii="宋体" w:hAnsi="宋体" w:eastAsia="宋体"/>
                <w:sz w:val="16"/>
              </w:rPr>
              <w:t>&gt;=6条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408D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11457">
            <w:pPr>
              <w:jc w:val="center"/>
            </w:pPr>
            <w:r>
              <w:rPr>
                <w:rFonts w:ascii="宋体" w:hAnsi="宋体" w:eastAsia="宋体"/>
                <w:sz w:val="16"/>
              </w:rPr>
              <w:t>6条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FFE4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5CA0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C1BE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26956">
            <w:pPr>
              <w:jc w:val="center"/>
            </w:pPr>
            <w:r>
              <w:rPr>
                <w:rFonts w:ascii="宋体" w:hAnsi="宋体" w:eastAsia="宋体"/>
                <w:sz w:val="16"/>
              </w:rPr>
              <w:t>&gt;=6条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0C8E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A1129E">
            <w:pPr>
              <w:jc w:val="center"/>
            </w:pPr>
          </w:p>
        </w:tc>
      </w:tr>
      <w:tr w14:paraId="3680EA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E048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A5F9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398F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F5ABD">
            <w:pPr>
              <w:jc w:val="center"/>
            </w:pPr>
            <w:r>
              <w:rPr>
                <w:rFonts w:ascii="宋体" w:hAnsi="宋体" w:eastAsia="宋体"/>
                <w:sz w:val="16"/>
              </w:rPr>
              <w:t>宣传展板（块）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06145">
            <w:pPr>
              <w:jc w:val="center"/>
            </w:pPr>
            <w:r>
              <w:rPr>
                <w:rFonts w:ascii="宋体" w:hAnsi="宋体" w:eastAsia="宋体"/>
                <w:sz w:val="16"/>
              </w:rPr>
              <w:t>&gt;=3块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A8C5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F7B57">
            <w:pPr>
              <w:jc w:val="center"/>
            </w:pPr>
            <w:r>
              <w:rPr>
                <w:rFonts w:ascii="宋体" w:hAnsi="宋体" w:eastAsia="宋体"/>
                <w:sz w:val="16"/>
              </w:rPr>
              <w:t>3块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8CCC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AE35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E444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9D40B">
            <w:pPr>
              <w:jc w:val="center"/>
            </w:pPr>
            <w:r>
              <w:rPr>
                <w:rFonts w:ascii="宋体" w:hAnsi="宋体" w:eastAsia="宋体"/>
                <w:sz w:val="16"/>
              </w:rPr>
              <w:t>&gt;=3块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15DB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645371">
            <w:pPr>
              <w:jc w:val="center"/>
            </w:pPr>
          </w:p>
        </w:tc>
      </w:tr>
      <w:tr w14:paraId="1DD589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89DF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843D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1222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21765">
            <w:pPr>
              <w:jc w:val="center"/>
            </w:pPr>
            <w:r>
              <w:rPr>
                <w:rFonts w:ascii="宋体" w:hAnsi="宋体" w:eastAsia="宋体"/>
                <w:sz w:val="16"/>
              </w:rPr>
              <w:t>宣传标语（张）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A27AD">
            <w:pPr>
              <w:jc w:val="center"/>
            </w:pPr>
            <w:r>
              <w:rPr>
                <w:rFonts w:ascii="宋体" w:hAnsi="宋体" w:eastAsia="宋体"/>
                <w:sz w:val="16"/>
              </w:rPr>
              <w:t>&gt;=1000张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E3D2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328F9">
            <w:pPr>
              <w:jc w:val="center"/>
            </w:pPr>
            <w:r>
              <w:rPr>
                <w:rFonts w:ascii="宋体" w:hAnsi="宋体" w:eastAsia="宋体"/>
                <w:sz w:val="16"/>
              </w:rPr>
              <w:t>1000张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6A37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F4F5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42F2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A455A">
            <w:pPr>
              <w:jc w:val="center"/>
            </w:pPr>
            <w:r>
              <w:rPr>
                <w:rFonts w:ascii="宋体" w:hAnsi="宋体" w:eastAsia="宋体"/>
                <w:sz w:val="16"/>
              </w:rPr>
              <w:t>&gt;=1000张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7DC9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68F593">
            <w:pPr>
              <w:jc w:val="center"/>
            </w:pPr>
          </w:p>
        </w:tc>
      </w:tr>
      <w:tr w14:paraId="0F644A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DF0C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9A49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DA99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14243">
            <w:pPr>
              <w:jc w:val="center"/>
            </w:pPr>
            <w:r>
              <w:rPr>
                <w:rFonts w:ascii="宋体" w:hAnsi="宋体" w:eastAsia="宋体"/>
                <w:sz w:val="16"/>
              </w:rPr>
              <w:t>宣传单（张）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421F1">
            <w:pPr>
              <w:jc w:val="center"/>
            </w:pPr>
            <w:r>
              <w:rPr>
                <w:rFonts w:ascii="宋体" w:hAnsi="宋体" w:eastAsia="宋体"/>
                <w:sz w:val="16"/>
              </w:rPr>
              <w:t>&gt;=10000张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A7FB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3884C">
            <w:pPr>
              <w:jc w:val="center"/>
            </w:pPr>
            <w:r>
              <w:rPr>
                <w:rFonts w:ascii="宋体" w:hAnsi="宋体" w:eastAsia="宋体"/>
                <w:sz w:val="16"/>
              </w:rPr>
              <w:t>10000张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906A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1055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DB47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297A5">
            <w:pPr>
              <w:jc w:val="center"/>
            </w:pPr>
            <w:r>
              <w:rPr>
                <w:rFonts w:ascii="宋体" w:hAnsi="宋体" w:eastAsia="宋体"/>
                <w:sz w:val="16"/>
              </w:rPr>
              <w:t>&gt;=10000张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FAE1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99852B">
            <w:pPr>
              <w:jc w:val="center"/>
            </w:pPr>
          </w:p>
        </w:tc>
      </w:tr>
      <w:tr w14:paraId="139D7E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3242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9EA7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476F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511F9">
            <w:pPr>
              <w:jc w:val="center"/>
            </w:pPr>
            <w:r>
              <w:rPr>
                <w:rFonts w:ascii="宋体" w:hAnsi="宋体" w:eastAsia="宋体"/>
                <w:sz w:val="16"/>
              </w:rPr>
              <w:t>宣传物品（个）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43E68">
            <w:pPr>
              <w:jc w:val="center"/>
            </w:pPr>
            <w:r>
              <w:rPr>
                <w:rFonts w:ascii="宋体" w:hAnsi="宋体" w:eastAsia="宋体"/>
                <w:sz w:val="16"/>
              </w:rPr>
              <w:t>&gt;=20000个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1334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B1325">
            <w:pPr>
              <w:jc w:val="center"/>
            </w:pPr>
            <w:r>
              <w:rPr>
                <w:rFonts w:ascii="宋体" w:hAnsi="宋体" w:eastAsia="宋体"/>
                <w:sz w:val="16"/>
              </w:rPr>
              <w:t>20000个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FE46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3008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EFB4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2326A">
            <w:pPr>
              <w:jc w:val="center"/>
            </w:pPr>
            <w:r>
              <w:rPr>
                <w:rFonts w:ascii="宋体" w:hAnsi="宋体" w:eastAsia="宋体"/>
                <w:sz w:val="16"/>
              </w:rPr>
              <w:t>&gt;=20000个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3E5F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BC9B75">
            <w:pPr>
              <w:jc w:val="center"/>
            </w:pPr>
          </w:p>
        </w:tc>
      </w:tr>
      <w:tr w14:paraId="299749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1B64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8466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0E43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92DAC">
            <w:pPr>
              <w:jc w:val="center"/>
            </w:pPr>
            <w:r>
              <w:rPr>
                <w:rFonts w:ascii="宋体" w:hAnsi="宋体" w:eastAsia="宋体"/>
                <w:sz w:val="16"/>
              </w:rPr>
              <w:t>水法宣传工作完成率（%）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DB0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F6D5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B20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D32C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3BAC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D72F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DCC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3B52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AE979B">
            <w:pPr>
              <w:jc w:val="center"/>
            </w:pPr>
          </w:p>
        </w:tc>
      </w:tr>
      <w:tr w14:paraId="456636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8802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01BD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6BD8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61DC3">
            <w:pPr>
              <w:jc w:val="center"/>
            </w:pPr>
            <w:r>
              <w:rPr>
                <w:rFonts w:ascii="宋体" w:hAnsi="宋体" w:eastAsia="宋体"/>
                <w:sz w:val="16"/>
              </w:rPr>
              <w:t>宣传活动完成及时性（%）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16CF2">
            <w:pPr>
              <w:jc w:val="center"/>
            </w:pPr>
            <w:r>
              <w:rPr>
                <w:rFonts w:ascii="宋体" w:hAnsi="宋体" w:eastAsia="宋体"/>
                <w:sz w:val="16"/>
              </w:rPr>
              <w:t>=100%C</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128C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F8D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1E4C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BD9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D257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28E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9799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A3B65E">
            <w:pPr>
              <w:jc w:val="center"/>
            </w:pPr>
          </w:p>
        </w:tc>
      </w:tr>
      <w:tr w14:paraId="76CB1E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3CB7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76B1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DE3A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70335">
            <w:pPr>
              <w:jc w:val="center"/>
            </w:pPr>
            <w:r>
              <w:rPr>
                <w:rFonts w:ascii="宋体" w:hAnsi="宋体" w:eastAsia="宋体"/>
                <w:sz w:val="16"/>
              </w:rPr>
              <w:t>宣传经费（万元）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CCD13">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3E5E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F4C35">
            <w:pPr>
              <w:jc w:val="center"/>
            </w:pPr>
            <w:r>
              <w:rPr>
                <w:rFonts w:ascii="宋体" w:hAnsi="宋体" w:eastAsia="宋体"/>
                <w:sz w:val="16"/>
              </w:rPr>
              <w: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79CF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DA3A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B262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30A62">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9ECE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3979F1">
            <w:pPr>
              <w:jc w:val="center"/>
            </w:pPr>
          </w:p>
        </w:tc>
      </w:tr>
      <w:tr w14:paraId="6CA43F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4641B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2B66CA">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BCAB1F">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4D46D">
            <w:pPr>
              <w:jc w:val="center"/>
            </w:pPr>
            <w:r>
              <w:rPr>
                <w:rFonts w:ascii="宋体" w:hAnsi="宋体" w:eastAsia="宋体"/>
                <w:sz w:val="16"/>
              </w:rPr>
              <w:t>提高节水意识和水资源及水土保持意识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F968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7296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348C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6BC4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8696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1121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0C0BA">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C9C1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D8B59B">
            <w:pPr>
              <w:jc w:val="center"/>
            </w:pPr>
          </w:p>
        </w:tc>
      </w:tr>
      <w:tr w14:paraId="33CF3D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FDF4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D890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B964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FB5D6">
            <w:pPr>
              <w:jc w:val="center"/>
            </w:pPr>
            <w:r>
              <w:rPr>
                <w:rFonts w:ascii="宋体" w:hAnsi="宋体" w:eastAsia="宋体"/>
                <w:sz w:val="16"/>
              </w:rPr>
              <w:t>增强科学用水观念。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30F63">
            <w:pPr>
              <w:jc w:val="center"/>
            </w:pPr>
            <w:r>
              <w:rPr>
                <w:rFonts w:ascii="宋体" w:hAnsi="宋体" w:eastAsia="宋体"/>
                <w:sz w:val="16"/>
              </w:rPr>
              <w:t>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5DCF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497AD">
            <w:pPr>
              <w:jc w:val="center"/>
            </w:pPr>
            <w:r>
              <w:rPr>
                <w:rFonts w:ascii="宋体" w:hAnsi="宋体" w:eastAsia="宋体"/>
                <w:sz w:val="16"/>
              </w:rPr>
              <w:t>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3F49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1D4C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0CFC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8B9C1">
            <w:pPr>
              <w:jc w:val="center"/>
            </w:pPr>
            <w:r>
              <w:rPr>
                <w:rFonts w:ascii="宋体" w:hAnsi="宋体" w:eastAsia="宋体"/>
                <w:sz w:val="16"/>
              </w:rPr>
              <w:t>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4665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A2338B">
            <w:pPr>
              <w:jc w:val="center"/>
            </w:pPr>
          </w:p>
        </w:tc>
      </w:tr>
      <w:tr w14:paraId="4834F8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279F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D52B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90BF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C88FC">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9E17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C57A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CFF9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9119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D6F4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9972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248B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12E7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672DF0">
            <w:pPr>
              <w:jc w:val="center"/>
            </w:pPr>
          </w:p>
        </w:tc>
      </w:tr>
      <w:tr w14:paraId="14EA13F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CF9AE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2A61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E9510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46339">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8F8C4BA"/>
        </w:tc>
      </w:tr>
    </w:tbl>
    <w:p w14:paraId="2567B972">
      <w:r>
        <w:br w:type="page"/>
      </w:r>
    </w:p>
    <w:p w14:paraId="320874A8">
      <w:pPr>
        <w:spacing w:line="640" w:lineRule="exact"/>
        <w:ind w:firstLine="640"/>
        <w:jc w:val="both"/>
        <w:outlineLvl w:val="2"/>
      </w:pPr>
      <w:r>
        <w:rPr>
          <w:rFonts w:ascii="黑体" w:hAnsi="黑体" w:eastAsia="黑体"/>
          <w:sz w:val="32"/>
        </w:rPr>
        <w:t>十二、其他需说明的事项</w:t>
      </w:r>
    </w:p>
    <w:p w14:paraId="6CA647E6">
      <w:pPr>
        <w:spacing w:line="580" w:lineRule="exact"/>
        <w:ind w:firstLine="640"/>
        <w:jc w:val="both"/>
      </w:pPr>
      <w:r>
        <w:rPr>
          <w:rFonts w:ascii="仿宋_GB2312" w:hAnsi="仿宋_GB2312" w:eastAsia="仿宋_GB2312"/>
          <w:b w:val="0"/>
          <w:sz w:val="32"/>
        </w:rPr>
        <w:t>本单位无其他需说明的事项。</w:t>
      </w:r>
    </w:p>
    <w:p w14:paraId="6FEC0AF9">
      <w:r>
        <w:br w:type="page"/>
      </w:r>
    </w:p>
    <w:p w14:paraId="2DCD5BC2">
      <w:pPr>
        <w:spacing w:line="240" w:lineRule="auto"/>
        <w:jc w:val="center"/>
        <w:outlineLvl w:val="1"/>
      </w:pPr>
      <w:r>
        <w:rPr>
          <w:rFonts w:ascii="黑体" w:hAnsi="黑体" w:eastAsia="黑体"/>
          <w:sz w:val="32"/>
        </w:rPr>
        <w:t>第三部分 专业名词解释</w:t>
      </w:r>
    </w:p>
    <w:p w14:paraId="1C2884F3">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9ABBE5D">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C2275AB">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645D67E">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2EC2D2B">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1F3A583">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217DAC1">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DBC0170">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5DD30E3">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0E34837">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1779AE2">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2B60F8B">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45955A7">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DB0DB2D">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832A6A7">
      <w:r>
        <w:br w:type="page"/>
      </w:r>
    </w:p>
    <w:p w14:paraId="6DC91D8C">
      <w:pPr>
        <w:spacing w:line="240" w:lineRule="auto"/>
        <w:jc w:val="center"/>
        <w:outlineLvl w:val="1"/>
      </w:pPr>
      <w:r>
        <w:rPr>
          <w:rFonts w:ascii="黑体" w:hAnsi="黑体" w:eastAsia="黑体"/>
          <w:sz w:val="32"/>
        </w:rPr>
        <w:t>第四部分 部门决算报表（见附表）</w:t>
      </w:r>
    </w:p>
    <w:p w14:paraId="44201D65">
      <w:pPr>
        <w:spacing w:line="240" w:lineRule="auto"/>
        <w:ind w:firstLine="640"/>
        <w:jc w:val="both"/>
      </w:pPr>
      <w:r>
        <w:rPr>
          <w:rFonts w:ascii="仿宋_GB2312" w:hAnsi="仿宋_GB2312" w:eastAsia="仿宋_GB2312"/>
          <w:b w:val="0"/>
          <w:sz w:val="32"/>
        </w:rPr>
        <w:t>一、《收入支出决算总表》</w:t>
      </w:r>
    </w:p>
    <w:p w14:paraId="23C3FBD6">
      <w:pPr>
        <w:spacing w:line="240" w:lineRule="auto"/>
        <w:ind w:firstLine="640"/>
        <w:jc w:val="both"/>
      </w:pPr>
      <w:r>
        <w:rPr>
          <w:rFonts w:ascii="仿宋_GB2312" w:hAnsi="仿宋_GB2312" w:eastAsia="仿宋_GB2312"/>
          <w:b w:val="0"/>
          <w:sz w:val="32"/>
        </w:rPr>
        <w:t>二、《收入决算表》</w:t>
      </w:r>
    </w:p>
    <w:p w14:paraId="760A21AB">
      <w:pPr>
        <w:spacing w:line="240" w:lineRule="auto"/>
        <w:ind w:firstLine="640"/>
        <w:jc w:val="both"/>
      </w:pPr>
      <w:r>
        <w:rPr>
          <w:rFonts w:ascii="仿宋_GB2312" w:hAnsi="仿宋_GB2312" w:eastAsia="仿宋_GB2312"/>
          <w:b w:val="0"/>
          <w:sz w:val="32"/>
        </w:rPr>
        <w:t>三、《支出决算表》</w:t>
      </w:r>
    </w:p>
    <w:p w14:paraId="2328366B">
      <w:pPr>
        <w:spacing w:line="240" w:lineRule="auto"/>
        <w:ind w:firstLine="640"/>
        <w:jc w:val="both"/>
      </w:pPr>
      <w:r>
        <w:rPr>
          <w:rFonts w:ascii="仿宋_GB2312" w:hAnsi="仿宋_GB2312" w:eastAsia="仿宋_GB2312"/>
          <w:b w:val="0"/>
          <w:sz w:val="32"/>
        </w:rPr>
        <w:t>四、《财政拨款收入支出决算总表》</w:t>
      </w:r>
    </w:p>
    <w:p w14:paraId="18559291">
      <w:pPr>
        <w:spacing w:line="240" w:lineRule="auto"/>
        <w:ind w:firstLine="640"/>
        <w:jc w:val="both"/>
      </w:pPr>
      <w:r>
        <w:rPr>
          <w:rFonts w:ascii="仿宋_GB2312" w:hAnsi="仿宋_GB2312" w:eastAsia="仿宋_GB2312"/>
          <w:b w:val="0"/>
          <w:sz w:val="32"/>
        </w:rPr>
        <w:t>五、《一般公共预算财政拨款支出决算表》</w:t>
      </w:r>
    </w:p>
    <w:p w14:paraId="75C6EEB3">
      <w:pPr>
        <w:spacing w:line="240" w:lineRule="auto"/>
        <w:ind w:firstLine="640"/>
        <w:jc w:val="both"/>
      </w:pPr>
      <w:r>
        <w:rPr>
          <w:rFonts w:ascii="仿宋_GB2312" w:hAnsi="仿宋_GB2312" w:eastAsia="仿宋_GB2312"/>
          <w:b w:val="0"/>
          <w:sz w:val="32"/>
        </w:rPr>
        <w:t>六、《一般公共预算财政拨款基本支出决算表》</w:t>
      </w:r>
    </w:p>
    <w:p w14:paraId="280F73AB">
      <w:pPr>
        <w:spacing w:line="240" w:lineRule="auto"/>
        <w:ind w:firstLine="640"/>
        <w:jc w:val="both"/>
      </w:pPr>
      <w:r>
        <w:rPr>
          <w:rFonts w:ascii="仿宋_GB2312" w:hAnsi="仿宋_GB2312" w:eastAsia="仿宋_GB2312"/>
          <w:b w:val="0"/>
          <w:sz w:val="32"/>
        </w:rPr>
        <w:t>七、《政府性基金预算财政拨款收入支出决算表》</w:t>
      </w:r>
    </w:p>
    <w:p w14:paraId="20DD2667">
      <w:pPr>
        <w:spacing w:line="240" w:lineRule="auto"/>
        <w:ind w:firstLine="640"/>
        <w:jc w:val="both"/>
      </w:pPr>
      <w:r>
        <w:rPr>
          <w:rFonts w:ascii="仿宋_GB2312" w:hAnsi="仿宋_GB2312" w:eastAsia="仿宋_GB2312"/>
          <w:b w:val="0"/>
          <w:sz w:val="32"/>
        </w:rPr>
        <w:t>八、《国有资本经营预算财政拨款收入支出决算表》</w:t>
      </w:r>
    </w:p>
    <w:p w14:paraId="52EE6AE7">
      <w:pPr>
        <w:spacing w:line="240" w:lineRule="auto"/>
        <w:ind w:firstLine="640"/>
        <w:jc w:val="both"/>
      </w:pPr>
      <w:r>
        <w:rPr>
          <w:rFonts w:ascii="仿宋_GB2312" w:hAnsi="仿宋_GB2312" w:eastAsia="仿宋_GB2312"/>
          <w:b w:val="0"/>
          <w:sz w:val="32"/>
        </w:rPr>
        <w:t>九、《财政拨款“三公”经费支出决算表》</w:t>
      </w:r>
    </w:p>
    <w:p w14:paraId="26D91571">
      <w:pPr>
        <w:spacing w:line="240" w:lineRule="auto"/>
        <w:ind w:firstLine="640"/>
        <w:jc w:val="both"/>
      </w:pPr>
    </w:p>
    <w:p w14:paraId="60A4A2BB">
      <w:pPr>
        <w:spacing w:line="240" w:lineRule="auto"/>
        <w:ind w:firstLine="640"/>
        <w:jc w:val="both"/>
      </w:pPr>
    </w:p>
    <w:p w14:paraId="58118682">
      <w:pPr>
        <w:spacing w:line="240" w:lineRule="auto"/>
        <w:ind w:firstLine="640"/>
        <w:jc w:val="both"/>
      </w:pPr>
    </w:p>
    <w:p w14:paraId="27360994">
      <w:pPr>
        <w:spacing w:line="240" w:lineRule="auto"/>
        <w:ind w:firstLine="640"/>
        <w:jc w:val="both"/>
      </w:pPr>
    </w:p>
    <w:p w14:paraId="167EC479">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746A0E5-D7F5-482B-9B0E-57D931402A4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F0E6934C-D83A-4422-88C7-B31FF2D10ABA}"/>
  </w:font>
  <w:font w:name="仿宋_GB2312">
    <w:altName w:val="仿宋"/>
    <w:panose1 w:val="02010609030101010101"/>
    <w:charset w:val="86"/>
    <w:family w:val="modern"/>
    <w:pitch w:val="default"/>
    <w:sig w:usb0="00000000" w:usb1="00000000" w:usb2="00000000" w:usb3="00000000" w:csb0="00040000" w:csb1="00000000"/>
    <w:embedRegular r:id="rId3" w:fontKey="{F5AB874B-A228-4147-AA13-A352C405F3B6}"/>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embedRegular r:id="rId4" w:fontKey="{65503C03-3C8A-44DE-9510-F6171A299E5D}"/>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6"/>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86A2416"/>
    <w:rsid w:val="795A0A34"/>
    <w:rsid w:val="79ED1221"/>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4731</Words>
  <Characters>5321</Characters>
  <Lines>0</Lines>
  <Paragraphs>0</Paragraphs>
  <TotalTime>2</TotalTime>
  <ScaleCrop>false</ScaleCrop>
  <LinksUpToDate>false</LinksUpToDate>
  <CharactersWithSpaces>5329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2025-09-15T08:38:34Z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