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中国共产党阿克陶县委员会党校（行政学校）2024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宣传马克思列宁主义、毛泽东思想、邓小平理论、“三个代表”重要思想、科学发展观、</w:t>
      </w:r>
      <w:r>
        <w:rPr>
          <w:rFonts w:hint="eastAsia" w:ascii="仿宋_GB2312" w:hAnsi="仿宋_GB2312" w:eastAsia="仿宋_GB2312"/>
          <w:sz w:val="32"/>
          <w:lang w:eastAsia="zh-CN"/>
        </w:rPr>
        <w:t>习近平新时代中国特色社会主义思想</w:t>
      </w:r>
      <w:r>
        <w:rPr>
          <w:rFonts w:ascii="仿宋_GB2312" w:hAnsi="仿宋_GB2312" w:eastAsia="仿宋_GB2312"/>
          <w:sz w:val="32"/>
        </w:rPr>
        <w:t>及最新理论成果。</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根据中央和自治区、自治州及阿克陶县委对干部队伍建设的要求，有计划地轮训和培训党政领导干部、公务员、国有企业领导人员、事业单位领导人员、年轻干部、理论宣传骨干、高层次人才、基层干部、党员，开展党校（行政学院）系统师资培训。</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学习、研究和宣传马克思主义基本理论和党的基本路线、方针、政策，重点抓好以中国</w:t>
      </w:r>
      <w:r>
        <w:rPr>
          <w:rFonts w:hint="eastAsia" w:ascii="仿宋_GB2312" w:hAnsi="仿宋_GB2312" w:eastAsia="仿宋_GB2312"/>
          <w:sz w:val="32"/>
          <w:lang w:eastAsia="zh-CN"/>
        </w:rPr>
        <w:t>特色社会主义思想</w:t>
      </w:r>
      <w:r>
        <w:rPr>
          <w:rFonts w:ascii="仿宋_GB2312" w:hAnsi="仿宋_GB2312" w:eastAsia="仿宋_GB2312"/>
          <w:sz w:val="32"/>
        </w:rPr>
        <w:t>体系为主课的理论教育和研究。</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围绕党的中心任务和国际国内出现的新情况、新问题以及</w:t>
      </w:r>
      <w:r>
        <w:rPr>
          <w:rFonts w:hint="eastAsia" w:ascii="仿宋_GB2312" w:hAnsi="仿宋_GB2312" w:eastAsia="仿宋_GB2312"/>
          <w:sz w:val="32"/>
          <w:lang w:eastAsia="zh-CN"/>
        </w:rPr>
        <w:t>县委、</w:t>
      </w:r>
      <w:bookmarkStart w:id="0" w:name="_GoBack"/>
      <w:bookmarkEnd w:id="0"/>
      <w:r>
        <w:rPr>
          <w:rFonts w:hint="eastAsia" w:ascii="仿宋_GB2312" w:hAnsi="仿宋_GB2312" w:eastAsia="仿宋_GB2312"/>
          <w:sz w:val="32"/>
          <w:lang w:eastAsia="zh-CN"/>
        </w:rPr>
        <w:t>政府</w:t>
      </w:r>
      <w:r>
        <w:rPr>
          <w:rFonts w:ascii="仿宋_GB2312" w:hAnsi="仿宋_GB2312" w:eastAsia="仿宋_GB2312"/>
          <w:sz w:val="32"/>
        </w:rPr>
        <w:t>的工作大局和中心工作，承办专题研讨班，开展重大理论和现实问题研究，承担县党委和政府决策咨询服务。</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配合组织</w:t>
      </w:r>
      <w:r>
        <w:rPr>
          <w:rFonts w:hint="eastAsia" w:ascii="仿宋_GB2312" w:hAnsi="仿宋_GB2312" w:eastAsia="仿宋_GB2312"/>
          <w:sz w:val="32"/>
          <w:lang w:eastAsia="zh-CN"/>
        </w:rPr>
        <w:t>人力资源和社会保障部</w:t>
      </w:r>
      <w:r>
        <w:rPr>
          <w:rFonts w:ascii="仿宋_GB2312" w:hAnsi="仿宋_GB2312" w:eastAsia="仿宋_GB2312"/>
          <w:sz w:val="32"/>
        </w:rPr>
        <w:t>门对学员在校学习期间的表现进行考核、考察，并根据干部的政治理论素质和工作能力提出使用建议。严格规范教学管理，加强学员党性教育。</w:t>
      </w:r>
    </w:p>
    <w:p>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参与县党委关于党校（行政学院）工作政策以及干部培训计划的制定工作，示范、指导和推动基层党校建设。</w:t>
      </w:r>
    </w:p>
    <w:p>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完成中央、自治区、自治州党校和阿克陶县委交办的其他任务。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中国共产党阿克陶县委员会党校（行政学校）2024年度，实有人数32人，其中：在职人员20人，增加1人；离休人员0人，增加0人；退休人员12人</w:t>
      </w:r>
      <w:r>
        <w:rPr>
          <w:rFonts w:hint="eastAsia" w:ascii="仿宋_GB2312" w:hAnsi="仿宋_GB2312" w:eastAsia="仿宋_GB2312"/>
          <w:sz w:val="32"/>
          <w:lang w:eastAsia="zh-CN"/>
        </w:rPr>
        <w:t>，</w:t>
      </w:r>
      <w:r>
        <w:rPr>
          <w:rFonts w:ascii="仿宋_GB2312" w:hAnsi="仿宋_GB2312" w:eastAsia="仿宋_GB2312"/>
          <w:sz w:val="32"/>
        </w:rPr>
        <w:t>增加2人。</w:t>
      </w:r>
    </w:p>
    <w:p>
      <w:pPr>
        <w:spacing w:line="580" w:lineRule="exact"/>
        <w:ind w:firstLine="640"/>
        <w:jc w:val="both"/>
      </w:pPr>
      <w:r>
        <w:rPr>
          <w:rFonts w:ascii="仿宋_GB2312" w:hAnsi="仿宋_GB2312" w:eastAsia="仿宋_GB2312"/>
          <w:sz w:val="32"/>
        </w:rPr>
        <w:t>中国共产党阿克陶县委员会党校（行政学校）无下属预算单位，下设7个科室，分别是：常务副校长办公室、副校长办公室、办公室、教务室、教研室、档案室、财务室。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2024年度收入总计705.93万元，</w:t>
      </w:r>
      <w:r>
        <w:rPr>
          <w:rFonts w:ascii="仿宋_GB2312" w:hAnsi="仿宋_GB2312" w:eastAsia="仿宋_GB2312"/>
          <w:b w:val="0"/>
          <w:sz w:val="32"/>
        </w:rPr>
        <w:t>其中：本年收入合计693.63万元，使用非财政拨款结余（含专用结余）0.00万元，年初结转和结余12.30万元。</w:t>
      </w:r>
    </w:p>
    <w:p>
      <w:pPr>
        <w:spacing w:line="580" w:lineRule="exact"/>
        <w:ind w:firstLine="640"/>
        <w:jc w:val="both"/>
      </w:pPr>
      <w:r>
        <w:rPr>
          <w:rFonts w:ascii="仿宋_GB2312" w:hAnsi="仿宋_GB2312" w:eastAsia="仿宋_GB2312"/>
          <w:b/>
          <w:sz w:val="32"/>
        </w:rPr>
        <w:t>2024年度支出总计705.93万元，</w:t>
      </w:r>
      <w:r>
        <w:rPr>
          <w:rFonts w:ascii="仿宋_GB2312" w:hAnsi="仿宋_GB2312" w:eastAsia="仿宋_GB2312"/>
          <w:b w:val="0"/>
          <w:sz w:val="32"/>
        </w:rPr>
        <w:t>其中：本年支出合计686.21万元，结余分配0.00万元，年末结转和结余19.72万元。</w:t>
      </w:r>
    </w:p>
    <w:p>
      <w:pPr>
        <w:spacing w:line="580" w:lineRule="exact"/>
        <w:ind w:firstLine="640"/>
        <w:jc w:val="both"/>
      </w:pPr>
      <w:r>
        <w:rPr>
          <w:rFonts w:ascii="仿宋_GB2312" w:hAnsi="仿宋_GB2312" w:eastAsia="仿宋_GB2312"/>
          <w:b w:val="0"/>
          <w:sz w:val="32"/>
        </w:rPr>
        <w:t>收入支出总体与上年相比，增加179.64万元，增长34.13%，主要原因是：本年增加干部人才保障项目。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本年收入693.63万元，</w:t>
      </w:r>
      <w:r>
        <w:rPr>
          <w:rFonts w:ascii="仿宋_GB2312" w:hAnsi="仿宋_GB2312" w:eastAsia="仿宋_GB2312"/>
          <w:b w:val="0"/>
          <w:sz w:val="32"/>
        </w:rPr>
        <w:t>其中：财政拨款收入469.26万元，占67.65%；上级补助收入0.00万元，占0.00%；事业收入0.00万元，占0.00%；经营收入0.00万元，占0.00%；附属单位上缴收入0.00万元，占0.00%；其他收入224.37万元，占32.35%。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本年支出686.21万元，</w:t>
      </w:r>
      <w:r>
        <w:rPr>
          <w:rFonts w:ascii="仿宋_GB2312" w:hAnsi="仿宋_GB2312" w:eastAsia="仿宋_GB2312"/>
          <w:b w:val="0"/>
          <w:sz w:val="32"/>
        </w:rPr>
        <w:t>其中：基本支出451.94万元，占65.86%；项目支出234.27万元，占34.14%；上缴上级支出0.00万元，占0.00%；经营支出0.00万元，占0.00%；对附属单位补助支出0.00万元，占0.00%。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2024年度财政拨款收入总计469.26万元，</w:t>
      </w:r>
      <w:r>
        <w:rPr>
          <w:rFonts w:ascii="仿宋_GB2312" w:hAnsi="仿宋_GB2312" w:eastAsia="仿宋_GB2312"/>
          <w:b w:val="0"/>
          <w:sz w:val="32"/>
        </w:rPr>
        <w:t>其中：年初财政拨款结转和结余0.00万元，本年财政拨款收入469.26万元。</w:t>
      </w:r>
      <w:r>
        <w:rPr>
          <w:rFonts w:ascii="仿宋_GB2312" w:hAnsi="仿宋_GB2312" w:eastAsia="仿宋_GB2312"/>
          <w:b/>
          <w:sz w:val="32"/>
        </w:rPr>
        <w:t>财政拨款支出总计469.26万元，</w:t>
      </w:r>
      <w:r>
        <w:rPr>
          <w:rFonts w:ascii="仿宋_GB2312" w:hAnsi="仿宋_GB2312" w:eastAsia="仿宋_GB2312"/>
          <w:b w:val="0"/>
          <w:sz w:val="32"/>
        </w:rPr>
        <w:t>其中：年末财政拨款结转和结余0.00万元，本年财政拨款支出469.26万元。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减少29.04万元，下降5.83%，主要原因是：本年存在调入人员，退休人员，人员职级不同，基数不同，导致人员经费减少。</w:t>
      </w:r>
      <w:r>
        <w:rPr>
          <w:rFonts w:ascii="仿宋_GB2312" w:hAnsi="仿宋_GB2312" w:eastAsia="仿宋_GB2312"/>
          <w:b/>
          <w:sz w:val="32"/>
        </w:rPr>
        <w:t>与年初预算相比，</w:t>
      </w:r>
      <w:r>
        <w:rPr>
          <w:rFonts w:ascii="仿宋_GB2312" w:hAnsi="仿宋_GB2312" w:eastAsia="仿宋_GB2312"/>
          <w:b w:val="0"/>
          <w:sz w:val="32"/>
        </w:rPr>
        <w:t>年初预算数463.99万元，决算数469.26万元，预决算差异率1.14%，主要原因是：年中追加人员工资、社保、公积金基数调增部分资金，导致预决算存在差异。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2024年度一般公共预算财政拨款支出469.26万元，</w:t>
      </w:r>
      <w:r>
        <w:rPr>
          <w:rFonts w:ascii="仿宋_GB2312" w:hAnsi="仿宋_GB2312" w:eastAsia="仿宋_GB2312"/>
          <w:b w:val="0"/>
          <w:sz w:val="32"/>
        </w:rPr>
        <w:t>占本年支出合计的68.38%。</w:t>
      </w:r>
      <w:r>
        <w:rPr>
          <w:rFonts w:ascii="仿宋_GB2312" w:hAnsi="仿宋_GB2312" w:eastAsia="仿宋_GB2312"/>
          <w:b/>
          <w:sz w:val="32"/>
        </w:rPr>
        <w:t>与上年相比，</w:t>
      </w:r>
      <w:r>
        <w:rPr>
          <w:rFonts w:ascii="仿宋_GB2312" w:hAnsi="仿宋_GB2312" w:eastAsia="仿宋_GB2312"/>
          <w:b w:val="0"/>
          <w:sz w:val="32"/>
        </w:rPr>
        <w:t>减少29.04万元，下降5.83%，主要原因是：本年存在调入人员，退休人员，人员职级不同，基数不同，导致人员经费减少。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年初预算数463.99万元，决算数469.26万元，预决算差异率1.14%，主要原因是：年中追加人员工资、社保、公积金基数调增部分资金，导致预决算存在差异。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1.教育支出(类)469.26万元</w:t>
      </w:r>
      <w:r>
        <w:rPr>
          <w:rFonts w:hint="eastAsia" w:ascii="仿宋_GB2312" w:hAnsi="仿宋_GB2312" w:eastAsia="仿宋_GB2312"/>
          <w:b w:val="0"/>
          <w:sz w:val="32"/>
          <w:lang w:eastAsia="zh-CN"/>
        </w:rPr>
        <w:t>，</w:t>
      </w:r>
      <w:r>
        <w:rPr>
          <w:rFonts w:ascii="仿宋_GB2312" w:hAnsi="仿宋_GB2312" w:eastAsia="仿宋_GB2312"/>
          <w:b w:val="0"/>
          <w:sz w:val="32"/>
        </w:rPr>
        <w:t>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1.教育支出(类)进修及培训(款)干部教育(项):支出决算数为469.26万元，比上年决算增加23.80万元，增长5.34%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主要原因是：本年科目调整，养老保险，职业年金上年单独列支，本年调整至主款项，导致经费增加。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2.社会保障和就业支出(类)行政事业单位养老支出(款)机关事业单位基本养老保险缴费支出(项):支出决算数为0.00万元，比上年决算减少39.76万元，下降100.00%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主要原因是：本年功能科目调整，养老保险缴费上年度单独列支，本年调整至主科目列支，导致经费较上年减少。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3.社会保障和就业支出(类)行政事业单位养老支出(款)机关事业单位职业年金缴费支出(项):支出决算数为0.00万元，比上年决算减少13.09万元，下降100.00%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主要原因是：本年功能科目调整，机关事业单位职业年金缴费支出上年度单独列支，本年调整至主科目列支，导致经费较上年减少。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2024年度一般公共预算财政拨款基本支出451.94万元，其中：</w:t>
      </w:r>
      <w:r>
        <w:rPr>
          <w:rFonts w:ascii="仿宋_GB2312" w:hAnsi="仿宋_GB2312" w:eastAsia="仿宋_GB2312"/>
          <w:b/>
          <w:sz w:val="32"/>
        </w:rPr>
        <w:t>人员经费441.65万元，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公用经费10.29万元，</w:t>
      </w:r>
      <w:r>
        <w:rPr>
          <w:rFonts w:ascii="仿宋_GB2312" w:hAnsi="仿宋_GB2312" w:eastAsia="仿宋_GB2312"/>
          <w:b w:val="0"/>
          <w:sz w:val="32"/>
        </w:rPr>
        <w:t>包括：办公费、邮电费、取暖费、维修（护）费。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2024年度中国共产党阿克陶县委员会党校（行政学校）（行政单位和参照公务员法管理事业单位）机关运行经费支出10.29万元，比上年增加1.98万元，增长23.83%，主要原因是：本年增加办公经费。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2024年度政府采购支出总额0.54万元，其中：政府采购货物支出0.54万元、政府采购工程支出0.00万元、政府采购服务支出0.00万元。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授予中小企业合同金额0.29万元，占政府采购支出总额的53.70%，其中：授予小微企业合同金额0.27万元，占政府采购支出总额的50.00%。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7,778.50平方米，价值600.00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705.93万元，实际执行总额686.21万元；预算绩效评价项目2个，全年预算数22.00万元，全年执行数17.32万元。预算绩效管理取得的成效：一是资金使用效益提升：严格把控资金流向，确保每一笔预算都精准投入到关键项目中。通过科学的预算编制和严格的执行监控，实现了预算执行进度与项目推进的高度匹配。二是预算绩效管理为教学科研提供了坚实的资金保障，有力推动了党校在教学内容创新和科研成果转化上不断突破。在教学方面，党校积极开发特色课程，不断丰富教学内容，优化课程体系。发现的问题及原因：一是部分业务部门需增强绩效管理主体责任意识，全面系统地认识绩效管理在优化资源配置中的战略导向作用。部分工作人员预算绩效管理实践经验不足，需深化落实全过程绩效管理闭环运行机制。二是绩效指标体系的科学性、可量化性、关联性仍有改进空间。预算管理精细化水平有待提高，预算编制在战略性、前瞻性、精准性方面还需持续优化提升。下一步改进措施：一是强化绩效目标刚性约束。严格规范目标申报审核程序，建立分级分类指标体系框架，重点突出核心业务实绩考核，实施差异化评价标准。二是深化专业能力体系建设。组织分层分类绩效管理实务培训，建立业务骨干定点联系机制，完善绩效指标动态优化机制，推动管理标准迭代升级。是健全双轮驱动监管机制。实施</w:t>
      </w:r>
      <w:r>
        <w:rPr>
          <w:rFonts w:hint="eastAsia" w:ascii="仿宋_GB2312" w:hAnsi="仿宋_GB2312" w:eastAsia="仿宋_GB2312"/>
          <w:b w:val="0"/>
          <w:sz w:val="32"/>
          <w:lang w:eastAsia="zh-CN"/>
        </w:rPr>
        <w:t>“</w:t>
      </w:r>
      <w:r>
        <w:rPr>
          <w:rFonts w:ascii="仿宋_GB2312" w:hAnsi="仿宋_GB2312" w:eastAsia="仿宋_GB2312"/>
          <w:b w:val="0"/>
          <w:sz w:val="32"/>
        </w:rPr>
        <w:t>专业力量+信息化</w:t>
      </w:r>
      <w:r>
        <w:rPr>
          <w:rFonts w:hint="eastAsia" w:ascii="仿宋_GB2312" w:hAnsi="仿宋_GB2312" w:eastAsia="仿宋_GB2312"/>
          <w:b w:val="0"/>
          <w:sz w:val="32"/>
          <w:lang w:eastAsia="zh-CN"/>
        </w:rPr>
        <w:t>”</w:t>
      </w:r>
      <w:r>
        <w:rPr>
          <w:rFonts w:ascii="仿宋_GB2312" w:hAnsi="仿宋_GB2312" w:eastAsia="仿宋_GB2312"/>
          <w:b w:val="0"/>
          <w:sz w:val="32"/>
        </w:rPr>
        <w:t>双轨并进策略，建立预算执行实时预警系统，落实专人专岗动态监控，确保绩效目标与预算执行同频共振。具体附整体支出绩效自评表，项目支出绩效自评表和评价报告。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中国共产党阿克陶县委员会党校（行政学校）</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461.99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705.93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686.21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461.99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705.93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686.21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确保单位人员工资按时足额发放，提高在职干部工作热情；确保日常工作正常开展和各级党员干部的培训工作如期召开。通过培训各级党员领导干部的党性得到锻炼，为全县培养政治过硬、业务过硬的</w:t>
            </w:r>
            <w:r>
              <w:rPr>
                <w:rFonts w:hint="eastAsia" w:ascii="宋体" w:hAnsi="宋体"/>
                <w:sz w:val="16"/>
                <w:lang w:eastAsia="zh-CN"/>
              </w:rPr>
              <w:t>高素质干部队伍</w:t>
            </w:r>
            <w:r>
              <w:rPr>
                <w:rFonts w:ascii="宋体" w:hAnsi="宋体" w:eastAsia="宋体"/>
                <w:sz w:val="16"/>
              </w:rPr>
              <w:t>。</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确保了单位人员工资按时足额发放，提高在职干部工作热情；培训5次，培训29天，培训1062人，确保日常工作正常开展和各级党员干部的培训工作如期召开。通过培训各级党员领导干部的党性得到锻炼，为全县培养政治过硬、业务过硬的</w:t>
            </w:r>
            <w:r>
              <w:rPr>
                <w:rFonts w:hint="eastAsia" w:ascii="宋体" w:hAnsi="宋体"/>
                <w:sz w:val="16"/>
                <w:lang w:eastAsia="zh-CN"/>
              </w:rPr>
              <w:t>高素质干部队伍</w:t>
            </w:r>
            <w:r>
              <w:rPr>
                <w:rFonts w:ascii="宋体" w:hAnsi="宋体" w:eastAsia="宋体"/>
                <w:sz w:val="16"/>
              </w:rPr>
              <w:t>。一般财政拨款执行数为469.26万元(其中：人员经费441.65万元，公用经费10.29万元，项目经费党员教育培训经费15.99万元，第一书记为民办实事经费1.33万元。）</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培训天数（天）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人员经费（万元）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&lt;=426.59万元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441.65万元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公用经费和项目经费成本（万元）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244.56万元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提升干部党性素养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培训学员测试合格率（%）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保障工作需要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可持续发展能力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可持续影响指标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提高在职干部工作热情</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在职、退休干部满意度（%）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r>
    </w:tbl>
    <w:p>
      <w:r>
        <w:br w:type="page"/>
      </w:r>
    </w:p>
    <w:tbl>
      <w:tblPr>
        <w:tblStyle w:val="10"/>
        <w:tblW w:w="9060" w:type="dxa"/>
        <w:tblInd w:w="0" w:type="dxa"/>
        <w:tblLayout w:type="fixed"/>
        <w:tblCellMar>
          <w:top w:w="0" w:type="dxa"/>
          <w:left w:w="108" w:type="dxa"/>
          <w:bottom w:w="0" w:type="dxa"/>
          <w:right w:w="108" w:type="dxa"/>
        </w:tblCellMar>
      </w:tblPr>
      <w:tblGrid>
        <w:gridCol w:w="630"/>
        <w:gridCol w:w="625"/>
        <w:gridCol w:w="625"/>
        <w:gridCol w:w="696"/>
        <w:gridCol w:w="632"/>
        <w:gridCol w:w="625"/>
        <w:gridCol w:w="696"/>
        <w:gridCol w:w="627"/>
        <w:gridCol w:w="625"/>
        <w:gridCol w:w="625"/>
        <w:gridCol w:w="776"/>
        <w:gridCol w:w="630"/>
        <w:gridCol w:w="617"/>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2024年党员教育培训经费（县级）</w:t>
            </w:r>
          </w:p>
        </w:tc>
      </w:tr>
      <w:tr>
        <w:tblPrEx>
          <w:tblLayout w:type="fixed"/>
          <w:tblCellMar>
            <w:top w:w="0" w:type="dxa"/>
            <w:left w:w="108" w:type="dxa"/>
            <w:bottom w:w="0" w:type="dxa"/>
            <w:right w:w="108" w:type="dxa"/>
          </w:tblCellMar>
        </w:tblPrEx>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中国共产党阿克陶县委员会党校(行政学校）</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7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中国共产党阿克陶县委员会党校(行政学校）</w:t>
            </w:r>
          </w:p>
        </w:tc>
      </w:tr>
      <w:tr>
        <w:tblPrEx>
          <w:tblLayout w:type="fixed"/>
          <w:tblCellMar>
            <w:top w:w="0" w:type="dxa"/>
            <w:left w:w="108" w:type="dxa"/>
            <w:bottom w:w="0" w:type="dxa"/>
            <w:right w:w="108" w:type="dxa"/>
          </w:tblCellMar>
        </w:tblPrEx>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15.99</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5.00分</w:t>
            </w: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15.99</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2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预计今年要举办培训班达到700人，15场，300天。该项目经费用于党校日常运转所产生的一切费用，保障各项工作正常开展。</w:t>
            </w:r>
          </w:p>
        </w:tc>
        <w:tc>
          <w:tcPr>
            <w:tcW w:w="39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今年举办培训班达到709人，14场，309天。该项目经费用于党校日常运转所产生的一切费用，保障了各项工作正常开展。</w:t>
            </w:r>
          </w:p>
        </w:tc>
      </w:tr>
      <w:tr>
        <w:tblPrEx>
          <w:tblLayout w:type="fixed"/>
          <w:tblCellMar>
            <w:top w:w="0" w:type="dxa"/>
            <w:left w:w="108" w:type="dxa"/>
            <w:bottom w:w="0" w:type="dxa"/>
            <w:right w:w="108" w:type="dxa"/>
          </w:tblCellMar>
        </w:tblPrEx>
        <w:tc>
          <w:tcPr>
            <w:tcW w:w="630"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参加培训人次（人次）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&gt;=700人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=1000人</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=709人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培训人数增加</w:t>
            </w: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培训场次(场）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=15场</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相同培训班次进行合并</w:t>
            </w: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培训天数（天）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&gt;=300天</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=20天</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=309天</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任务指标完成率（%）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政采云系统与预算系统关联不成功，指标不能用</w:t>
            </w: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=20.79万元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=15.99万元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政采云系统与预算系统关联不成功，指标不能用</w:t>
            </w: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保障工作需要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提高干部工作热情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2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2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85分</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2024年第一书记为民办实事经费（县级）</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中国共产党阿克陶县委员会党校(行政学校）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中国共产党阿克陶县委员会党校(行政学校）</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通过该项目的实施，组织活动至少2次，为民采购5次，拉近与居民之间的联系，加深友谊增进感情，达到为民办实事，提升干群关系的效果。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通过该项目的实施，组织活动2次，为民采购4次，</w:t>
            </w:r>
            <w:r>
              <w:rPr>
                <w:rFonts w:hint="eastAsia" w:ascii="宋体" w:hAnsi="宋体"/>
                <w:sz w:val="16"/>
                <w:lang w:eastAsia="zh-CN"/>
              </w:rPr>
              <w:t>拉近</w:t>
            </w:r>
            <w:r>
              <w:rPr>
                <w:rFonts w:ascii="宋体" w:hAnsi="宋体" w:eastAsia="宋体"/>
                <w:sz w:val="16"/>
              </w:rPr>
              <w:t>了与居民之间的联系，加深了友谊增进感情，达到为民办实事，提升干群关系的效果。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开展慰问活动次数（次）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为民政府采购次数（次）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因</w:t>
            </w:r>
            <w:r>
              <w:rPr>
                <w:rFonts w:ascii="宋体" w:hAnsi="宋体" w:eastAsia="宋体"/>
                <w:sz w:val="16"/>
              </w:rPr>
              <w:t>与商家协调不及时，导致一次采购未能落实</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与其他部门的合作存在协调不畅，导致一些计划活动未能实施</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为民办实事</w:t>
            </w:r>
            <w:r>
              <w:rPr>
                <w:rFonts w:ascii="宋体" w:hAnsi="宋体" w:eastAsia="宋体"/>
                <w:sz w:val="16"/>
              </w:rPr>
              <w:t>工作队经费总额（万元）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与其他部门的合作存在协调不畅，导致一些计划活动未能实施</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213D24"/>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2C17E6"/>
    <w:rsid w:val="6E801ABC"/>
    <w:rsid w:val="71473612"/>
    <w:rsid w:val="718F7F65"/>
    <w:rsid w:val="73423603"/>
    <w:rsid w:val="737A5923"/>
    <w:rsid w:val="73DE4104"/>
    <w:rsid w:val="73EB7D00"/>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4544</Words>
  <Characters>5102</Characters>
  <Lines>0</Lines>
  <Paragraphs>0</Paragraphs>
  <TotalTime>3</TotalTime>
  <ScaleCrop>false</ScaleCrop>
  <LinksUpToDate>false</LinksUpToDate>
  <CharactersWithSpaces>5110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1111</cp:lastModifiedBy>
  <cp:lastPrinted>2024-07-22T11:58:00Z</cp:lastPrinted>
  <dcterms:modified xsi:type="dcterms:W3CDTF">2025-09-25T08:22:25Z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