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A7DCD3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中共阿克陶县委员会政法委员会2024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835BEEE">
      <w:r>
        <w:br w:type="page"/>
      </w:r>
    </w:p>
    <w:p w14:paraId="717D3899">
      <w:pPr>
        <w:spacing w:line="640" w:lineRule="exact"/>
        <w:jc w:val="center"/>
        <w:outlineLvl w:val="1"/>
      </w:pPr>
      <w:r>
        <w:rPr>
          <w:rFonts w:ascii="黑体" w:hAnsi="黑体" w:eastAsia="黑体"/>
          <w:sz w:val="32"/>
        </w:rPr>
        <w:t>第一部分 单位概况</w:t>
      </w:r>
    </w:p>
    <w:p w14:paraId="397ABEB3">
      <w:pPr>
        <w:spacing w:line="640" w:lineRule="exact"/>
        <w:ind w:firstLine="640"/>
        <w:jc w:val="both"/>
        <w:outlineLvl w:val="2"/>
      </w:pPr>
      <w:r>
        <w:rPr>
          <w:rFonts w:ascii="黑体" w:hAnsi="黑体" w:eastAsia="黑体"/>
          <w:sz w:val="32"/>
        </w:rPr>
        <w:t>一、主要职能</w:t>
      </w:r>
    </w:p>
    <w:p w14:paraId="7E78B9F9">
      <w:pPr>
        <w:spacing w:line="580" w:lineRule="exact"/>
        <w:ind w:firstLine="640"/>
        <w:jc w:val="both"/>
      </w:pPr>
      <w:r>
        <w:rPr>
          <w:rFonts w:ascii="仿宋_GB2312" w:hAnsi="仿宋_GB2312" w:eastAsia="仿宋_GB2312"/>
          <w:sz w:val="32"/>
        </w:rPr>
        <w:t>本单位主要职能SM不予公开。</w:t>
      </w:r>
    </w:p>
    <w:p w14:paraId="031F92A9">
      <w:pPr>
        <w:spacing w:line="640" w:lineRule="exact"/>
        <w:ind w:firstLine="640"/>
        <w:jc w:val="both"/>
        <w:outlineLvl w:val="2"/>
      </w:pPr>
      <w:r>
        <w:rPr>
          <w:rFonts w:ascii="黑体" w:hAnsi="黑体" w:eastAsia="黑体"/>
          <w:sz w:val="32"/>
        </w:rPr>
        <w:t>二、机构设置及人员情况</w:t>
      </w:r>
    </w:p>
    <w:p w14:paraId="4519D7AA">
      <w:pPr>
        <w:spacing w:line="580" w:lineRule="exact"/>
        <w:ind w:firstLine="640"/>
        <w:jc w:val="both"/>
      </w:pPr>
      <w:r>
        <w:rPr>
          <w:rFonts w:ascii="仿宋_GB2312" w:hAnsi="仿宋_GB2312" w:eastAsia="仿宋_GB2312"/>
          <w:sz w:val="32"/>
        </w:rPr>
        <w:t>本单位机构设置及人员情况SM不予公开</w:t>
      </w:r>
      <w:bookmarkStart w:id="0" w:name="_GoBack"/>
      <w:bookmarkEnd w:id="0"/>
      <w:r>
        <w:rPr>
          <w:rFonts w:ascii="仿宋_GB2312" w:hAnsi="仿宋_GB2312" w:eastAsia="仿宋_GB2312"/>
          <w:sz w:val="32"/>
        </w:rPr>
        <w:t>。</w:t>
      </w:r>
    </w:p>
    <w:p w14:paraId="1385DABF">
      <w:r>
        <w:br w:type="page"/>
      </w:r>
    </w:p>
    <w:p w14:paraId="6BE3F1D6">
      <w:pPr>
        <w:spacing w:line="240" w:lineRule="auto"/>
        <w:jc w:val="center"/>
        <w:outlineLvl w:val="1"/>
      </w:pPr>
      <w:r>
        <w:rPr>
          <w:rFonts w:ascii="黑体" w:hAnsi="黑体" w:eastAsia="黑体"/>
          <w:sz w:val="32"/>
        </w:rPr>
        <w:t>第二部分 部门决算情况说明</w:t>
      </w:r>
    </w:p>
    <w:p w14:paraId="7303487E">
      <w:pPr>
        <w:spacing w:line="640" w:lineRule="exact"/>
        <w:ind w:firstLine="640"/>
        <w:jc w:val="both"/>
        <w:outlineLvl w:val="2"/>
      </w:pPr>
      <w:r>
        <w:rPr>
          <w:rFonts w:ascii="黑体" w:hAnsi="黑体" w:eastAsia="黑体"/>
          <w:sz w:val="32"/>
        </w:rPr>
        <w:t>一、收入支出决算总体情况说明</w:t>
      </w:r>
    </w:p>
    <w:p w14:paraId="4C1417BE">
      <w:pPr>
        <w:spacing w:line="580" w:lineRule="exact"/>
        <w:ind w:firstLine="640"/>
        <w:jc w:val="both"/>
      </w:pPr>
      <w:r>
        <w:rPr>
          <w:rFonts w:ascii="仿宋_GB2312" w:hAnsi="仿宋_GB2312" w:eastAsia="仿宋_GB2312"/>
          <w:b/>
          <w:sz w:val="32"/>
        </w:rPr>
        <w:t>2024年度收入总计21,104.49万元，</w:t>
      </w:r>
      <w:r>
        <w:rPr>
          <w:rFonts w:ascii="仿宋_GB2312" w:hAnsi="仿宋_GB2312" w:eastAsia="仿宋_GB2312"/>
          <w:b w:val="0"/>
          <w:sz w:val="32"/>
        </w:rPr>
        <w:t>其中：本年收入合计20,677.67万元，使用非财政拨款结余（含专用结余）0.00万元，年初结转和结余426.82万元。</w:t>
      </w:r>
    </w:p>
    <w:p w14:paraId="05B2637A">
      <w:pPr>
        <w:spacing w:line="580" w:lineRule="exact"/>
        <w:ind w:firstLine="640"/>
        <w:jc w:val="both"/>
      </w:pPr>
      <w:r>
        <w:rPr>
          <w:rFonts w:ascii="仿宋_GB2312" w:hAnsi="仿宋_GB2312" w:eastAsia="仿宋_GB2312"/>
          <w:b/>
          <w:sz w:val="32"/>
        </w:rPr>
        <w:t>2024年度支出总计21,104.49万元，</w:t>
      </w:r>
      <w:r>
        <w:rPr>
          <w:rFonts w:ascii="仿宋_GB2312" w:hAnsi="仿宋_GB2312" w:eastAsia="仿宋_GB2312"/>
          <w:b w:val="0"/>
          <w:sz w:val="32"/>
        </w:rPr>
        <w:t>其中：本年支出合计20,921.32万元，结余分配0.00万元，年末结转和结余183.17万元。</w:t>
      </w:r>
    </w:p>
    <w:p w14:paraId="740576BD">
      <w:pPr>
        <w:spacing w:line="580" w:lineRule="exact"/>
        <w:ind w:firstLine="640"/>
        <w:jc w:val="both"/>
      </w:pPr>
      <w:r>
        <w:rPr>
          <w:rFonts w:ascii="仿宋_GB2312" w:hAnsi="仿宋_GB2312" w:eastAsia="仿宋_GB2312"/>
          <w:b w:val="0"/>
          <w:sz w:val="32"/>
        </w:rPr>
        <w:t>收入支出总体与上年相比，减少3,610.40万元，下降14.61%，主要原因是：本年减少基层组织建设补助，信息化建设项目资金，执勤房、路维护费。</w:t>
      </w:r>
    </w:p>
    <w:p w14:paraId="0E8C0FCF">
      <w:pPr>
        <w:spacing w:line="640" w:lineRule="exact"/>
        <w:ind w:firstLine="640"/>
        <w:jc w:val="both"/>
        <w:outlineLvl w:val="2"/>
      </w:pPr>
      <w:r>
        <w:rPr>
          <w:rFonts w:ascii="黑体" w:hAnsi="黑体" w:eastAsia="黑体"/>
          <w:sz w:val="32"/>
        </w:rPr>
        <w:t>二、收入决算情况说明</w:t>
      </w:r>
    </w:p>
    <w:p w14:paraId="799D7094">
      <w:pPr>
        <w:spacing w:line="580" w:lineRule="exact"/>
        <w:ind w:firstLine="640"/>
        <w:jc w:val="both"/>
      </w:pPr>
      <w:r>
        <w:rPr>
          <w:rFonts w:ascii="仿宋_GB2312" w:hAnsi="仿宋_GB2312" w:eastAsia="仿宋_GB2312"/>
          <w:b/>
          <w:sz w:val="32"/>
        </w:rPr>
        <w:t>本年收入20,677.67万元，</w:t>
      </w:r>
      <w:r>
        <w:rPr>
          <w:rFonts w:ascii="仿宋_GB2312" w:hAnsi="仿宋_GB2312" w:eastAsia="仿宋_GB2312"/>
          <w:b w:val="0"/>
          <w:sz w:val="32"/>
        </w:rPr>
        <w:t>其中：财政拨款收入20,543.93万元，占99.35%；上级补助收入0.00万元，占0.00%；事业收入0.00万元，占0.00%；经营收入0.00万元，占0.00%；附属单位上缴收入0.00万元，占0.00%；其他收入133.74万元，占0.65%。</w:t>
      </w:r>
    </w:p>
    <w:p w14:paraId="378FC1AF">
      <w:pPr>
        <w:spacing w:line="640" w:lineRule="exact"/>
        <w:ind w:firstLine="640"/>
        <w:jc w:val="both"/>
        <w:outlineLvl w:val="2"/>
      </w:pPr>
      <w:r>
        <w:rPr>
          <w:rFonts w:ascii="黑体" w:hAnsi="黑体" w:eastAsia="黑体"/>
          <w:sz w:val="32"/>
        </w:rPr>
        <w:t>三、支出决算情况说明</w:t>
      </w:r>
    </w:p>
    <w:p w14:paraId="2263DC2B">
      <w:pPr>
        <w:spacing w:line="580" w:lineRule="exact"/>
        <w:ind w:firstLine="640"/>
        <w:jc w:val="both"/>
      </w:pPr>
      <w:r>
        <w:rPr>
          <w:rFonts w:ascii="仿宋_GB2312" w:hAnsi="仿宋_GB2312" w:eastAsia="仿宋_GB2312"/>
          <w:b/>
          <w:sz w:val="32"/>
        </w:rPr>
        <w:t>本年支出20,921.32万元，</w:t>
      </w:r>
      <w:r>
        <w:rPr>
          <w:rFonts w:ascii="仿宋_GB2312" w:hAnsi="仿宋_GB2312" w:eastAsia="仿宋_GB2312"/>
          <w:b w:val="0"/>
          <w:sz w:val="32"/>
        </w:rPr>
        <w:t>其中：基本支出1,655.70万元，占7.91%；项目支出19,265.62万元，占92.09%；上缴上级支出0.00万元，占0.00%；经营支出0.00万元，占0.00%；对附属单位补助支出0.00万元，占0.00%。</w:t>
      </w:r>
    </w:p>
    <w:p w14:paraId="2B93AE06">
      <w:pPr>
        <w:spacing w:line="640" w:lineRule="exact"/>
        <w:ind w:firstLine="640"/>
        <w:jc w:val="both"/>
        <w:outlineLvl w:val="2"/>
      </w:pPr>
      <w:r>
        <w:rPr>
          <w:rFonts w:ascii="黑体" w:hAnsi="黑体" w:eastAsia="黑体"/>
          <w:sz w:val="32"/>
        </w:rPr>
        <w:t>四、财政拨款收入支出决算总体情况说明</w:t>
      </w:r>
    </w:p>
    <w:p w14:paraId="6A7B2DF1">
      <w:pPr>
        <w:spacing w:line="580" w:lineRule="exact"/>
        <w:ind w:firstLine="640"/>
        <w:jc w:val="both"/>
      </w:pPr>
      <w:r>
        <w:rPr>
          <w:rFonts w:ascii="仿宋_GB2312" w:hAnsi="仿宋_GB2312" w:eastAsia="仿宋_GB2312"/>
          <w:b/>
          <w:sz w:val="32"/>
        </w:rPr>
        <w:t>2024年度财政拨款收入总计20,543.93万元，</w:t>
      </w:r>
      <w:r>
        <w:rPr>
          <w:rFonts w:ascii="仿宋_GB2312" w:hAnsi="仿宋_GB2312" w:eastAsia="仿宋_GB2312"/>
          <w:b w:val="0"/>
          <w:sz w:val="32"/>
        </w:rPr>
        <w:t>其中：年初财政拨款结转和结余0.00万元，本年财政拨款收入20,543.93万元。</w:t>
      </w:r>
      <w:r>
        <w:rPr>
          <w:rFonts w:ascii="仿宋_GB2312" w:hAnsi="仿宋_GB2312" w:eastAsia="仿宋_GB2312"/>
          <w:b/>
          <w:sz w:val="32"/>
        </w:rPr>
        <w:t>财政拨款支出总计20,543.93万元，</w:t>
      </w:r>
      <w:r>
        <w:rPr>
          <w:rFonts w:ascii="仿宋_GB2312" w:hAnsi="仿宋_GB2312" w:eastAsia="仿宋_GB2312"/>
          <w:b w:val="0"/>
          <w:sz w:val="32"/>
        </w:rPr>
        <w:t>其中：年末财政拨款结转和结余0.00万元，本年财政拨款支出20,543.93万元。</w:t>
      </w:r>
    </w:p>
    <w:p w14:paraId="22AE526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减少2,497.57万元，下降10.84%，主要原因是：本年减少基层组织建设补助，执勤房、路维护费。</w:t>
      </w:r>
      <w:r>
        <w:rPr>
          <w:rFonts w:ascii="仿宋_GB2312" w:hAnsi="仿宋_GB2312" w:eastAsia="仿宋_GB2312"/>
          <w:b/>
          <w:sz w:val="32"/>
        </w:rPr>
        <w:t>与年初预算相比，</w:t>
      </w:r>
      <w:r>
        <w:rPr>
          <w:rFonts w:ascii="仿宋_GB2312" w:hAnsi="仿宋_GB2312" w:eastAsia="仿宋_GB2312"/>
          <w:b w:val="0"/>
          <w:sz w:val="32"/>
        </w:rPr>
        <w:t>年初预算数21,978.96万元，决算数20,543.93万元，预决算差异率-6.53%，主要原因是：本年预留</w:t>
      </w:r>
      <w:r>
        <w:rPr>
          <w:rFonts w:hint="eastAsia" w:ascii="仿宋_GB2312" w:hAnsi="仿宋_GB2312" w:eastAsia="仿宋_GB2312"/>
          <w:b w:val="0"/>
          <w:sz w:val="32"/>
          <w:lang w:eastAsia="zh-CN"/>
        </w:rPr>
        <w:t>WW</w:t>
      </w:r>
      <w:r>
        <w:rPr>
          <w:rFonts w:ascii="仿宋_GB2312" w:hAnsi="仿宋_GB2312" w:eastAsia="仿宋_GB2312"/>
          <w:b w:val="0"/>
          <w:sz w:val="32"/>
        </w:rPr>
        <w:t>经费未执行完成，导致预决算存在差异。</w:t>
      </w:r>
    </w:p>
    <w:p w14:paraId="53FF7351">
      <w:pPr>
        <w:spacing w:line="640" w:lineRule="exact"/>
        <w:ind w:firstLine="640"/>
        <w:jc w:val="both"/>
        <w:outlineLvl w:val="2"/>
      </w:pPr>
      <w:r>
        <w:rPr>
          <w:rFonts w:ascii="黑体" w:hAnsi="黑体" w:eastAsia="黑体"/>
          <w:sz w:val="32"/>
        </w:rPr>
        <w:t>五、一般公共预算财政拨款支出决算情况说明</w:t>
      </w:r>
    </w:p>
    <w:p w14:paraId="2A464365">
      <w:pPr>
        <w:spacing w:line="640" w:lineRule="exact"/>
        <w:ind w:firstLine="640"/>
        <w:jc w:val="both"/>
        <w:outlineLvl w:val="3"/>
      </w:pPr>
      <w:r>
        <w:rPr>
          <w:rFonts w:ascii="楷体_GB2312" w:hAnsi="楷体_GB2312" w:eastAsia="楷体_GB2312"/>
          <w:b/>
          <w:sz w:val="32"/>
        </w:rPr>
        <w:t>（一）一般公共预算财政拨款支出决算总体情况</w:t>
      </w:r>
    </w:p>
    <w:p w14:paraId="1B9287C3">
      <w:pPr>
        <w:spacing w:line="580" w:lineRule="exact"/>
        <w:ind w:firstLine="640"/>
        <w:jc w:val="both"/>
      </w:pPr>
      <w:r>
        <w:rPr>
          <w:rFonts w:ascii="仿宋_GB2312" w:hAnsi="仿宋_GB2312" w:eastAsia="仿宋_GB2312"/>
          <w:b/>
          <w:sz w:val="32"/>
        </w:rPr>
        <w:t>2024年度一般公共预算财政拨款支出20,543.93万元，</w:t>
      </w:r>
      <w:r>
        <w:rPr>
          <w:rFonts w:ascii="仿宋_GB2312" w:hAnsi="仿宋_GB2312" w:eastAsia="仿宋_GB2312"/>
          <w:b w:val="0"/>
          <w:sz w:val="32"/>
        </w:rPr>
        <w:t>占本年支出合计的98.20%。</w:t>
      </w:r>
      <w:r>
        <w:rPr>
          <w:rFonts w:ascii="仿宋_GB2312" w:hAnsi="仿宋_GB2312" w:eastAsia="仿宋_GB2312"/>
          <w:b/>
          <w:sz w:val="32"/>
        </w:rPr>
        <w:t>与上年相比，</w:t>
      </w:r>
      <w:r>
        <w:rPr>
          <w:rFonts w:ascii="仿宋_GB2312" w:hAnsi="仿宋_GB2312" w:eastAsia="仿宋_GB2312"/>
          <w:b w:val="0"/>
          <w:sz w:val="32"/>
        </w:rPr>
        <w:t>减少2,497.57万元，下降10.84%，主要原因是：本年减少基层组织建设补助，执勤房、路维护费。</w:t>
      </w:r>
      <w:r>
        <w:rPr>
          <w:rFonts w:ascii="仿宋_GB2312" w:hAnsi="仿宋_GB2312" w:eastAsia="仿宋_GB2312"/>
          <w:b/>
          <w:sz w:val="32"/>
        </w:rPr>
        <w:t>与年初预算相比,</w:t>
      </w:r>
      <w:r>
        <w:rPr>
          <w:rFonts w:ascii="仿宋_GB2312" w:hAnsi="仿宋_GB2312" w:eastAsia="仿宋_GB2312"/>
          <w:b w:val="0"/>
          <w:sz w:val="32"/>
        </w:rPr>
        <w:t>年初预算数21,978.96万元，决算数20,543.93万元，预决算差异率-6.53%，主要原因是：本年预留</w:t>
      </w:r>
      <w:r>
        <w:rPr>
          <w:rFonts w:hint="eastAsia" w:ascii="仿宋_GB2312" w:hAnsi="仿宋_GB2312" w:eastAsia="仿宋_GB2312"/>
          <w:b w:val="0"/>
          <w:sz w:val="32"/>
          <w:lang w:eastAsia="zh-CN"/>
        </w:rPr>
        <w:t>WW</w:t>
      </w:r>
      <w:r>
        <w:rPr>
          <w:rFonts w:ascii="仿宋_GB2312" w:hAnsi="仿宋_GB2312" w:eastAsia="仿宋_GB2312"/>
          <w:b w:val="0"/>
          <w:sz w:val="32"/>
        </w:rPr>
        <w:t>经费未执行完成，导致预决算存在差异。</w:t>
      </w:r>
    </w:p>
    <w:p w14:paraId="65960ED0">
      <w:pPr>
        <w:spacing w:line="640" w:lineRule="exact"/>
        <w:ind w:firstLine="640"/>
        <w:jc w:val="both"/>
        <w:outlineLvl w:val="3"/>
      </w:pPr>
      <w:r>
        <w:rPr>
          <w:rFonts w:ascii="楷体_GB2312" w:hAnsi="楷体_GB2312" w:eastAsia="楷体_GB2312"/>
          <w:b/>
          <w:sz w:val="32"/>
        </w:rPr>
        <w:t>（二）一般公共预算财政拨款支出决算结构情况</w:t>
      </w:r>
    </w:p>
    <w:p w14:paraId="2CE1DEDB">
      <w:pPr>
        <w:spacing w:line="580" w:lineRule="exact"/>
        <w:ind w:firstLine="640"/>
        <w:jc w:val="both"/>
      </w:pPr>
      <w:r>
        <w:rPr>
          <w:rFonts w:ascii="仿宋_GB2312" w:hAnsi="仿宋_GB2312" w:eastAsia="仿宋_GB2312"/>
          <w:b w:val="0"/>
          <w:sz w:val="32"/>
        </w:rPr>
        <w:t>1.一般公共服务支出(类)18,765.04万元,占91.34%。</w:t>
      </w:r>
    </w:p>
    <w:p w14:paraId="6AD1FAD0">
      <w:pPr>
        <w:spacing w:line="580" w:lineRule="exact"/>
        <w:ind w:firstLine="640"/>
        <w:jc w:val="both"/>
      </w:pPr>
      <w:r>
        <w:rPr>
          <w:rFonts w:ascii="仿宋_GB2312" w:hAnsi="仿宋_GB2312" w:eastAsia="仿宋_GB2312"/>
          <w:b w:val="0"/>
          <w:sz w:val="32"/>
        </w:rPr>
        <w:t>2.国防支出(类)317.44万元,占1.55%。</w:t>
      </w:r>
    </w:p>
    <w:p w14:paraId="4CFE280B">
      <w:pPr>
        <w:spacing w:line="580" w:lineRule="exact"/>
        <w:ind w:firstLine="640"/>
        <w:jc w:val="both"/>
      </w:pPr>
      <w:r>
        <w:rPr>
          <w:rFonts w:ascii="仿宋_GB2312" w:hAnsi="仿宋_GB2312" w:eastAsia="仿宋_GB2312"/>
          <w:b w:val="0"/>
          <w:sz w:val="32"/>
        </w:rPr>
        <w:t>3.公共安全支出(类)1,147.69万元,占5.59%。</w:t>
      </w:r>
    </w:p>
    <w:p w14:paraId="5978ECCF">
      <w:pPr>
        <w:spacing w:line="580" w:lineRule="exact"/>
        <w:ind w:firstLine="640"/>
        <w:jc w:val="both"/>
      </w:pPr>
      <w:r>
        <w:rPr>
          <w:rFonts w:ascii="仿宋_GB2312" w:hAnsi="仿宋_GB2312" w:eastAsia="仿宋_GB2312"/>
          <w:b w:val="0"/>
          <w:sz w:val="32"/>
        </w:rPr>
        <w:t>4.社会保障和就业支出(类)154.25万元,占0.75%。</w:t>
      </w:r>
    </w:p>
    <w:p w14:paraId="5F6EEFF1">
      <w:pPr>
        <w:spacing w:line="580" w:lineRule="exact"/>
        <w:ind w:firstLine="640"/>
        <w:jc w:val="both"/>
      </w:pPr>
      <w:r>
        <w:rPr>
          <w:rFonts w:ascii="仿宋_GB2312" w:hAnsi="仿宋_GB2312" w:eastAsia="仿宋_GB2312"/>
          <w:b w:val="0"/>
          <w:sz w:val="32"/>
        </w:rPr>
        <w:t>5.卫生健康支出(类)52.42万元,占0.26%。</w:t>
      </w:r>
    </w:p>
    <w:p w14:paraId="1FFD751D">
      <w:pPr>
        <w:spacing w:line="580" w:lineRule="exact"/>
        <w:ind w:firstLine="640"/>
        <w:jc w:val="both"/>
      </w:pPr>
      <w:r>
        <w:rPr>
          <w:rFonts w:ascii="仿宋_GB2312" w:hAnsi="仿宋_GB2312" w:eastAsia="仿宋_GB2312"/>
          <w:b w:val="0"/>
          <w:sz w:val="32"/>
        </w:rPr>
        <w:t>6.住房保障支出(类)107.11万元,占0.52%。</w:t>
      </w:r>
    </w:p>
    <w:p w14:paraId="55C693A6">
      <w:pPr>
        <w:spacing w:line="640" w:lineRule="exact"/>
        <w:ind w:firstLine="640"/>
        <w:jc w:val="both"/>
        <w:outlineLvl w:val="3"/>
      </w:pPr>
      <w:r>
        <w:rPr>
          <w:rFonts w:ascii="楷体_GB2312" w:hAnsi="楷体_GB2312" w:eastAsia="楷体_GB2312"/>
          <w:b/>
          <w:sz w:val="32"/>
        </w:rPr>
        <w:t>（三）一般公共预算财政拨款支出决算具体情况</w:t>
      </w:r>
    </w:p>
    <w:p w14:paraId="10235EE8">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1.一般公共服务支出(类)政府办公厅（室）及相关机构事务(款)行政运行(项):支出决算数为0.00万元，比上年决算减少16.76万元，下降100.00%,主要原因是：上年补发相关人员津贴，本年无此经费，导致经费减少。</w:t>
      </w:r>
    </w:p>
    <w:p w14:paraId="2DFACBA5">
      <w:pPr>
        <w:spacing w:line="580" w:lineRule="exact"/>
        <w:ind w:firstLine="640"/>
        <w:jc w:val="both"/>
      </w:pPr>
      <w:r>
        <w:rPr>
          <w:rFonts w:ascii="仿宋_GB2312" w:hAnsi="仿宋_GB2312" w:eastAsia="仿宋_GB2312"/>
          <w:b w:val="0"/>
          <w:sz w:val="32"/>
        </w:rPr>
        <w:t>2.一般公共服务支出(类)党委办公厅（室）及相关机构事务(款)行政运行(项):支出决算数为667.12万元，比上年决算增加245.08万元，增长58.07%,主要原因是：本年在职人员工资调增，人员经费增加；增加邮电费，导致相关支出增加。</w:t>
      </w:r>
    </w:p>
    <w:p w14:paraId="264037D5">
      <w:pPr>
        <w:spacing w:line="580" w:lineRule="exact"/>
        <w:ind w:firstLine="640"/>
        <w:jc w:val="both"/>
      </w:pPr>
      <w:r>
        <w:rPr>
          <w:rFonts w:ascii="仿宋_GB2312" w:hAnsi="仿宋_GB2312" w:eastAsia="仿宋_GB2312"/>
          <w:b w:val="0"/>
          <w:sz w:val="32"/>
        </w:rPr>
        <w:t>3.一般公共服务支出(类)党委办公厅（室）及相关机构事务(款)事业运行(项):支出决算数为674.82万元，比上年决算减少33.60万元，下降4.74%,主要原因是：本年事业在职人员减少，相关人员经费减少。</w:t>
      </w:r>
    </w:p>
    <w:p w14:paraId="6033B2EE">
      <w:pPr>
        <w:spacing w:line="580" w:lineRule="exact"/>
        <w:ind w:firstLine="640"/>
        <w:jc w:val="both"/>
      </w:pPr>
      <w:r>
        <w:rPr>
          <w:rFonts w:ascii="仿宋_GB2312" w:hAnsi="仿宋_GB2312" w:eastAsia="仿宋_GB2312"/>
          <w:b w:val="0"/>
          <w:sz w:val="32"/>
        </w:rPr>
        <w:t>4.一般公共服务支出(类)党委办公厅（室）及相关机构事务(款)其他党委办公厅（室）及相关机构事务支出(项):支出决算数为513.10万元，比上年决算减少13,902.90万元，下降96.44%,主要原因是：本年科目调整，务工补助上年在其他党委办公厅（室）及相关机构事务支出列支，本年调整至其他共产党事务支出，导致经费减少。</w:t>
      </w:r>
    </w:p>
    <w:p w14:paraId="3ECCE237">
      <w:pPr>
        <w:spacing w:line="580" w:lineRule="exact"/>
        <w:ind w:firstLine="640"/>
        <w:jc w:val="both"/>
      </w:pPr>
      <w:r>
        <w:rPr>
          <w:rFonts w:ascii="仿宋_GB2312" w:hAnsi="仿宋_GB2312" w:eastAsia="仿宋_GB2312"/>
          <w:b w:val="0"/>
          <w:sz w:val="32"/>
        </w:rPr>
        <w:t>5.一般公共服务支出(类)组织事务(款)其他组织事务支出(项):支出决算数为678.22万元，比上年决算减少1,135.01万元，下降62.60%,主要原因是：本年减少基层组织建设补助。</w:t>
      </w:r>
    </w:p>
    <w:p w14:paraId="7613F12A">
      <w:pPr>
        <w:spacing w:line="580" w:lineRule="exact"/>
        <w:ind w:firstLine="640"/>
        <w:jc w:val="both"/>
      </w:pPr>
      <w:r>
        <w:rPr>
          <w:rFonts w:ascii="仿宋_GB2312" w:hAnsi="仿宋_GB2312" w:eastAsia="仿宋_GB2312"/>
          <w:b w:val="0"/>
          <w:sz w:val="32"/>
        </w:rPr>
        <w:t>6.一般公共服务支出(类)其他共产党事务支出(款)其他共产党事务支出(项):支出决算数为16,231.78万元，比上年决算增加15,788.76万元，增长3,563.89%,主要原因是：本年科目调整，务工补助上年在其他党委办公厅（室）及相关机构事务支出列支，本年调整至其他共产党事务支出；执勤房、路维护费上年在其他国防支出列支，本年调整至其他共产党事务支出，导致经费增加；增加联防经费。</w:t>
      </w:r>
    </w:p>
    <w:p w14:paraId="25D30BA8">
      <w:pPr>
        <w:spacing w:line="580" w:lineRule="exact"/>
        <w:ind w:firstLine="640"/>
        <w:jc w:val="both"/>
      </w:pPr>
      <w:r>
        <w:rPr>
          <w:rFonts w:ascii="仿宋_GB2312" w:hAnsi="仿宋_GB2312" w:eastAsia="仿宋_GB2312"/>
          <w:b w:val="0"/>
          <w:sz w:val="32"/>
        </w:rPr>
        <w:t>7.国防支出(类)国防动员(款)民兵(项):支出决算数为127.00万元，比上年决算增加11.96万元，增长10.40%,主要原因是：本年人武部补助调增，导致相关支出增加。</w:t>
      </w:r>
    </w:p>
    <w:p w14:paraId="26908BFF">
      <w:pPr>
        <w:spacing w:line="580" w:lineRule="exact"/>
        <w:ind w:firstLine="640"/>
        <w:jc w:val="both"/>
      </w:pPr>
      <w:r>
        <w:rPr>
          <w:rFonts w:ascii="仿宋_GB2312" w:hAnsi="仿宋_GB2312" w:eastAsia="仿宋_GB2312"/>
          <w:b w:val="0"/>
          <w:sz w:val="32"/>
        </w:rPr>
        <w:t>8.国防支出(类)国防动员(款)边海防(项):支出决算数为57.77万元，比上年决算增加23.77万元，增长69.91%,主要原因是：本年增加基础设施维护经费。</w:t>
      </w:r>
    </w:p>
    <w:p w14:paraId="3F3C0A40">
      <w:pPr>
        <w:spacing w:line="580" w:lineRule="exact"/>
        <w:ind w:firstLine="640"/>
        <w:jc w:val="both"/>
      </w:pPr>
      <w:r>
        <w:rPr>
          <w:rFonts w:ascii="仿宋_GB2312" w:hAnsi="仿宋_GB2312" w:eastAsia="仿宋_GB2312"/>
          <w:b w:val="0"/>
          <w:sz w:val="32"/>
        </w:rPr>
        <w:t>9.国防支出(类)其他国防支出(款)其他国防支出(项):支出决算数为132.67万元，比上年决算减少4,596.53万元，下降97.19%,主要原因是：本年科目调整，部分执勤房、路维护费上年在其他国防支出列支，本年调整至其他共产党事务支出，导致经费减少；减少执勤房、路维护费。</w:t>
      </w:r>
    </w:p>
    <w:p w14:paraId="67FDF3F4">
      <w:pPr>
        <w:spacing w:line="580" w:lineRule="exact"/>
        <w:ind w:firstLine="640"/>
        <w:jc w:val="both"/>
      </w:pPr>
      <w:r>
        <w:rPr>
          <w:rFonts w:ascii="仿宋_GB2312" w:hAnsi="仿宋_GB2312" w:eastAsia="仿宋_GB2312"/>
          <w:b w:val="0"/>
          <w:sz w:val="32"/>
        </w:rPr>
        <w:t>10.公共安全支出(类)国家安全(款)其他国家安全支出(项):支出决算数为49.80万元，比上年决算增加49.80万元，增长100.00%,主要原因是：本年增加专项项目资金。</w:t>
      </w:r>
    </w:p>
    <w:p w14:paraId="289AA910">
      <w:pPr>
        <w:spacing w:line="580" w:lineRule="exact"/>
        <w:ind w:firstLine="640"/>
        <w:jc w:val="both"/>
      </w:pPr>
      <w:r>
        <w:rPr>
          <w:rFonts w:ascii="仿宋_GB2312" w:hAnsi="仿宋_GB2312" w:eastAsia="仿宋_GB2312"/>
          <w:b w:val="0"/>
          <w:sz w:val="32"/>
        </w:rPr>
        <w:t>11.公共安全支出(类)其他公共安全支出(款)其他公共安全支出(项):支出决算数为1,097.89万元，比上年决算增加1,036.37万元，增长1,684.61%,主要原因是：本年增加公共专项项目资金。</w:t>
      </w:r>
    </w:p>
    <w:p w14:paraId="706B306D">
      <w:pPr>
        <w:spacing w:line="580" w:lineRule="exact"/>
        <w:ind w:firstLine="640"/>
        <w:jc w:val="both"/>
      </w:pPr>
      <w:r>
        <w:rPr>
          <w:rFonts w:ascii="仿宋_GB2312" w:hAnsi="仿宋_GB2312" w:eastAsia="仿宋_GB2312"/>
          <w:b w:val="0"/>
          <w:sz w:val="32"/>
        </w:rPr>
        <w:t>12.社会保障和就业支出(类)行政事业单位养老支出(款)行政单位离退休(项):支出决算数为7.26万元，比上年决算增加1.10万元，增长17.86%,主要原因是：本年增加退休人员基础绩效奖，退休费支出增加。</w:t>
      </w:r>
    </w:p>
    <w:p w14:paraId="5C883105">
      <w:pPr>
        <w:spacing w:line="580" w:lineRule="exact"/>
        <w:ind w:firstLine="640"/>
        <w:jc w:val="both"/>
      </w:pPr>
      <w:r>
        <w:rPr>
          <w:rFonts w:ascii="仿宋_GB2312" w:hAnsi="仿宋_GB2312" w:eastAsia="仿宋_GB2312"/>
          <w:b w:val="0"/>
          <w:sz w:val="32"/>
        </w:rPr>
        <w:t>13.社会保障和就业支出(类)行政事业单位养老支出(款)事业单位离退休(项):支出决算数为1.56万元，比上年决算增加0.53万元，增长51.46%,主要原因是：本年增加退休人员基础绩效奖，退休费支出增加。</w:t>
      </w:r>
    </w:p>
    <w:p w14:paraId="5CF89FFC">
      <w:pPr>
        <w:spacing w:line="580" w:lineRule="exact"/>
        <w:ind w:firstLine="640"/>
        <w:jc w:val="both"/>
      </w:pPr>
      <w:r>
        <w:rPr>
          <w:rFonts w:ascii="仿宋_GB2312" w:hAnsi="仿宋_GB2312" w:eastAsia="仿宋_GB2312"/>
          <w:b w:val="0"/>
          <w:sz w:val="32"/>
        </w:rPr>
        <w:t>14.社会保障和就业支出(类)行政事业单位养老支出(款)机关事业单位基本养老保险缴费支出(项):支出决算数为136.26万元，比上年决算增加13.03万元，增长10.57%,主要原因是：本年在职人员工资基数调增，养老缴费基数上涨，相应支出增加。</w:t>
      </w:r>
    </w:p>
    <w:p w14:paraId="41BD348F">
      <w:pPr>
        <w:spacing w:line="580" w:lineRule="exact"/>
        <w:ind w:firstLine="640"/>
        <w:jc w:val="both"/>
      </w:pPr>
      <w:r>
        <w:rPr>
          <w:rFonts w:ascii="仿宋_GB2312" w:hAnsi="仿宋_GB2312" w:eastAsia="仿宋_GB2312"/>
          <w:b w:val="0"/>
          <w:sz w:val="32"/>
        </w:rPr>
        <w:t>15.社会保障和就业支出(类)行政事业单位养老支出(款)机关事业单位职业年金缴费支出(项):支出决算数为9.16万元，比上年决算增加0.73万元，增长8.66%,主要原因是：本年新增退休人员，职业年金缴费支出增加。</w:t>
      </w:r>
    </w:p>
    <w:p w14:paraId="5DBE120B">
      <w:pPr>
        <w:spacing w:line="580" w:lineRule="exact"/>
        <w:ind w:firstLine="640"/>
        <w:jc w:val="both"/>
      </w:pPr>
      <w:r>
        <w:rPr>
          <w:rFonts w:ascii="仿宋_GB2312" w:hAnsi="仿宋_GB2312" w:eastAsia="仿宋_GB2312"/>
          <w:b w:val="0"/>
          <w:sz w:val="32"/>
        </w:rPr>
        <w:t>16.卫生健康支出(类)行政事业单位医疗(款)行政单位医疗(项):支出决算数为16.47万元，比上年决算增加2.45万元，增长17.48%,主要原因是：本年在职人员工资基数调增，医疗缴费基数上涨，相应支出增加。</w:t>
      </w:r>
    </w:p>
    <w:p w14:paraId="2F24C0A4">
      <w:pPr>
        <w:spacing w:line="580" w:lineRule="exact"/>
        <w:ind w:firstLine="640"/>
        <w:jc w:val="both"/>
      </w:pPr>
      <w:r>
        <w:rPr>
          <w:rFonts w:ascii="仿宋_GB2312" w:hAnsi="仿宋_GB2312" w:eastAsia="仿宋_GB2312"/>
          <w:b w:val="0"/>
          <w:sz w:val="32"/>
        </w:rPr>
        <w:t>17.卫生健康支出(类)行政事业单位医疗(款)事业单位医疗(项):支出决算数为35.94万元，比上年决算增加3.21万元，增长9.81%,主要原因是：本年在职人员工资基数调增，医疗缴费基数上涨，相应支出增加。</w:t>
      </w:r>
    </w:p>
    <w:p w14:paraId="646CAD5B">
      <w:pPr>
        <w:spacing w:line="580" w:lineRule="exact"/>
        <w:ind w:firstLine="640"/>
        <w:jc w:val="both"/>
      </w:pPr>
      <w:r>
        <w:rPr>
          <w:rFonts w:ascii="仿宋_GB2312" w:hAnsi="仿宋_GB2312" w:eastAsia="仿宋_GB2312"/>
          <w:b w:val="0"/>
          <w:sz w:val="32"/>
        </w:rPr>
        <w:t>18.住房保障支出(类)住房改革支出(款)住房公积金(项):支出决算数为107.11万元，比上年决算增加10.43万元，增长10.79%,主要原因是：本年在职人员工资基数调增，公积金缴费基数上涨，相应支出增加。</w:t>
      </w:r>
    </w:p>
    <w:p w14:paraId="0BA41BB2">
      <w:pPr>
        <w:spacing w:line="640" w:lineRule="exact"/>
        <w:ind w:firstLine="640"/>
        <w:jc w:val="both"/>
        <w:outlineLvl w:val="2"/>
      </w:pPr>
      <w:r>
        <w:rPr>
          <w:rFonts w:ascii="黑体" w:hAnsi="黑体" w:eastAsia="黑体"/>
          <w:sz w:val="32"/>
        </w:rPr>
        <w:t>六、一般公共预算财政拨款基本支出决算情况说明</w:t>
      </w:r>
    </w:p>
    <w:p w14:paraId="17AE5F2B">
      <w:pPr>
        <w:spacing w:line="580" w:lineRule="exact"/>
        <w:ind w:firstLine="640"/>
        <w:jc w:val="both"/>
      </w:pPr>
      <w:r>
        <w:rPr>
          <w:rFonts w:ascii="仿宋_GB2312" w:hAnsi="仿宋_GB2312" w:eastAsia="仿宋_GB2312"/>
          <w:b w:val="0"/>
          <w:sz w:val="32"/>
        </w:rPr>
        <w:t>2024年度一般公共预算财政拨款基本支出1,655.70万元，其中：</w:t>
      </w:r>
      <w:r>
        <w:rPr>
          <w:rFonts w:ascii="仿宋_GB2312" w:hAnsi="仿宋_GB2312" w:eastAsia="仿宋_GB2312"/>
          <w:b/>
          <w:sz w:val="32"/>
        </w:rPr>
        <w:t>人员经费1,266.39万元，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14:paraId="3BBF45E6">
      <w:pPr>
        <w:spacing w:line="580" w:lineRule="exact"/>
        <w:ind w:firstLine="640"/>
        <w:jc w:val="both"/>
      </w:pPr>
      <w:r>
        <w:rPr>
          <w:rFonts w:ascii="仿宋_GB2312" w:hAnsi="仿宋_GB2312" w:eastAsia="仿宋_GB2312"/>
          <w:b/>
          <w:sz w:val="32"/>
        </w:rPr>
        <w:t>公用经费389.32万元，</w:t>
      </w:r>
      <w:r>
        <w:rPr>
          <w:rFonts w:ascii="仿宋_GB2312" w:hAnsi="仿宋_GB2312" w:eastAsia="仿宋_GB2312"/>
          <w:b w:val="0"/>
          <w:sz w:val="32"/>
        </w:rPr>
        <w:t>包括：水费、电费、邮电费、取暖费、公务用车运行维护费。</w:t>
      </w:r>
    </w:p>
    <w:p w14:paraId="792FB730">
      <w:pPr>
        <w:spacing w:line="640" w:lineRule="exact"/>
        <w:ind w:firstLine="640"/>
        <w:jc w:val="both"/>
        <w:outlineLvl w:val="2"/>
      </w:pPr>
      <w:r>
        <w:rPr>
          <w:rFonts w:ascii="黑体" w:hAnsi="黑体" w:eastAsia="黑体"/>
          <w:sz w:val="32"/>
        </w:rPr>
        <w:t>七、政府性基金预算财政拨款收入支出决算情况说明</w:t>
      </w:r>
    </w:p>
    <w:p w14:paraId="08466A7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03E0C52">
      <w:pPr>
        <w:spacing w:line="640" w:lineRule="exact"/>
        <w:ind w:firstLine="640"/>
        <w:jc w:val="both"/>
        <w:outlineLvl w:val="2"/>
      </w:pPr>
      <w:r>
        <w:rPr>
          <w:rFonts w:ascii="黑体" w:hAnsi="黑体" w:eastAsia="黑体"/>
          <w:sz w:val="32"/>
        </w:rPr>
        <w:t>八、国有资本经营预算财政拨款收入支出决算情况说明</w:t>
      </w:r>
    </w:p>
    <w:p w14:paraId="5D33433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5DABDB2">
      <w:pPr>
        <w:spacing w:line="640" w:lineRule="exact"/>
        <w:ind w:firstLine="640"/>
        <w:jc w:val="both"/>
        <w:outlineLvl w:val="2"/>
      </w:pPr>
      <w:r>
        <w:rPr>
          <w:rFonts w:ascii="黑体" w:hAnsi="黑体" w:eastAsia="黑体"/>
          <w:sz w:val="32"/>
        </w:rPr>
        <w:t>九、财政拨款“三公”经费支出决算情况说明</w:t>
      </w:r>
    </w:p>
    <w:p w14:paraId="667DD5D1">
      <w:pPr>
        <w:spacing w:line="580" w:lineRule="exact"/>
        <w:ind w:firstLine="640"/>
        <w:jc w:val="both"/>
      </w:pPr>
      <w:r>
        <w:rPr>
          <w:rFonts w:ascii="仿宋_GB2312" w:hAnsi="仿宋_GB2312" w:eastAsia="仿宋_GB2312"/>
          <w:b/>
          <w:sz w:val="32"/>
        </w:rPr>
        <w:t>2024年度财政拨款“三公”经费支出5.38万元，</w:t>
      </w:r>
      <w:r>
        <w:rPr>
          <w:rFonts w:ascii="仿宋_GB2312" w:hAnsi="仿宋_GB2312" w:eastAsia="仿宋_GB2312"/>
          <w:b w:val="0"/>
          <w:sz w:val="32"/>
        </w:rPr>
        <w:t>比上年减少81.94万元，下降93.84%，主要原因是：2024年度对无牌车辆进行清查，减少车辆保险费、修理费和燃油费，导致经费减少。其中：因公出国（境）费支出0.00万元，占0.00%，比上年增加0.00万元，增长0.00%，主要原因是：2023年与2024年均未安排因公出国（境）费支出。公务用车购置及运行维护费支出5.38万元，占100.00%，比上年减少81.94万元，下降93.84%，主要原因是：2024年度对无牌车辆进行清查，减少车辆保险费、修理费和燃油费，导致经费减少。公务接待费支出0.00万元，占0.00%，比上年增加0.00万元，增长0.00%，主要原因是：2023年与2024年均未安排公务接待费支出。</w:t>
      </w:r>
    </w:p>
    <w:p w14:paraId="3106FDC8">
      <w:pPr>
        <w:spacing w:line="580" w:lineRule="exact"/>
        <w:ind w:firstLine="640"/>
        <w:jc w:val="both"/>
      </w:pPr>
      <w:r>
        <w:rPr>
          <w:rFonts w:ascii="仿宋_GB2312" w:hAnsi="仿宋_GB2312" w:eastAsia="仿宋_GB2312"/>
          <w:b/>
          <w:sz w:val="32"/>
        </w:rPr>
        <w:t>具体情况如下：</w:t>
      </w:r>
    </w:p>
    <w:p w14:paraId="4CC584A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6032544">
      <w:pPr>
        <w:spacing w:line="580" w:lineRule="exact"/>
        <w:ind w:firstLine="640"/>
        <w:jc w:val="both"/>
      </w:pPr>
      <w:r>
        <w:rPr>
          <w:rFonts w:ascii="仿宋_GB2312" w:hAnsi="仿宋_GB2312" w:eastAsia="仿宋_GB2312"/>
          <w:b w:val="0"/>
          <w:sz w:val="32"/>
        </w:rPr>
        <w:t>公务用车购置及运行维护费5.38万元，其中：公务用车购置费0.00万元，公务用车运行维护费5.38万元。公务用车运行维护费开支内容包括车辆燃油费、保险费、维修费。公务用车购置数0辆，公务用车保有量3辆。国有资产占用情况中固定资产车辆11辆，与公务用车保有量差异原因是：差异车辆为一般业务用车，预算未安排公务用车运行维护费。</w:t>
      </w:r>
    </w:p>
    <w:p w14:paraId="3C30C0A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4BB5A2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5.40万元，决算数5.38万元，预决算差异率-0.37%，主要原因是：车辆维修费未及时支付，导致预决算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5.40万元，决算数5.38万元，预决算差异率-0.37%，主要原因是：车辆维修费未及时支付，导致预决算差异。公务接待费全年预算数0.00万元，决算数0.00万元，预决算差异率0.00%，主要原因是：本单位无公务接待费。</w:t>
      </w:r>
    </w:p>
    <w:p w14:paraId="26BD3018">
      <w:pPr>
        <w:spacing w:line="640" w:lineRule="exact"/>
        <w:ind w:firstLine="640"/>
        <w:jc w:val="both"/>
        <w:outlineLvl w:val="2"/>
      </w:pPr>
      <w:r>
        <w:rPr>
          <w:rFonts w:ascii="黑体" w:hAnsi="黑体" w:eastAsia="黑体"/>
          <w:sz w:val="32"/>
        </w:rPr>
        <w:t>十、其他重要事项的情况说明</w:t>
      </w:r>
    </w:p>
    <w:p w14:paraId="269A5963">
      <w:pPr>
        <w:spacing w:line="640" w:lineRule="exact"/>
        <w:ind w:firstLine="640"/>
        <w:jc w:val="both"/>
        <w:outlineLvl w:val="3"/>
      </w:pPr>
      <w:r>
        <w:rPr>
          <w:rFonts w:ascii="楷体_GB2312" w:hAnsi="楷体_GB2312" w:eastAsia="楷体_GB2312"/>
          <w:b/>
          <w:sz w:val="32"/>
        </w:rPr>
        <w:t>（一）机关运行经费及公用经费支出情况</w:t>
      </w:r>
    </w:p>
    <w:p w14:paraId="7E457029">
      <w:pPr>
        <w:spacing w:line="580" w:lineRule="exact"/>
        <w:ind w:firstLine="640"/>
        <w:jc w:val="both"/>
      </w:pPr>
      <w:r>
        <w:rPr>
          <w:rFonts w:ascii="仿宋_GB2312" w:hAnsi="仿宋_GB2312" w:eastAsia="仿宋_GB2312"/>
          <w:b w:val="0"/>
          <w:sz w:val="32"/>
        </w:rPr>
        <w:t>2024年度中共阿克陶县委员会政法委员会（行政单位和参照公务员法管理事业单位）机关运行经费支出389.32万元，比上年增加241.15万元，增长162.75%，主要原因是：本年增加邮电费。</w:t>
      </w:r>
    </w:p>
    <w:p w14:paraId="3DBA5162">
      <w:pPr>
        <w:spacing w:line="640" w:lineRule="exact"/>
        <w:ind w:firstLine="640"/>
        <w:jc w:val="both"/>
        <w:outlineLvl w:val="3"/>
      </w:pPr>
      <w:r>
        <w:rPr>
          <w:rFonts w:ascii="楷体_GB2312" w:hAnsi="楷体_GB2312" w:eastAsia="楷体_GB2312"/>
          <w:b/>
          <w:sz w:val="32"/>
        </w:rPr>
        <w:t>（二）政府采购情况</w:t>
      </w:r>
    </w:p>
    <w:p w14:paraId="35B78C25">
      <w:pPr>
        <w:spacing w:line="580" w:lineRule="exact"/>
        <w:ind w:firstLine="640"/>
        <w:jc w:val="both"/>
      </w:pPr>
      <w:r>
        <w:rPr>
          <w:rFonts w:ascii="仿宋_GB2312" w:hAnsi="仿宋_GB2312" w:eastAsia="仿宋_GB2312"/>
          <w:b w:val="0"/>
          <w:sz w:val="32"/>
        </w:rPr>
        <w:t>2024年度政府采购支出总额642.53万元，其中：政府采购货物支出0.87万元、政府采购工程支出0.00万元、政府采购服务支出641.66万元。</w:t>
      </w:r>
    </w:p>
    <w:p w14:paraId="0375A596">
      <w:pPr>
        <w:spacing w:line="580" w:lineRule="exact"/>
        <w:ind w:firstLine="640"/>
        <w:jc w:val="both"/>
      </w:pPr>
      <w:r>
        <w:rPr>
          <w:rFonts w:ascii="仿宋_GB2312" w:hAnsi="仿宋_GB2312" w:eastAsia="仿宋_GB2312"/>
          <w:b w:val="0"/>
          <w:sz w:val="32"/>
        </w:rPr>
        <w:t>授予中小企业合同金额633.64万元，占政府采购支出总额的98.62%，其中：授予小微企业合同金额633.40万元，占政府采购支出总额的98.58%。</w:t>
      </w:r>
    </w:p>
    <w:p w14:paraId="6EB9AFD6">
      <w:pPr>
        <w:spacing w:line="640" w:lineRule="exact"/>
        <w:ind w:firstLine="640"/>
        <w:jc w:val="both"/>
        <w:outlineLvl w:val="3"/>
      </w:pPr>
      <w:r>
        <w:rPr>
          <w:rFonts w:ascii="楷体_GB2312" w:hAnsi="楷体_GB2312" w:eastAsia="楷体_GB2312"/>
          <w:b/>
          <w:sz w:val="32"/>
        </w:rPr>
        <w:t>（三）国有资产占用情况说明</w:t>
      </w:r>
    </w:p>
    <w:p w14:paraId="65E2A198">
      <w:pPr>
        <w:spacing w:line="580" w:lineRule="exact"/>
        <w:ind w:firstLine="640"/>
        <w:jc w:val="both"/>
      </w:pPr>
      <w:r>
        <w:rPr>
          <w:rFonts w:ascii="仿宋_GB2312" w:hAnsi="仿宋_GB2312" w:eastAsia="仿宋_GB2312"/>
          <w:b w:val="0"/>
          <w:sz w:val="32"/>
        </w:rPr>
        <w:t>截至2024年12月31日，房屋302.40平方米，价值24.60万元。车辆11辆，价值171.59万元，其中：副部（省）级及以上领导用车0辆、主要负责人用车1辆、机要通信用车0辆、应急保障用车0辆、执法执勤用车2辆、特种专业技术用车0辆、离退休干部服务用车0辆、其他用车8辆，其他用车主要是：单位业务用车。单价100万元（含）以上设备（不含车辆）0台（套）。</w:t>
      </w:r>
    </w:p>
    <w:p w14:paraId="06F1C27C">
      <w:pPr>
        <w:spacing w:line="640" w:lineRule="exact"/>
        <w:ind w:firstLine="640"/>
        <w:jc w:val="both"/>
        <w:outlineLvl w:val="2"/>
      </w:pPr>
      <w:r>
        <w:rPr>
          <w:rFonts w:ascii="黑体" w:hAnsi="黑体" w:eastAsia="黑体"/>
          <w:sz w:val="32"/>
        </w:rPr>
        <w:t>十一、预算绩效的情况说明</w:t>
      </w:r>
    </w:p>
    <w:p w14:paraId="0A2FA4D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w:t>
      </w:r>
      <w:r>
        <w:rPr>
          <w:rFonts w:hint="eastAsia" w:ascii="仿宋_GB2312" w:hAnsi="仿宋_GB2312" w:eastAsia="仿宋_GB2312"/>
          <w:b w:val="0"/>
          <w:sz w:val="32"/>
        </w:rPr>
        <w:t>21,104.49</w:t>
      </w:r>
      <w:r>
        <w:rPr>
          <w:rFonts w:ascii="仿宋_GB2312" w:hAnsi="仿宋_GB2312" w:eastAsia="仿宋_GB2312"/>
          <w:b w:val="0"/>
          <w:sz w:val="32"/>
        </w:rPr>
        <w:t>万元，实际执行总额</w:t>
      </w:r>
      <w:r>
        <w:rPr>
          <w:rFonts w:hint="eastAsia" w:ascii="仿宋_GB2312" w:hAnsi="仿宋_GB2312" w:eastAsia="仿宋_GB2312"/>
          <w:b w:val="0"/>
          <w:sz w:val="32"/>
        </w:rPr>
        <w:t>20,921.32</w:t>
      </w:r>
      <w:r>
        <w:rPr>
          <w:rFonts w:ascii="仿宋_GB2312" w:hAnsi="仿宋_GB2312" w:eastAsia="仿宋_GB2312"/>
          <w:b w:val="0"/>
          <w:sz w:val="32"/>
        </w:rPr>
        <w:t>万元；预算绩效评价项目</w:t>
      </w:r>
      <w:r>
        <w:rPr>
          <w:rFonts w:hint="eastAsia" w:ascii="仿宋_GB2312" w:hAnsi="仿宋_GB2312" w:eastAsia="仿宋_GB2312"/>
          <w:b w:val="0"/>
          <w:sz w:val="32"/>
          <w:lang w:val="en-US" w:eastAsia="zh-CN"/>
        </w:rPr>
        <w:t>9</w:t>
      </w:r>
      <w:r>
        <w:rPr>
          <w:rFonts w:ascii="仿宋_GB2312" w:hAnsi="仿宋_GB2312" w:eastAsia="仿宋_GB2312"/>
          <w:b w:val="0"/>
          <w:sz w:val="32"/>
        </w:rPr>
        <w:t>个，全年预算数19</w:t>
      </w:r>
      <w:r>
        <w:rPr>
          <w:rFonts w:hint="eastAsia" w:ascii="仿宋_GB2312" w:hAnsi="仿宋_GB2312" w:eastAsia="仿宋_GB2312"/>
          <w:b w:val="0"/>
          <w:sz w:val="32"/>
          <w:lang w:val="en-US" w:eastAsia="zh-CN"/>
        </w:rPr>
        <w:t>,</w:t>
      </w:r>
      <w:r>
        <w:rPr>
          <w:rFonts w:ascii="仿宋_GB2312" w:hAnsi="仿宋_GB2312" w:eastAsia="仿宋_GB2312"/>
          <w:b w:val="0"/>
          <w:sz w:val="32"/>
        </w:rPr>
        <w:t>448.79万元，全年执行数19</w:t>
      </w:r>
      <w:r>
        <w:rPr>
          <w:rFonts w:hint="eastAsia" w:ascii="仿宋_GB2312" w:hAnsi="仿宋_GB2312" w:eastAsia="仿宋_GB2312"/>
          <w:b w:val="0"/>
          <w:sz w:val="32"/>
          <w:lang w:val="en-US" w:eastAsia="zh-CN"/>
        </w:rPr>
        <w:t>,</w:t>
      </w:r>
      <w:r>
        <w:rPr>
          <w:rFonts w:ascii="仿宋_GB2312" w:hAnsi="仿宋_GB2312" w:eastAsia="仿宋_GB2312"/>
          <w:b w:val="0"/>
          <w:sz w:val="32"/>
        </w:rPr>
        <w:t>448.79万元。预算绩效管理取得的成效：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绩效自评项目涉密，不予公开。发现的问题及原因：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绩效自评项目涉密，不予公开。下一步改进措施：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绩效自评项目涉密，不予公开。</w:t>
      </w:r>
    </w:p>
    <w:p w14:paraId="674726EF">
      <w:r>
        <w:br w:type="page"/>
      </w:r>
    </w:p>
    <w:p w14:paraId="36832019">
      <w:pPr>
        <w:spacing w:line="640" w:lineRule="exact"/>
        <w:ind w:firstLine="640"/>
        <w:jc w:val="both"/>
        <w:outlineLvl w:val="2"/>
      </w:pPr>
      <w:r>
        <w:rPr>
          <w:rFonts w:ascii="黑体" w:hAnsi="黑体" w:eastAsia="黑体"/>
          <w:sz w:val="32"/>
        </w:rPr>
        <w:t>十二、其他需说明的事项</w:t>
      </w:r>
    </w:p>
    <w:p w14:paraId="7C8641C6">
      <w:pPr>
        <w:spacing w:line="580" w:lineRule="exact"/>
        <w:ind w:firstLine="640"/>
        <w:jc w:val="both"/>
      </w:pPr>
      <w:r>
        <w:rPr>
          <w:rFonts w:ascii="仿宋_GB2312" w:hAnsi="仿宋_GB2312" w:eastAsia="仿宋_GB2312"/>
          <w:b w:val="0"/>
          <w:sz w:val="32"/>
        </w:rPr>
        <w:t>本年度本单位整体绩效自评表不予公开。</w:t>
      </w:r>
    </w:p>
    <w:p w14:paraId="50EBA602">
      <w:pPr>
        <w:spacing w:line="580" w:lineRule="exact"/>
        <w:ind w:firstLine="640"/>
        <w:jc w:val="both"/>
      </w:pPr>
      <w:r>
        <w:rPr>
          <w:rFonts w:ascii="仿宋_GB2312" w:hAnsi="仿宋_GB2312" w:eastAsia="仿宋_GB2312"/>
          <w:b w:val="0"/>
          <w:sz w:val="32"/>
        </w:rPr>
        <w:t>本年本单位SM项目9个，全年预算数19448.79万元，全年执行数19448.79万元。</w:t>
      </w:r>
    </w:p>
    <w:p w14:paraId="1DDB1E81">
      <w:r>
        <w:br w:type="page"/>
      </w:r>
    </w:p>
    <w:p w14:paraId="5A446540">
      <w:pPr>
        <w:spacing w:line="240" w:lineRule="auto"/>
        <w:jc w:val="center"/>
        <w:outlineLvl w:val="1"/>
      </w:pPr>
      <w:r>
        <w:rPr>
          <w:rFonts w:ascii="黑体" w:hAnsi="黑体" w:eastAsia="黑体"/>
          <w:sz w:val="32"/>
        </w:rPr>
        <w:t>第三部分 专业名词解释</w:t>
      </w:r>
    </w:p>
    <w:p w14:paraId="6F2266B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0CF8C8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68E826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FA7F39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24A6CA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8CD480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328792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C5211F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506F0B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29B930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2DC0A3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CC5ADA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67A45C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9D7062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25F89E5">
      <w:r>
        <w:br w:type="page"/>
      </w:r>
    </w:p>
    <w:p w14:paraId="6E19E380">
      <w:pPr>
        <w:spacing w:line="240" w:lineRule="auto"/>
        <w:jc w:val="center"/>
        <w:outlineLvl w:val="1"/>
      </w:pPr>
      <w:r>
        <w:rPr>
          <w:rFonts w:ascii="黑体" w:hAnsi="黑体" w:eastAsia="黑体"/>
          <w:sz w:val="32"/>
        </w:rPr>
        <w:t>第四部分 部门决算报表（见附表）</w:t>
      </w:r>
    </w:p>
    <w:p w14:paraId="50A64BE8">
      <w:pPr>
        <w:spacing w:line="240" w:lineRule="auto"/>
        <w:ind w:firstLine="640"/>
        <w:jc w:val="both"/>
      </w:pPr>
      <w:r>
        <w:rPr>
          <w:rFonts w:ascii="仿宋_GB2312" w:hAnsi="仿宋_GB2312" w:eastAsia="仿宋_GB2312"/>
          <w:b w:val="0"/>
          <w:sz w:val="32"/>
        </w:rPr>
        <w:t>一、《收入支出决算总表》</w:t>
      </w:r>
    </w:p>
    <w:p w14:paraId="38D5F34C">
      <w:pPr>
        <w:spacing w:line="240" w:lineRule="auto"/>
        <w:ind w:firstLine="640"/>
        <w:jc w:val="both"/>
      </w:pPr>
      <w:r>
        <w:rPr>
          <w:rFonts w:ascii="仿宋_GB2312" w:hAnsi="仿宋_GB2312" w:eastAsia="仿宋_GB2312"/>
          <w:b w:val="0"/>
          <w:sz w:val="32"/>
        </w:rPr>
        <w:t>二、《收入决算表》</w:t>
      </w:r>
    </w:p>
    <w:p w14:paraId="3B341274">
      <w:pPr>
        <w:spacing w:line="240" w:lineRule="auto"/>
        <w:ind w:firstLine="640"/>
        <w:jc w:val="both"/>
      </w:pPr>
      <w:r>
        <w:rPr>
          <w:rFonts w:ascii="仿宋_GB2312" w:hAnsi="仿宋_GB2312" w:eastAsia="仿宋_GB2312"/>
          <w:b w:val="0"/>
          <w:sz w:val="32"/>
        </w:rPr>
        <w:t>三、《支出决算表》</w:t>
      </w:r>
    </w:p>
    <w:p w14:paraId="01672172">
      <w:pPr>
        <w:spacing w:line="240" w:lineRule="auto"/>
        <w:ind w:firstLine="640"/>
        <w:jc w:val="both"/>
      </w:pPr>
      <w:r>
        <w:rPr>
          <w:rFonts w:ascii="仿宋_GB2312" w:hAnsi="仿宋_GB2312" w:eastAsia="仿宋_GB2312"/>
          <w:b w:val="0"/>
          <w:sz w:val="32"/>
        </w:rPr>
        <w:t>四、《财政拨款收入支出决算总表》</w:t>
      </w:r>
    </w:p>
    <w:p w14:paraId="355AFEC7">
      <w:pPr>
        <w:spacing w:line="240" w:lineRule="auto"/>
        <w:ind w:firstLine="640"/>
        <w:jc w:val="both"/>
      </w:pPr>
      <w:r>
        <w:rPr>
          <w:rFonts w:ascii="仿宋_GB2312" w:hAnsi="仿宋_GB2312" w:eastAsia="仿宋_GB2312"/>
          <w:b w:val="0"/>
          <w:sz w:val="32"/>
        </w:rPr>
        <w:t>五、《一般公共预算财政拨款支出决算表》</w:t>
      </w:r>
    </w:p>
    <w:p w14:paraId="1A22EEBB">
      <w:pPr>
        <w:spacing w:line="240" w:lineRule="auto"/>
        <w:ind w:firstLine="640"/>
        <w:jc w:val="both"/>
      </w:pPr>
      <w:r>
        <w:rPr>
          <w:rFonts w:ascii="仿宋_GB2312" w:hAnsi="仿宋_GB2312" w:eastAsia="仿宋_GB2312"/>
          <w:b w:val="0"/>
          <w:sz w:val="32"/>
        </w:rPr>
        <w:t>六、《一般公共预算财政拨款基本支出决算表》</w:t>
      </w:r>
    </w:p>
    <w:p w14:paraId="2B93D224">
      <w:pPr>
        <w:spacing w:line="240" w:lineRule="auto"/>
        <w:ind w:firstLine="640"/>
        <w:jc w:val="both"/>
      </w:pPr>
      <w:r>
        <w:rPr>
          <w:rFonts w:ascii="仿宋_GB2312" w:hAnsi="仿宋_GB2312" w:eastAsia="仿宋_GB2312"/>
          <w:b w:val="0"/>
          <w:sz w:val="32"/>
        </w:rPr>
        <w:t>七、《政府性基金预算财政拨款收入支出决算表》</w:t>
      </w:r>
    </w:p>
    <w:p w14:paraId="2A1E0B0A">
      <w:pPr>
        <w:spacing w:line="240" w:lineRule="auto"/>
        <w:ind w:firstLine="640"/>
        <w:jc w:val="both"/>
      </w:pPr>
      <w:r>
        <w:rPr>
          <w:rFonts w:ascii="仿宋_GB2312" w:hAnsi="仿宋_GB2312" w:eastAsia="仿宋_GB2312"/>
          <w:b w:val="0"/>
          <w:sz w:val="32"/>
        </w:rPr>
        <w:t>八、《国有资本经营预算财政拨款收入支出决算表》</w:t>
      </w:r>
    </w:p>
    <w:p w14:paraId="5BCAA5BE">
      <w:pPr>
        <w:spacing w:line="240" w:lineRule="auto"/>
        <w:ind w:firstLine="640"/>
        <w:jc w:val="both"/>
      </w:pPr>
      <w:r>
        <w:rPr>
          <w:rFonts w:ascii="仿宋_GB2312" w:hAnsi="仿宋_GB2312" w:eastAsia="仿宋_GB2312"/>
          <w:b w:val="0"/>
          <w:sz w:val="32"/>
        </w:rPr>
        <w:t>九、《财政拨款“三公”经费支出决算表》</w:t>
      </w:r>
    </w:p>
    <w:p w14:paraId="664CC8CB">
      <w:pPr>
        <w:spacing w:line="240" w:lineRule="auto"/>
        <w:ind w:firstLine="640"/>
        <w:jc w:val="both"/>
      </w:pPr>
    </w:p>
    <w:p w14:paraId="4981BEDC">
      <w:pPr>
        <w:spacing w:line="240" w:lineRule="auto"/>
        <w:ind w:firstLine="640"/>
        <w:jc w:val="both"/>
      </w:pPr>
    </w:p>
    <w:p w14:paraId="1C098F20">
      <w:pPr>
        <w:spacing w:line="240" w:lineRule="auto"/>
        <w:ind w:firstLine="640"/>
        <w:jc w:val="both"/>
      </w:pPr>
    </w:p>
    <w:p w14:paraId="2A6A4C4A">
      <w:pPr>
        <w:spacing w:line="240" w:lineRule="auto"/>
        <w:ind w:firstLine="640"/>
        <w:jc w:val="both"/>
      </w:pPr>
    </w:p>
    <w:p w14:paraId="313DE30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85A6E7F"/>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3F3569A"/>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4517253"/>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4533</Words>
  <Characters>5445</Characters>
  <Lines>0</Lines>
  <Paragraphs>0</Paragraphs>
  <TotalTime>5</TotalTime>
  <ScaleCrop>false</ScaleCrop>
  <LinksUpToDate>false</LinksUpToDate>
  <CharactersWithSpaces>5453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