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DB2B5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阿克陶县成人教育培训中心2024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AD3773">
      <w:r>
        <w:br w:type="page"/>
      </w:r>
    </w:p>
    <w:p w14:paraId="17EB5021">
      <w:pPr>
        <w:spacing w:line="640" w:lineRule="exact"/>
        <w:jc w:val="center"/>
        <w:outlineLvl w:val="1"/>
      </w:pPr>
      <w:r>
        <w:rPr>
          <w:rFonts w:ascii="黑体" w:hAnsi="黑体" w:eastAsia="黑体"/>
          <w:sz w:val="32"/>
        </w:rPr>
        <w:t>第一部分 单位概况</w:t>
      </w:r>
    </w:p>
    <w:p w14:paraId="1DEC86A1">
      <w:pPr>
        <w:spacing w:line="640" w:lineRule="exact"/>
        <w:ind w:firstLine="640"/>
        <w:jc w:val="both"/>
        <w:outlineLvl w:val="2"/>
      </w:pPr>
      <w:r>
        <w:rPr>
          <w:rFonts w:ascii="黑体" w:hAnsi="黑体" w:eastAsia="黑体"/>
          <w:sz w:val="32"/>
        </w:rPr>
        <w:t>一、主要职能</w:t>
      </w:r>
    </w:p>
    <w:p w14:paraId="3A707482">
      <w:pPr>
        <w:spacing w:line="580" w:lineRule="exact"/>
        <w:ind w:firstLine="640"/>
        <w:jc w:val="both"/>
      </w:pPr>
      <w:r>
        <w:rPr>
          <w:rFonts w:ascii="仿宋_GB2312" w:hAnsi="仿宋_GB2312" w:eastAsia="仿宋_GB2312"/>
          <w:sz w:val="32"/>
        </w:rPr>
        <w:t>（1）坚持正确政治方向。中心以</w:t>
      </w:r>
      <w:r>
        <w:rPr>
          <w:rFonts w:hint="eastAsia" w:ascii="仿宋_GB2312" w:hAnsi="仿宋_GB2312" w:eastAsia="仿宋_GB2312"/>
          <w:sz w:val="32"/>
          <w:lang w:eastAsia="zh-CN"/>
        </w:rPr>
        <w:t>习近平新时代中国特色社会主义思想</w:t>
      </w:r>
      <w:r>
        <w:rPr>
          <w:rFonts w:ascii="仿宋_GB2312" w:hAnsi="仿宋_GB2312" w:eastAsia="仿宋_GB2312"/>
          <w:sz w:val="32"/>
        </w:rPr>
        <w:t>为指引，全面贯彻党的各项决策部署，</w:t>
      </w:r>
      <w:r>
        <w:rPr>
          <w:rFonts w:hint="eastAsia" w:ascii="仿宋_GB2312" w:hAnsi="仿宋_GB2312" w:eastAsia="仿宋_GB2312"/>
          <w:sz w:val="32"/>
          <w:lang w:eastAsia="zh-CN"/>
        </w:rPr>
        <w:t>在思想上政治上行动上同党中央保持高度一致</w:t>
      </w:r>
      <w:r>
        <w:rPr>
          <w:rFonts w:ascii="仿宋_GB2312" w:hAnsi="仿宋_GB2312" w:eastAsia="仿宋_GB2312"/>
          <w:sz w:val="32"/>
        </w:rPr>
        <w:t>。</w:t>
      </w:r>
    </w:p>
    <w:p w14:paraId="0F3CDCA0">
      <w:pPr>
        <w:spacing w:line="580" w:lineRule="exact"/>
        <w:ind w:firstLine="640"/>
        <w:jc w:val="both"/>
      </w:pPr>
      <w:r>
        <w:rPr>
          <w:rFonts w:ascii="仿宋_GB2312" w:hAnsi="仿宋_GB2312" w:eastAsia="仿宋_GB2312"/>
          <w:sz w:val="32"/>
        </w:rPr>
        <w:t>（2）认真落实党建责任。始终把抓好基层党的建设工作作为首要任务，把党建工作摆上重要议事日程，强化对党建工作的指导，真正形成了书记亲自抓，班子成员配合抓，党务工作人员具体干的齐抓共管工作格局。</w:t>
      </w:r>
    </w:p>
    <w:p w14:paraId="141C6789">
      <w:pPr>
        <w:spacing w:line="580" w:lineRule="exact"/>
        <w:ind w:firstLine="640"/>
        <w:jc w:val="both"/>
      </w:pPr>
      <w:r>
        <w:rPr>
          <w:rFonts w:ascii="仿宋_GB2312" w:hAnsi="仿宋_GB2312" w:eastAsia="仿宋_GB2312"/>
          <w:sz w:val="32"/>
        </w:rPr>
        <w:t>（3）加强领导班子建设。加强思想建设，把坚定理想信念作为第一位任务。着力通过</w:t>
      </w:r>
      <w:r>
        <w:rPr>
          <w:rFonts w:hint="eastAsia" w:ascii="仿宋_GB2312" w:hAnsi="仿宋_GB2312" w:eastAsia="仿宋_GB2312"/>
          <w:sz w:val="32"/>
          <w:lang w:eastAsia="zh-CN"/>
        </w:rPr>
        <w:t>“两学一做”学</w:t>
      </w:r>
      <w:bookmarkStart w:id="0" w:name="_GoBack"/>
      <w:r>
        <w:rPr>
          <w:rFonts w:hint="eastAsia" w:ascii="仿宋_GB2312" w:hAnsi="仿宋_GB2312" w:eastAsia="仿宋_GB2312"/>
          <w:sz w:val="32"/>
          <w:lang w:eastAsia="zh-CN"/>
        </w:rPr>
        <w:t>习教育</w:t>
      </w:r>
      <w:bookmarkEnd w:id="0"/>
      <w:r>
        <w:rPr>
          <w:rFonts w:ascii="仿宋_GB2312" w:hAnsi="仿宋_GB2312" w:eastAsia="仿宋_GB2312"/>
          <w:sz w:val="32"/>
        </w:rPr>
        <w:t>，进一步加强党性党风教育。加强组织建设，选举产生新的领导班子，优化领导班子结构，增强领导班子功能。</w:t>
      </w:r>
    </w:p>
    <w:p w14:paraId="46ECFE15">
      <w:pPr>
        <w:spacing w:line="580" w:lineRule="exact"/>
        <w:ind w:firstLine="640"/>
        <w:jc w:val="both"/>
      </w:pPr>
      <w:r>
        <w:rPr>
          <w:rFonts w:ascii="仿宋_GB2312" w:hAnsi="仿宋_GB2312" w:eastAsia="仿宋_GB2312"/>
          <w:sz w:val="32"/>
        </w:rPr>
        <w:t>（4）加强作风建设。推进改进作风常态化和反腐败体制机制创新，完善民族团结工作制度和党风廉政建设制度。</w:t>
      </w:r>
    </w:p>
    <w:p w14:paraId="0538B373">
      <w:pPr>
        <w:spacing w:line="640" w:lineRule="exact"/>
        <w:ind w:firstLine="640"/>
        <w:jc w:val="both"/>
        <w:outlineLvl w:val="2"/>
      </w:pPr>
      <w:r>
        <w:rPr>
          <w:rFonts w:ascii="黑体" w:hAnsi="黑体" w:eastAsia="黑体"/>
          <w:sz w:val="32"/>
        </w:rPr>
        <w:t>二、机构设置及人员情况</w:t>
      </w:r>
    </w:p>
    <w:p w14:paraId="283F3C5B">
      <w:pPr>
        <w:spacing w:line="580" w:lineRule="exact"/>
        <w:ind w:firstLine="640"/>
        <w:jc w:val="both"/>
      </w:pPr>
      <w:r>
        <w:rPr>
          <w:rFonts w:ascii="仿宋_GB2312" w:hAnsi="仿宋_GB2312" w:eastAsia="仿宋_GB2312"/>
          <w:sz w:val="32"/>
        </w:rPr>
        <w:t>阿克陶县成人教育培训中心2024年度，实有人数26人，其中：在职人员15人，增加0人；离休人员0人，增加0人；退休人员11人,增加0人。</w:t>
      </w:r>
    </w:p>
    <w:p w14:paraId="3DCD5150">
      <w:pPr>
        <w:keepNext w:val="0"/>
        <w:keepLines w:val="0"/>
        <w:pageBreakBefore w:val="0"/>
        <w:widowControl w:val="0"/>
        <w:kinsoku/>
        <w:wordWrap/>
        <w:overflowPunct/>
        <w:topLinePunct w:val="0"/>
        <w:autoSpaceDE/>
        <w:autoSpaceDN/>
        <w:bidi w:val="0"/>
        <w:adjustRightInd/>
        <w:snapToGrid/>
        <w:spacing w:line="580" w:lineRule="exact"/>
        <w:ind w:right="-320" w:rightChars="-100" w:firstLine="641"/>
        <w:jc w:val="both"/>
        <w:textAlignment w:val="auto"/>
      </w:pPr>
      <w:r>
        <w:rPr>
          <w:rFonts w:ascii="仿宋_GB2312" w:hAnsi="仿宋_GB2312" w:eastAsia="仿宋_GB2312"/>
          <w:sz w:val="32"/>
        </w:rPr>
        <w:t>阿克陶县成人教育培训中心无下属预算单位，下设5个科室，分别是：主任办公室、财务室、教师办公室、党建办、电大办公室。</w:t>
      </w:r>
    </w:p>
    <w:p w14:paraId="3E00D130">
      <w:r>
        <w:br w:type="page"/>
      </w:r>
    </w:p>
    <w:p w14:paraId="1979A450">
      <w:pPr>
        <w:spacing w:line="240" w:lineRule="auto"/>
        <w:jc w:val="center"/>
        <w:outlineLvl w:val="1"/>
      </w:pPr>
      <w:r>
        <w:rPr>
          <w:rFonts w:ascii="黑体" w:hAnsi="黑体" w:eastAsia="黑体"/>
          <w:sz w:val="32"/>
        </w:rPr>
        <w:t>第二部分 部门决算情况说明</w:t>
      </w:r>
    </w:p>
    <w:p w14:paraId="6F3F1C85">
      <w:pPr>
        <w:spacing w:line="640" w:lineRule="exact"/>
        <w:ind w:firstLine="640"/>
        <w:jc w:val="both"/>
        <w:outlineLvl w:val="2"/>
      </w:pPr>
      <w:r>
        <w:rPr>
          <w:rFonts w:ascii="黑体" w:hAnsi="黑体" w:eastAsia="黑体"/>
          <w:sz w:val="32"/>
        </w:rPr>
        <w:t>一、收入支出决算总体情况说明</w:t>
      </w:r>
    </w:p>
    <w:p w14:paraId="3C9758B6">
      <w:pPr>
        <w:spacing w:line="580" w:lineRule="exact"/>
        <w:ind w:firstLine="640"/>
        <w:jc w:val="both"/>
      </w:pPr>
      <w:r>
        <w:rPr>
          <w:rFonts w:ascii="仿宋_GB2312" w:hAnsi="仿宋_GB2312" w:eastAsia="仿宋_GB2312"/>
          <w:b/>
          <w:sz w:val="32"/>
        </w:rPr>
        <w:t>2024年度收入总计557.43万元，</w:t>
      </w:r>
      <w:r>
        <w:rPr>
          <w:rFonts w:ascii="仿宋_GB2312" w:hAnsi="仿宋_GB2312" w:eastAsia="仿宋_GB2312"/>
          <w:b w:val="0"/>
          <w:sz w:val="32"/>
        </w:rPr>
        <w:t>其中：本年收入合计439.31万元，使用非财政拨款结余（含专用结余）0.00万元，年初结转和结余118.12万元。</w:t>
      </w:r>
    </w:p>
    <w:p w14:paraId="1B3C1CA9">
      <w:pPr>
        <w:spacing w:line="580" w:lineRule="exact"/>
        <w:ind w:firstLine="640"/>
        <w:jc w:val="both"/>
      </w:pPr>
      <w:r>
        <w:rPr>
          <w:rFonts w:ascii="仿宋_GB2312" w:hAnsi="仿宋_GB2312" w:eastAsia="仿宋_GB2312"/>
          <w:b/>
          <w:sz w:val="32"/>
        </w:rPr>
        <w:t>2024年度支出总计557.43万元，</w:t>
      </w:r>
      <w:r>
        <w:rPr>
          <w:rFonts w:ascii="仿宋_GB2312" w:hAnsi="仿宋_GB2312" w:eastAsia="仿宋_GB2312"/>
          <w:b w:val="0"/>
          <w:sz w:val="32"/>
        </w:rPr>
        <w:t>其中：本年支出合计424.52万元，结余分配0.00万元，年末结转和结余132.90万元。</w:t>
      </w:r>
    </w:p>
    <w:p w14:paraId="2327A178">
      <w:pPr>
        <w:spacing w:line="580" w:lineRule="exact"/>
        <w:ind w:firstLine="640"/>
        <w:jc w:val="both"/>
      </w:pPr>
      <w:r>
        <w:rPr>
          <w:rFonts w:ascii="仿宋_GB2312" w:hAnsi="仿宋_GB2312" w:eastAsia="仿宋_GB2312"/>
          <w:b w:val="0"/>
          <w:sz w:val="32"/>
        </w:rPr>
        <w:t>收入支出总体与上年相比，减少44.90万元，下降7.45%，主要原因是：本年减少补发艰苦地区津贴项目；电大学费返还收入项目资金较上年减少。</w:t>
      </w:r>
    </w:p>
    <w:p w14:paraId="3B348776">
      <w:pPr>
        <w:spacing w:line="640" w:lineRule="exact"/>
        <w:ind w:firstLine="640"/>
        <w:jc w:val="both"/>
        <w:outlineLvl w:val="2"/>
      </w:pPr>
      <w:r>
        <w:rPr>
          <w:rFonts w:ascii="黑体" w:hAnsi="黑体" w:eastAsia="黑体"/>
          <w:sz w:val="32"/>
        </w:rPr>
        <w:t>二、收入决算情况说明</w:t>
      </w:r>
    </w:p>
    <w:p w14:paraId="0A791D05">
      <w:pPr>
        <w:spacing w:line="580" w:lineRule="exact"/>
        <w:ind w:firstLine="640"/>
        <w:jc w:val="both"/>
      </w:pPr>
      <w:r>
        <w:rPr>
          <w:rFonts w:ascii="仿宋_GB2312" w:hAnsi="仿宋_GB2312" w:eastAsia="仿宋_GB2312"/>
          <w:b/>
          <w:sz w:val="32"/>
        </w:rPr>
        <w:t>本年收入439.31万元，</w:t>
      </w:r>
      <w:r>
        <w:rPr>
          <w:rFonts w:ascii="仿宋_GB2312" w:hAnsi="仿宋_GB2312" w:eastAsia="仿宋_GB2312"/>
          <w:b w:val="0"/>
          <w:sz w:val="32"/>
        </w:rPr>
        <w:t>其中：财政拨款收入405.15万元，占92.22%；上级补助收入0.00万元，占0.00%；事业收入0.00万元，占0.00%；经营收入0.00万元，占0.00%；附属单位上缴收入0.00万元，占0.00%；其他收入34.16万元，占7.78%。</w:t>
      </w:r>
    </w:p>
    <w:p w14:paraId="53E59BA5">
      <w:pPr>
        <w:spacing w:line="640" w:lineRule="exact"/>
        <w:ind w:firstLine="640"/>
        <w:jc w:val="both"/>
        <w:outlineLvl w:val="2"/>
      </w:pPr>
      <w:r>
        <w:rPr>
          <w:rFonts w:ascii="黑体" w:hAnsi="黑体" w:eastAsia="黑体"/>
          <w:sz w:val="32"/>
        </w:rPr>
        <w:t>三、支出决算情况说明</w:t>
      </w:r>
    </w:p>
    <w:p w14:paraId="5394BA76">
      <w:pPr>
        <w:spacing w:line="580" w:lineRule="exact"/>
        <w:ind w:firstLine="640"/>
        <w:jc w:val="both"/>
      </w:pPr>
      <w:r>
        <w:rPr>
          <w:rFonts w:ascii="仿宋_GB2312" w:hAnsi="仿宋_GB2312" w:eastAsia="仿宋_GB2312"/>
          <w:b/>
          <w:sz w:val="32"/>
        </w:rPr>
        <w:t>本年支出424.52万元，</w:t>
      </w:r>
      <w:r>
        <w:rPr>
          <w:rFonts w:ascii="仿宋_GB2312" w:hAnsi="仿宋_GB2312" w:eastAsia="仿宋_GB2312"/>
          <w:b w:val="0"/>
          <w:sz w:val="32"/>
        </w:rPr>
        <w:t>其中：基本支出405.15万元，占95.44%；项目支出19.38万元，占4.57%；上缴上级支出0.00万元，占0.00%；经营支出0.00万元，占0.00%；对附属单位补助支出0.00万元，占0.00%。</w:t>
      </w:r>
    </w:p>
    <w:p w14:paraId="18B377D8">
      <w:pPr>
        <w:spacing w:line="640" w:lineRule="exact"/>
        <w:ind w:firstLine="640"/>
        <w:jc w:val="both"/>
        <w:outlineLvl w:val="2"/>
      </w:pPr>
      <w:r>
        <w:rPr>
          <w:rFonts w:ascii="黑体" w:hAnsi="黑体" w:eastAsia="黑体"/>
          <w:sz w:val="32"/>
        </w:rPr>
        <w:t>四、财政拨款收入支出决算总体情况说明</w:t>
      </w:r>
    </w:p>
    <w:p w14:paraId="7547EFAE">
      <w:pPr>
        <w:spacing w:line="580" w:lineRule="exact"/>
        <w:ind w:firstLine="640"/>
        <w:jc w:val="both"/>
      </w:pPr>
      <w:r>
        <w:rPr>
          <w:rFonts w:ascii="仿宋_GB2312" w:hAnsi="仿宋_GB2312" w:eastAsia="仿宋_GB2312"/>
          <w:b/>
          <w:sz w:val="32"/>
        </w:rPr>
        <w:t>2024年度财政拨款收入总计405.15万元，</w:t>
      </w:r>
      <w:r>
        <w:rPr>
          <w:rFonts w:ascii="仿宋_GB2312" w:hAnsi="仿宋_GB2312" w:eastAsia="仿宋_GB2312"/>
          <w:b w:val="0"/>
          <w:sz w:val="32"/>
        </w:rPr>
        <w:t>其中：年初财政拨款结转和结余0.00万元，本年财政拨款收入405.15万元。</w:t>
      </w:r>
      <w:r>
        <w:rPr>
          <w:rFonts w:ascii="仿宋_GB2312" w:hAnsi="仿宋_GB2312" w:eastAsia="仿宋_GB2312"/>
          <w:b/>
          <w:sz w:val="32"/>
        </w:rPr>
        <w:t>财政拨款支出总计405.15万元，</w:t>
      </w:r>
      <w:r>
        <w:rPr>
          <w:rFonts w:ascii="仿宋_GB2312" w:hAnsi="仿宋_GB2312" w:eastAsia="仿宋_GB2312"/>
          <w:b w:val="0"/>
          <w:sz w:val="32"/>
        </w:rPr>
        <w:t>其中：年末财政拨款结转和结余0.00万元，本年财政拨款支出405.15万元。</w:t>
      </w:r>
    </w:p>
    <w:p w14:paraId="6AB842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减少34.33万元，下降7.81%，主要原因是：本年减少补发艰苦地区津贴项目。</w:t>
      </w:r>
      <w:r>
        <w:rPr>
          <w:rFonts w:ascii="仿宋_GB2312" w:hAnsi="仿宋_GB2312" w:eastAsia="仿宋_GB2312"/>
          <w:b/>
          <w:sz w:val="32"/>
        </w:rPr>
        <w:t>与年初预算相比，</w:t>
      </w:r>
      <w:r>
        <w:rPr>
          <w:rFonts w:ascii="仿宋_GB2312" w:hAnsi="仿宋_GB2312" w:eastAsia="仿宋_GB2312"/>
          <w:b w:val="0"/>
          <w:sz w:val="32"/>
        </w:rPr>
        <w:t>年初预算数397.80万元，决算数405.15万元，预决算差异率1.85%，主要原因是：年中追加人员工资、社保、公积金基数调增部分资金，导致预决算存在差异。</w:t>
      </w:r>
    </w:p>
    <w:p w14:paraId="775F99E7">
      <w:pPr>
        <w:spacing w:line="640" w:lineRule="exact"/>
        <w:ind w:firstLine="640"/>
        <w:jc w:val="both"/>
        <w:outlineLvl w:val="2"/>
      </w:pPr>
      <w:r>
        <w:rPr>
          <w:rFonts w:ascii="黑体" w:hAnsi="黑体" w:eastAsia="黑体"/>
          <w:sz w:val="32"/>
        </w:rPr>
        <w:t>五、一般公共预算财政拨款支出决算情况说明</w:t>
      </w:r>
    </w:p>
    <w:p w14:paraId="606E0C24">
      <w:pPr>
        <w:spacing w:line="640" w:lineRule="exact"/>
        <w:ind w:firstLine="640"/>
        <w:jc w:val="both"/>
        <w:outlineLvl w:val="3"/>
      </w:pPr>
      <w:r>
        <w:rPr>
          <w:rFonts w:ascii="楷体_GB2312" w:hAnsi="楷体_GB2312" w:eastAsia="楷体_GB2312"/>
          <w:b/>
          <w:sz w:val="32"/>
        </w:rPr>
        <w:t>（一）一般公共预算财政拨款支出决算总体情况</w:t>
      </w:r>
    </w:p>
    <w:p w14:paraId="25C79AD2">
      <w:pPr>
        <w:spacing w:line="580" w:lineRule="exact"/>
        <w:ind w:firstLine="640"/>
        <w:jc w:val="both"/>
      </w:pPr>
      <w:r>
        <w:rPr>
          <w:rFonts w:ascii="仿宋_GB2312" w:hAnsi="仿宋_GB2312" w:eastAsia="仿宋_GB2312"/>
          <w:b/>
          <w:sz w:val="32"/>
        </w:rPr>
        <w:t>2024年度一般公共预算财政拨款支出405.15万元，</w:t>
      </w:r>
      <w:r>
        <w:rPr>
          <w:rFonts w:ascii="仿宋_GB2312" w:hAnsi="仿宋_GB2312" w:eastAsia="仿宋_GB2312"/>
          <w:b w:val="0"/>
          <w:sz w:val="32"/>
        </w:rPr>
        <w:t>占本年支出合计的95.44%。</w:t>
      </w:r>
      <w:r>
        <w:rPr>
          <w:rFonts w:ascii="仿宋_GB2312" w:hAnsi="仿宋_GB2312" w:eastAsia="仿宋_GB2312"/>
          <w:b/>
          <w:sz w:val="32"/>
        </w:rPr>
        <w:t>与上年相比，</w:t>
      </w:r>
      <w:r>
        <w:rPr>
          <w:rFonts w:ascii="仿宋_GB2312" w:hAnsi="仿宋_GB2312" w:eastAsia="仿宋_GB2312"/>
          <w:b w:val="0"/>
          <w:sz w:val="32"/>
        </w:rPr>
        <w:t>减少34.33万元，下降7.81%，主要原因是：本年减少补发艰苦地区津贴项目。</w:t>
      </w:r>
      <w:r>
        <w:rPr>
          <w:rFonts w:ascii="仿宋_GB2312" w:hAnsi="仿宋_GB2312" w:eastAsia="仿宋_GB2312"/>
          <w:b/>
          <w:sz w:val="32"/>
        </w:rPr>
        <w:t>与年初预算相比,</w:t>
      </w:r>
      <w:r>
        <w:rPr>
          <w:rFonts w:ascii="仿宋_GB2312" w:hAnsi="仿宋_GB2312" w:eastAsia="仿宋_GB2312"/>
          <w:b w:val="0"/>
          <w:sz w:val="32"/>
        </w:rPr>
        <w:t>年初预算数397.80万元，决算数405.15万元，预决算差异率1.85%，主要原因是：年中追加人员工资、社保、公积金基数调增部分资金，导致预决算存在差异。</w:t>
      </w:r>
    </w:p>
    <w:p w14:paraId="1A625A62">
      <w:pPr>
        <w:spacing w:line="640" w:lineRule="exact"/>
        <w:ind w:firstLine="640"/>
        <w:jc w:val="both"/>
        <w:outlineLvl w:val="3"/>
      </w:pPr>
      <w:r>
        <w:rPr>
          <w:rFonts w:ascii="楷体_GB2312" w:hAnsi="楷体_GB2312" w:eastAsia="楷体_GB2312"/>
          <w:b/>
          <w:sz w:val="32"/>
        </w:rPr>
        <w:t>（二）一般公共预算财政拨款支出决算结构情况</w:t>
      </w:r>
    </w:p>
    <w:p w14:paraId="111FF232">
      <w:pPr>
        <w:spacing w:line="580" w:lineRule="exact"/>
        <w:ind w:firstLine="640"/>
        <w:jc w:val="both"/>
      </w:pPr>
      <w:r>
        <w:rPr>
          <w:rFonts w:ascii="仿宋_GB2312" w:hAnsi="仿宋_GB2312" w:eastAsia="仿宋_GB2312"/>
          <w:b w:val="0"/>
          <w:sz w:val="32"/>
        </w:rPr>
        <w:t>1.教育支出(类)405.15万元,占100.00%。</w:t>
      </w:r>
    </w:p>
    <w:p w14:paraId="1F9F8985">
      <w:pPr>
        <w:spacing w:line="640" w:lineRule="exact"/>
        <w:ind w:firstLine="640"/>
        <w:jc w:val="both"/>
        <w:outlineLvl w:val="3"/>
      </w:pPr>
      <w:r>
        <w:rPr>
          <w:rFonts w:ascii="楷体_GB2312" w:hAnsi="楷体_GB2312" w:eastAsia="楷体_GB2312"/>
          <w:b/>
          <w:sz w:val="32"/>
        </w:rPr>
        <w:t>（三）一般公共预算财政拨款支出决算具体情况</w:t>
      </w:r>
    </w:p>
    <w:p w14:paraId="72556C48">
      <w:pPr>
        <w:spacing w:line="580" w:lineRule="exact"/>
        <w:ind w:firstLine="640"/>
        <w:jc w:val="both"/>
      </w:pPr>
      <w:r>
        <w:rPr>
          <w:rFonts w:ascii="仿宋_GB2312" w:hAnsi="仿宋_GB2312" w:eastAsia="仿宋_GB2312"/>
          <w:b w:val="0"/>
          <w:sz w:val="32"/>
        </w:rPr>
        <w:t>1.教育支出(类)进修及培训(款)教师进修(项):支出决算数为405.15万元，比上年决算增加54.20万元，增长15.44%,主要原因是：本年功能科目调整，养老保险缴费上年度单独列支，本年调整至主科目列支，导致经费较上年增加。</w:t>
      </w:r>
    </w:p>
    <w:p w14:paraId="273067B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34.90万元，下降100.00%,主要原因是：本年功能科目调整，养老保险缴费上年度单独列支，本年调整至主科目列支，导致经费较上年减少。</w:t>
      </w:r>
    </w:p>
    <w:p w14:paraId="6627D876">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3.社会保障和就业支出(类)抚恤(款)死亡抚恤(项):支出决算数为0.00万元，比上年决算减少53.63万元，下降100.00%,主要原因是：本年无新增死亡人员，死亡抚恤支出较上年减少。</w:t>
      </w:r>
    </w:p>
    <w:p w14:paraId="0F5CC677">
      <w:pPr>
        <w:spacing w:line="640" w:lineRule="exact"/>
        <w:ind w:firstLine="640"/>
        <w:jc w:val="both"/>
        <w:outlineLvl w:val="2"/>
      </w:pPr>
      <w:r>
        <w:rPr>
          <w:rFonts w:ascii="黑体" w:hAnsi="黑体" w:eastAsia="黑体"/>
          <w:sz w:val="32"/>
        </w:rPr>
        <w:t>六、一般公共预算财政拨款基本支出决算情况说明</w:t>
      </w:r>
    </w:p>
    <w:p w14:paraId="28F219FD">
      <w:pPr>
        <w:spacing w:line="580" w:lineRule="exact"/>
        <w:ind w:firstLine="640"/>
        <w:jc w:val="both"/>
      </w:pPr>
      <w:r>
        <w:rPr>
          <w:rFonts w:ascii="仿宋_GB2312" w:hAnsi="仿宋_GB2312" w:eastAsia="仿宋_GB2312"/>
          <w:b w:val="0"/>
          <w:sz w:val="32"/>
        </w:rPr>
        <w:t>2024年度一般公共预算财政拨款基本支出405.15万元，其中：</w:t>
      </w:r>
      <w:r>
        <w:rPr>
          <w:rFonts w:ascii="仿宋_GB2312" w:hAnsi="仿宋_GB2312" w:eastAsia="仿宋_GB2312"/>
          <w:b/>
          <w:sz w:val="32"/>
        </w:rPr>
        <w:t>人员经费405.15万元，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347161C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CBCFF8D">
      <w:pPr>
        <w:spacing w:line="640" w:lineRule="exact"/>
        <w:ind w:firstLine="640"/>
        <w:jc w:val="both"/>
        <w:outlineLvl w:val="2"/>
      </w:pPr>
      <w:r>
        <w:rPr>
          <w:rFonts w:ascii="黑体" w:hAnsi="黑体" w:eastAsia="黑体"/>
          <w:sz w:val="32"/>
        </w:rPr>
        <w:t>七、政府性基金预算财政拨款收入支出决算情况说明</w:t>
      </w:r>
    </w:p>
    <w:p w14:paraId="1856A2B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2ADA73">
      <w:pPr>
        <w:spacing w:line="640" w:lineRule="exact"/>
        <w:ind w:firstLine="640"/>
        <w:jc w:val="both"/>
        <w:outlineLvl w:val="2"/>
      </w:pPr>
      <w:r>
        <w:rPr>
          <w:rFonts w:ascii="黑体" w:hAnsi="黑体" w:eastAsia="黑体"/>
          <w:sz w:val="32"/>
        </w:rPr>
        <w:t>八、国有资本经营预算财政拨款收入支出决算情况说明</w:t>
      </w:r>
    </w:p>
    <w:p w14:paraId="09705F8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633AC2">
      <w:pPr>
        <w:spacing w:line="640" w:lineRule="exact"/>
        <w:ind w:firstLine="640"/>
        <w:jc w:val="both"/>
        <w:outlineLvl w:val="2"/>
      </w:pPr>
      <w:r>
        <w:rPr>
          <w:rFonts w:ascii="黑体" w:hAnsi="黑体" w:eastAsia="黑体"/>
          <w:sz w:val="32"/>
        </w:rPr>
        <w:t>九、财政拨款“三公”经费支出决算情况说明</w:t>
      </w:r>
    </w:p>
    <w:p w14:paraId="485C4E2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C63628">
      <w:pPr>
        <w:spacing w:line="580" w:lineRule="exact"/>
        <w:ind w:firstLine="640"/>
        <w:jc w:val="both"/>
      </w:pPr>
      <w:r>
        <w:rPr>
          <w:rFonts w:ascii="仿宋_GB2312" w:hAnsi="仿宋_GB2312" w:eastAsia="仿宋_GB2312"/>
          <w:b/>
          <w:sz w:val="32"/>
        </w:rPr>
        <w:t>具体情况如下：</w:t>
      </w:r>
    </w:p>
    <w:p w14:paraId="7C8A1B1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F9B8E2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1AB2607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D3EEC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514E381">
      <w:pPr>
        <w:spacing w:line="640" w:lineRule="exact"/>
        <w:ind w:firstLine="640"/>
        <w:jc w:val="both"/>
        <w:outlineLvl w:val="2"/>
      </w:pPr>
      <w:r>
        <w:rPr>
          <w:rFonts w:ascii="黑体" w:hAnsi="黑体" w:eastAsia="黑体"/>
          <w:sz w:val="32"/>
        </w:rPr>
        <w:t>十、其他重要事项的情况说明</w:t>
      </w:r>
    </w:p>
    <w:p w14:paraId="11B0CD88">
      <w:pPr>
        <w:spacing w:line="640" w:lineRule="exact"/>
        <w:ind w:firstLine="640"/>
        <w:jc w:val="both"/>
        <w:outlineLvl w:val="3"/>
      </w:pPr>
      <w:r>
        <w:rPr>
          <w:rFonts w:ascii="楷体_GB2312" w:hAnsi="楷体_GB2312" w:eastAsia="楷体_GB2312"/>
          <w:b/>
          <w:sz w:val="32"/>
        </w:rPr>
        <w:t>（一）机关运行经费及公用经费支出情况</w:t>
      </w:r>
    </w:p>
    <w:p w14:paraId="46C6750C">
      <w:pPr>
        <w:spacing w:line="580" w:lineRule="exact"/>
        <w:ind w:firstLine="640"/>
        <w:jc w:val="both"/>
      </w:pPr>
      <w:r>
        <w:rPr>
          <w:rFonts w:ascii="仿宋_GB2312" w:hAnsi="仿宋_GB2312" w:eastAsia="仿宋_GB2312"/>
          <w:b w:val="0"/>
          <w:sz w:val="32"/>
        </w:rPr>
        <w:t>2024年度阿克陶县成人教育培训中心（事业单位）公用经费支出0.00万元，比上年增加0.00万元，增长0.00%，主要原因是：2023年与2024年均未安排公用经费支出。</w:t>
      </w:r>
    </w:p>
    <w:p w14:paraId="675A178B">
      <w:pPr>
        <w:spacing w:line="640" w:lineRule="exact"/>
        <w:ind w:firstLine="640"/>
        <w:jc w:val="both"/>
        <w:outlineLvl w:val="3"/>
      </w:pPr>
      <w:r>
        <w:rPr>
          <w:rFonts w:ascii="楷体_GB2312" w:hAnsi="楷体_GB2312" w:eastAsia="楷体_GB2312"/>
          <w:b/>
          <w:sz w:val="32"/>
        </w:rPr>
        <w:t>（二）政府采购情况</w:t>
      </w:r>
    </w:p>
    <w:p w14:paraId="0B03A09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21828A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CCCD08C">
      <w:pPr>
        <w:spacing w:line="640" w:lineRule="exact"/>
        <w:ind w:firstLine="640"/>
        <w:jc w:val="both"/>
        <w:outlineLvl w:val="3"/>
      </w:pPr>
      <w:r>
        <w:rPr>
          <w:rFonts w:ascii="楷体_GB2312" w:hAnsi="楷体_GB2312" w:eastAsia="楷体_GB2312"/>
          <w:b/>
          <w:sz w:val="32"/>
        </w:rPr>
        <w:t>（三）国有资产占用情况说明</w:t>
      </w:r>
    </w:p>
    <w:p w14:paraId="0580508B">
      <w:pPr>
        <w:spacing w:line="580" w:lineRule="exact"/>
        <w:ind w:firstLine="640"/>
        <w:jc w:val="both"/>
      </w:pPr>
      <w:r>
        <w:rPr>
          <w:rFonts w:ascii="仿宋_GB2312" w:hAnsi="仿宋_GB2312" w:eastAsia="仿宋_GB2312"/>
          <w:b w:val="0"/>
          <w:sz w:val="32"/>
        </w:rPr>
        <w:t>截至2024年12月31日，房屋0.00平方米，价值0.00万元。车辆1辆，价值13.98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E5BDDA5">
      <w:pPr>
        <w:spacing w:line="640" w:lineRule="exact"/>
        <w:ind w:firstLine="640"/>
        <w:jc w:val="both"/>
        <w:outlineLvl w:val="2"/>
      </w:pPr>
      <w:r>
        <w:rPr>
          <w:rFonts w:ascii="黑体" w:hAnsi="黑体" w:eastAsia="黑体"/>
          <w:sz w:val="32"/>
        </w:rPr>
        <w:t>十一、预算绩效的情况说明</w:t>
      </w:r>
    </w:p>
    <w:p w14:paraId="0089957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557.43万元，实际执行总额424.52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77973F0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D6BA3B0">
        <w:tblPrEx>
          <w:tblCellMar>
            <w:top w:w="0" w:type="dxa"/>
            <w:left w:w="108" w:type="dxa"/>
            <w:bottom w:w="0" w:type="dxa"/>
            <w:right w:w="108" w:type="dxa"/>
          </w:tblCellMar>
        </w:tblPrEx>
        <w:tc>
          <w:tcPr>
            <w:tcW w:w="8840" w:type="dxa"/>
            <w:gridSpan w:val="8"/>
            <w:vAlign w:val="center"/>
          </w:tcPr>
          <w:p w14:paraId="3117230C">
            <w:pPr>
              <w:jc w:val="center"/>
            </w:pPr>
            <w:r>
              <w:rPr>
                <w:rFonts w:ascii="宋体" w:hAnsi="宋体" w:eastAsia="宋体"/>
                <w:sz w:val="24"/>
              </w:rPr>
              <w:t>单位整体支出绩效自评表</w:t>
            </w:r>
          </w:p>
        </w:tc>
      </w:tr>
      <w:tr w14:paraId="296B4CFD">
        <w:tblPrEx>
          <w:tblCellMar>
            <w:top w:w="0" w:type="dxa"/>
            <w:left w:w="108" w:type="dxa"/>
            <w:bottom w:w="0" w:type="dxa"/>
            <w:right w:w="108" w:type="dxa"/>
          </w:tblCellMar>
        </w:tblPrEx>
        <w:tc>
          <w:tcPr>
            <w:tcW w:w="8840" w:type="dxa"/>
            <w:gridSpan w:val="8"/>
            <w:vAlign w:val="center"/>
          </w:tcPr>
          <w:p w14:paraId="5CFC6F43">
            <w:pPr>
              <w:jc w:val="center"/>
            </w:pPr>
            <w:r>
              <w:rPr>
                <w:rFonts w:ascii="宋体" w:hAnsi="宋体" w:eastAsia="宋体"/>
                <w:sz w:val="24"/>
              </w:rPr>
              <w:t>（2024年度）</w:t>
            </w:r>
          </w:p>
        </w:tc>
      </w:tr>
      <w:tr w14:paraId="7B0B0C5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4D8E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FF0E5">
            <w:pPr>
              <w:jc w:val="center"/>
            </w:pPr>
            <w:r>
              <w:rPr>
                <w:rFonts w:ascii="宋体" w:hAnsi="宋体" w:eastAsia="宋体"/>
                <w:sz w:val="16"/>
              </w:rPr>
              <w:t>阿克陶县成人教育培训中心</w:t>
            </w:r>
          </w:p>
        </w:tc>
      </w:tr>
      <w:tr w14:paraId="6EA879F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22C6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51D0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402C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3996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E581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450A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76F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CD35E">
            <w:pPr>
              <w:jc w:val="center"/>
            </w:pPr>
            <w:r>
              <w:rPr>
                <w:rFonts w:ascii="宋体" w:hAnsi="宋体" w:eastAsia="宋体"/>
                <w:sz w:val="16"/>
              </w:rPr>
              <w:t>得分</w:t>
            </w:r>
          </w:p>
        </w:tc>
      </w:tr>
      <w:tr w14:paraId="15B09A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E70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C499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9DF2A">
            <w:pPr>
              <w:jc w:val="center"/>
            </w:pPr>
            <w:r>
              <w:rPr>
                <w:rFonts w:ascii="宋体" w:hAnsi="宋体" w:eastAsia="宋体"/>
                <w:sz w:val="16"/>
              </w:rPr>
              <w:t>397.80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52FFA">
            <w:pPr>
              <w:jc w:val="center"/>
            </w:pPr>
            <w:r>
              <w:rPr>
                <w:rFonts w:ascii="宋体" w:hAnsi="宋体" w:eastAsia="宋体"/>
                <w:sz w:val="16"/>
              </w:rPr>
              <w:t>557.43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C7E98">
            <w:pPr>
              <w:jc w:val="center"/>
            </w:pPr>
            <w:r>
              <w:rPr>
                <w:rFonts w:ascii="宋体" w:hAnsi="宋体" w:eastAsia="宋体"/>
                <w:sz w:val="16"/>
              </w:rPr>
              <w:t>424.52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FD7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1B0ED">
            <w:pPr>
              <w:jc w:val="center"/>
            </w:pPr>
            <w:r>
              <w:rPr>
                <w:rFonts w:ascii="宋体" w:hAnsi="宋体" w:eastAsia="宋体"/>
                <w:sz w:val="16"/>
              </w:rPr>
              <w:t>76.16%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A7B9">
            <w:pPr>
              <w:jc w:val="center"/>
            </w:pPr>
            <w:r>
              <w:rPr>
                <w:rFonts w:ascii="宋体" w:hAnsi="宋体" w:eastAsia="宋体"/>
                <w:sz w:val="16"/>
              </w:rPr>
              <w:t>7.62</w:t>
            </w:r>
          </w:p>
        </w:tc>
      </w:tr>
      <w:tr w14:paraId="20401A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4926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D50A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A7D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1E46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EDF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222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B60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2A9F1">
            <w:pPr>
              <w:jc w:val="center"/>
            </w:pPr>
            <w:r>
              <w:rPr>
                <w:rFonts w:ascii="宋体" w:hAnsi="宋体" w:eastAsia="宋体"/>
                <w:sz w:val="16"/>
              </w:rPr>
              <w:t>—</w:t>
            </w:r>
          </w:p>
        </w:tc>
      </w:tr>
      <w:tr w14:paraId="71EFBC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60C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C50E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75AB2">
            <w:pPr>
              <w:jc w:val="center"/>
            </w:pPr>
            <w:r>
              <w:rPr>
                <w:rFonts w:ascii="宋体" w:hAnsi="宋体" w:eastAsia="宋体"/>
                <w:sz w:val="16"/>
              </w:rPr>
              <w:t>397.80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42EDD">
            <w:pPr>
              <w:jc w:val="center"/>
            </w:pPr>
            <w:r>
              <w:rPr>
                <w:rFonts w:ascii="宋体" w:hAnsi="宋体" w:eastAsia="宋体"/>
                <w:sz w:val="16"/>
              </w:rPr>
              <w:t>557.43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7DE63">
            <w:pPr>
              <w:jc w:val="center"/>
            </w:pPr>
            <w:r>
              <w:rPr>
                <w:rFonts w:ascii="宋体" w:hAnsi="宋体" w:eastAsia="宋体"/>
                <w:sz w:val="16"/>
              </w:rPr>
              <w:t>424.52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AC4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3B6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9EC56">
            <w:pPr>
              <w:jc w:val="center"/>
            </w:pPr>
            <w:r>
              <w:rPr>
                <w:rFonts w:ascii="宋体" w:hAnsi="宋体" w:eastAsia="宋体"/>
                <w:sz w:val="16"/>
              </w:rPr>
              <w:t>—</w:t>
            </w:r>
          </w:p>
        </w:tc>
      </w:tr>
      <w:tr w14:paraId="3347A9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8F27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209A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CEE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3D9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75C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4A2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C64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7A412">
            <w:pPr>
              <w:jc w:val="center"/>
            </w:pPr>
            <w:r>
              <w:rPr>
                <w:rFonts w:ascii="宋体" w:hAnsi="宋体" w:eastAsia="宋体"/>
                <w:sz w:val="16"/>
              </w:rPr>
              <w:t>—</w:t>
            </w:r>
          </w:p>
        </w:tc>
      </w:tr>
      <w:tr w14:paraId="67F04F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51AF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31DE4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928AB7">
            <w:pPr>
              <w:jc w:val="center"/>
            </w:pPr>
            <w:r>
              <w:rPr>
                <w:rFonts w:ascii="宋体" w:hAnsi="宋体" w:eastAsia="宋体"/>
                <w:sz w:val="16"/>
              </w:rPr>
              <w:t>实际完成情况</w:t>
            </w:r>
          </w:p>
        </w:tc>
      </w:tr>
      <w:tr w14:paraId="609DDF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F0980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BF0D10">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8385D0">
            <w:pPr>
              <w:jc w:val="both"/>
            </w:pPr>
            <w:r>
              <w:rPr>
                <w:rFonts w:ascii="宋体" w:hAnsi="宋体" w:eastAsia="宋体"/>
                <w:sz w:val="16"/>
              </w:rPr>
              <w:t>确保16人在职人员的工资、津贴、补贴、社保、医保、公积金等以及11个离退休人员的工资、医疗费能够依规、按时、足额发放或缴纳，提升了部门人员工作积极性和工作质量；信息化培训条件覆盖率达到了96%，促进了教育事业可持续发展。</w:t>
            </w:r>
          </w:p>
        </w:tc>
      </w:tr>
      <w:tr w14:paraId="3DEF486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4EBA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C00D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BB92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B6E4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7943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73BC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435D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B50CE">
            <w:pPr>
              <w:jc w:val="center"/>
            </w:pPr>
            <w:r>
              <w:rPr>
                <w:rFonts w:ascii="宋体" w:hAnsi="宋体" w:eastAsia="宋体"/>
                <w:sz w:val="16"/>
              </w:rPr>
              <w:t>得分</w:t>
            </w:r>
          </w:p>
        </w:tc>
      </w:tr>
      <w:tr w14:paraId="2839A2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68F44">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F06D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C1F71">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594BC">
            <w:pPr>
              <w:jc w:val="center"/>
            </w:pPr>
            <w:r>
              <w:rPr>
                <w:rFonts w:ascii="宋体" w:hAnsi="宋体" w:eastAsia="宋体"/>
                <w:sz w:val="16"/>
              </w:rPr>
              <w:t>&gt;=15人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1520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847B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2674A">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812C7">
            <w:pPr>
              <w:jc w:val="center"/>
            </w:pPr>
            <w:r>
              <w:rPr>
                <w:rFonts w:ascii="宋体" w:hAnsi="宋体" w:eastAsia="宋体"/>
                <w:sz w:val="16"/>
              </w:rPr>
              <w:t>3.9</w:t>
            </w:r>
          </w:p>
        </w:tc>
      </w:tr>
      <w:tr w14:paraId="419EC4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B18F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D7E6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EC756">
            <w:pPr>
              <w:jc w:val="center"/>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789C3">
            <w:pPr>
              <w:jc w:val="center"/>
            </w:pPr>
            <w:r>
              <w:rPr>
                <w:rFonts w:ascii="宋体" w:hAnsi="宋体" w:eastAsia="宋体"/>
                <w:sz w:val="16"/>
              </w:rPr>
              <w:t>&lt;=388.98万元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B4AF9">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8F8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97481">
            <w:pPr>
              <w:jc w:val="center"/>
            </w:pPr>
            <w:r>
              <w:rPr>
                <w:rFonts w:ascii="宋体" w:hAnsi="宋体" w:eastAsia="宋体"/>
                <w:sz w:val="16"/>
              </w:rPr>
              <w:t>405.15万元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EA2C0">
            <w:pPr>
              <w:jc w:val="center"/>
            </w:pPr>
            <w:r>
              <w:rPr>
                <w:rFonts w:ascii="宋体" w:hAnsi="宋体" w:eastAsia="宋体"/>
                <w:sz w:val="16"/>
              </w:rPr>
              <w:t>9.6</w:t>
            </w:r>
          </w:p>
        </w:tc>
      </w:tr>
      <w:tr w14:paraId="033EB3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47445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3228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F3D7D">
            <w:pPr>
              <w:jc w:val="center"/>
            </w:pPr>
            <w:r>
              <w:rPr>
                <w:rFonts w:ascii="宋体" w:hAnsi="宋体" w:eastAsia="宋体"/>
                <w:sz w:val="16"/>
              </w:rPr>
              <w:t>财政拨款公用经费保障部门日常运转，为部门正常履职和开展综合性事务管理提供有效支撑。（万元）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925BA">
            <w:pPr>
              <w:jc w:val="center"/>
            </w:pPr>
            <w:r>
              <w:rPr>
                <w:rFonts w:ascii="宋体" w:hAnsi="宋体" w:eastAsia="宋体"/>
                <w:sz w:val="16"/>
              </w:rPr>
              <w:t>&lt;=8.8万元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AB83F">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1AE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299FC">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BCE41">
            <w:pPr>
              <w:jc w:val="center"/>
            </w:pPr>
            <w:r>
              <w:rPr>
                <w:rFonts w:ascii="宋体" w:hAnsi="宋体" w:eastAsia="宋体"/>
                <w:sz w:val="16"/>
              </w:rPr>
              <w:t>0</w:t>
            </w:r>
          </w:p>
        </w:tc>
      </w:tr>
      <w:tr w14:paraId="541A83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A35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45E7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8C3E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B632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14A1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D04F7">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3B9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7CDB0">
            <w:pPr>
              <w:jc w:val="center"/>
            </w:pPr>
            <w:r>
              <w:rPr>
                <w:rFonts w:ascii="宋体" w:hAnsi="宋体" w:eastAsia="宋体"/>
                <w:sz w:val="16"/>
              </w:rPr>
              <w:t>9</w:t>
            </w:r>
          </w:p>
        </w:tc>
      </w:tr>
      <w:tr w14:paraId="0E76AA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A5E5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CFF5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6067D">
            <w:pPr>
              <w:jc w:val="center"/>
            </w:pPr>
            <w:r>
              <w:rPr>
                <w:rFonts w:ascii="宋体" w:hAnsi="宋体" w:eastAsia="宋体"/>
                <w:sz w:val="16"/>
              </w:rPr>
              <w:t>教师普通话培训人数（个）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A957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D57E4">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652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81B4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E14BE">
            <w:pPr>
              <w:jc w:val="center"/>
            </w:pPr>
            <w:r>
              <w:rPr>
                <w:rFonts w:ascii="宋体" w:hAnsi="宋体" w:eastAsia="宋体"/>
                <w:sz w:val="16"/>
              </w:rPr>
              <w:t>10</w:t>
            </w:r>
          </w:p>
        </w:tc>
      </w:tr>
      <w:tr w14:paraId="43F5CE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CDF1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ED1B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CCC79">
            <w:pPr>
              <w:jc w:val="center"/>
            </w:pPr>
            <w:r>
              <w:rPr>
                <w:rFonts w:ascii="宋体" w:hAnsi="宋体" w:eastAsia="宋体"/>
                <w:sz w:val="16"/>
              </w:rPr>
              <w:t>信息化培训条件覆盖率(%)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F521B">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98B8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09F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07B83">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F5F97">
            <w:pPr>
              <w:jc w:val="center"/>
            </w:pPr>
            <w:r>
              <w:rPr>
                <w:rFonts w:ascii="宋体" w:hAnsi="宋体" w:eastAsia="宋体"/>
                <w:sz w:val="16"/>
              </w:rPr>
              <w:t>10</w:t>
            </w:r>
          </w:p>
        </w:tc>
      </w:tr>
      <w:tr w14:paraId="6E44E6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F8F03">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C65D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331E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FF19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92C0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3AA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76DE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B628E">
            <w:pPr>
              <w:jc w:val="center"/>
            </w:pPr>
            <w:r>
              <w:rPr>
                <w:rFonts w:ascii="宋体" w:hAnsi="宋体" w:eastAsia="宋体"/>
                <w:sz w:val="16"/>
              </w:rPr>
              <w:t>10</w:t>
            </w:r>
          </w:p>
        </w:tc>
      </w:tr>
      <w:tr w14:paraId="1EA8CED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BB19D">
            <w:pPr>
              <w:jc w:val="center"/>
            </w:pPr>
            <w:r>
              <w:rPr>
                <w:rFonts w:ascii="宋体" w:hAnsi="宋体" w:eastAsia="宋体"/>
                <w:sz w:val="16"/>
              </w:rPr>
              <w:t>可持续发展能力</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7841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B8DCD">
            <w:pPr>
              <w:jc w:val="center"/>
            </w:pPr>
            <w:r>
              <w:rPr>
                <w:rFonts w:ascii="宋体" w:hAnsi="宋体" w:eastAsia="宋体"/>
                <w:sz w:val="16"/>
              </w:rPr>
              <w:t>促进教育事业可持续发展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A4ACB">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BEEA0">
            <w:pPr>
              <w:jc w:val="center"/>
            </w:pPr>
            <w:r>
              <w:rPr>
                <w:rFonts w:ascii="宋体" w:hAnsi="宋体" w:eastAsia="宋体"/>
                <w:sz w:val="16"/>
              </w:rPr>
              <w:t>上级要求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431C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81995">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4C778">
            <w:pPr>
              <w:jc w:val="center"/>
            </w:pPr>
            <w:r>
              <w:rPr>
                <w:rFonts w:ascii="宋体" w:hAnsi="宋体" w:eastAsia="宋体"/>
                <w:sz w:val="16"/>
              </w:rPr>
              <w:t>6</w:t>
            </w:r>
          </w:p>
        </w:tc>
      </w:tr>
      <w:tr w14:paraId="4A826B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28FF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A9FA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8B5CE">
            <w:pPr>
              <w:jc w:val="center"/>
            </w:pPr>
            <w:r>
              <w:rPr>
                <w:rFonts w:ascii="宋体" w:hAnsi="宋体" w:eastAsia="宋体"/>
                <w:sz w:val="16"/>
              </w:rPr>
              <w:t>在职、退休教师满意度（%）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E7B6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459D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20094">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7EF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2811C">
            <w:pPr>
              <w:jc w:val="center"/>
            </w:pPr>
            <w:r>
              <w:rPr>
                <w:rFonts w:ascii="宋体" w:hAnsi="宋体" w:eastAsia="宋体"/>
                <w:sz w:val="16"/>
              </w:rPr>
              <w:t>9</w:t>
            </w:r>
          </w:p>
        </w:tc>
      </w:tr>
      <w:tr w14:paraId="1A4A44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FF36E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0C84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9B533">
            <w:pPr>
              <w:jc w:val="center"/>
            </w:pPr>
            <w:r>
              <w:rPr>
                <w:rFonts w:ascii="宋体" w:hAnsi="宋体" w:eastAsia="宋体"/>
                <w:sz w:val="16"/>
              </w:rPr>
              <w:t>受益学生满意度（%）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9086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8CAB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620C5">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366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3B8CA">
            <w:pPr>
              <w:jc w:val="center"/>
            </w:pPr>
            <w:r>
              <w:rPr>
                <w:rFonts w:ascii="宋体" w:hAnsi="宋体" w:eastAsia="宋体"/>
                <w:sz w:val="16"/>
              </w:rPr>
              <w:t>9</w:t>
            </w:r>
          </w:p>
        </w:tc>
      </w:tr>
    </w:tbl>
    <w:p w14:paraId="2134774E">
      <w:r>
        <w:br w:type="page"/>
      </w:r>
    </w:p>
    <w:p w14:paraId="28BD7AD5">
      <w:pPr>
        <w:spacing w:line="640" w:lineRule="exact"/>
        <w:ind w:firstLine="640"/>
        <w:jc w:val="both"/>
        <w:outlineLvl w:val="2"/>
      </w:pPr>
      <w:r>
        <w:rPr>
          <w:rFonts w:ascii="黑体" w:hAnsi="黑体" w:eastAsia="黑体"/>
          <w:sz w:val="32"/>
        </w:rPr>
        <w:t>十二、其他需说明的事项</w:t>
      </w:r>
    </w:p>
    <w:p w14:paraId="2AD30CA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F61DF19">
      <w:r>
        <w:br w:type="page"/>
      </w:r>
    </w:p>
    <w:p w14:paraId="7592CA16">
      <w:pPr>
        <w:spacing w:line="240" w:lineRule="auto"/>
        <w:jc w:val="center"/>
        <w:outlineLvl w:val="1"/>
      </w:pPr>
      <w:r>
        <w:rPr>
          <w:rFonts w:ascii="黑体" w:hAnsi="黑体" w:eastAsia="黑体"/>
          <w:sz w:val="32"/>
        </w:rPr>
        <w:t>第三部分 专业名词解释</w:t>
      </w:r>
    </w:p>
    <w:p w14:paraId="2A938B3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CD37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6F5C4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8572E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220E68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BCE27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1A83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A7209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2313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38F67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20A93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E5784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D05E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4824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2DC64F">
      <w:r>
        <w:br w:type="page"/>
      </w:r>
    </w:p>
    <w:p w14:paraId="0C46A5DA">
      <w:pPr>
        <w:spacing w:line="240" w:lineRule="auto"/>
        <w:jc w:val="center"/>
        <w:outlineLvl w:val="1"/>
      </w:pPr>
      <w:r>
        <w:rPr>
          <w:rFonts w:ascii="黑体" w:hAnsi="黑体" w:eastAsia="黑体"/>
          <w:sz w:val="32"/>
        </w:rPr>
        <w:t>第四部分 部门决算报表（见附表）</w:t>
      </w:r>
    </w:p>
    <w:p w14:paraId="70714138">
      <w:pPr>
        <w:spacing w:line="240" w:lineRule="auto"/>
        <w:ind w:firstLine="640"/>
        <w:jc w:val="both"/>
      </w:pPr>
      <w:r>
        <w:rPr>
          <w:rFonts w:ascii="仿宋_GB2312" w:hAnsi="仿宋_GB2312" w:eastAsia="仿宋_GB2312"/>
          <w:b w:val="0"/>
          <w:sz w:val="32"/>
        </w:rPr>
        <w:t>一、《收入支出决算总表》</w:t>
      </w:r>
    </w:p>
    <w:p w14:paraId="7F20A996">
      <w:pPr>
        <w:spacing w:line="240" w:lineRule="auto"/>
        <w:ind w:firstLine="640"/>
        <w:jc w:val="both"/>
      </w:pPr>
      <w:r>
        <w:rPr>
          <w:rFonts w:ascii="仿宋_GB2312" w:hAnsi="仿宋_GB2312" w:eastAsia="仿宋_GB2312"/>
          <w:b w:val="0"/>
          <w:sz w:val="32"/>
        </w:rPr>
        <w:t>二、《收入决算表》</w:t>
      </w:r>
    </w:p>
    <w:p w14:paraId="6C4043DD">
      <w:pPr>
        <w:spacing w:line="240" w:lineRule="auto"/>
        <w:ind w:firstLine="640"/>
        <w:jc w:val="both"/>
      </w:pPr>
      <w:r>
        <w:rPr>
          <w:rFonts w:ascii="仿宋_GB2312" w:hAnsi="仿宋_GB2312" w:eastAsia="仿宋_GB2312"/>
          <w:b w:val="0"/>
          <w:sz w:val="32"/>
        </w:rPr>
        <w:t>三、《支出决算表》</w:t>
      </w:r>
    </w:p>
    <w:p w14:paraId="3AD576E9">
      <w:pPr>
        <w:spacing w:line="240" w:lineRule="auto"/>
        <w:ind w:firstLine="640"/>
        <w:jc w:val="both"/>
      </w:pPr>
      <w:r>
        <w:rPr>
          <w:rFonts w:ascii="仿宋_GB2312" w:hAnsi="仿宋_GB2312" w:eastAsia="仿宋_GB2312"/>
          <w:b w:val="0"/>
          <w:sz w:val="32"/>
        </w:rPr>
        <w:t>四、《财政拨款收入支出决算总表》</w:t>
      </w:r>
    </w:p>
    <w:p w14:paraId="38867DF1">
      <w:pPr>
        <w:spacing w:line="240" w:lineRule="auto"/>
        <w:ind w:firstLine="640"/>
        <w:jc w:val="both"/>
      </w:pPr>
      <w:r>
        <w:rPr>
          <w:rFonts w:ascii="仿宋_GB2312" w:hAnsi="仿宋_GB2312" w:eastAsia="仿宋_GB2312"/>
          <w:b w:val="0"/>
          <w:sz w:val="32"/>
        </w:rPr>
        <w:t>五、《一般公共预算财政拨款支出决算表》</w:t>
      </w:r>
    </w:p>
    <w:p w14:paraId="179E0F51">
      <w:pPr>
        <w:spacing w:line="240" w:lineRule="auto"/>
        <w:ind w:firstLine="640"/>
        <w:jc w:val="both"/>
      </w:pPr>
      <w:r>
        <w:rPr>
          <w:rFonts w:ascii="仿宋_GB2312" w:hAnsi="仿宋_GB2312" w:eastAsia="仿宋_GB2312"/>
          <w:b w:val="0"/>
          <w:sz w:val="32"/>
        </w:rPr>
        <w:t>六、《一般公共预算财政拨款基本支出决算表》</w:t>
      </w:r>
    </w:p>
    <w:p w14:paraId="2AF6A517">
      <w:pPr>
        <w:spacing w:line="240" w:lineRule="auto"/>
        <w:ind w:firstLine="640"/>
        <w:jc w:val="both"/>
      </w:pPr>
      <w:r>
        <w:rPr>
          <w:rFonts w:ascii="仿宋_GB2312" w:hAnsi="仿宋_GB2312" w:eastAsia="仿宋_GB2312"/>
          <w:b w:val="0"/>
          <w:sz w:val="32"/>
        </w:rPr>
        <w:t>七、《政府性基金预算财政拨款收入支出决算表》</w:t>
      </w:r>
    </w:p>
    <w:p w14:paraId="2D0B4C50">
      <w:pPr>
        <w:spacing w:line="240" w:lineRule="auto"/>
        <w:ind w:firstLine="640"/>
        <w:jc w:val="both"/>
      </w:pPr>
      <w:r>
        <w:rPr>
          <w:rFonts w:ascii="仿宋_GB2312" w:hAnsi="仿宋_GB2312" w:eastAsia="仿宋_GB2312"/>
          <w:b w:val="0"/>
          <w:sz w:val="32"/>
        </w:rPr>
        <w:t>八、《国有资本经营预算财政拨款收入支出决算表》</w:t>
      </w:r>
    </w:p>
    <w:p w14:paraId="2921A599">
      <w:pPr>
        <w:spacing w:line="240" w:lineRule="auto"/>
        <w:ind w:firstLine="640"/>
        <w:jc w:val="both"/>
      </w:pPr>
      <w:r>
        <w:rPr>
          <w:rFonts w:ascii="仿宋_GB2312" w:hAnsi="仿宋_GB2312" w:eastAsia="仿宋_GB2312"/>
          <w:b w:val="0"/>
          <w:sz w:val="32"/>
        </w:rPr>
        <w:t>九、《财政拨款“三公”经费支出决算表》</w:t>
      </w:r>
    </w:p>
    <w:p w14:paraId="2F59E577">
      <w:pPr>
        <w:spacing w:line="240" w:lineRule="auto"/>
        <w:ind w:firstLine="640"/>
        <w:jc w:val="both"/>
      </w:pPr>
    </w:p>
    <w:p w14:paraId="5663A4BC">
      <w:pPr>
        <w:spacing w:line="240" w:lineRule="auto"/>
        <w:ind w:firstLine="640"/>
        <w:jc w:val="both"/>
      </w:pPr>
    </w:p>
    <w:p w14:paraId="0C8A5AA3">
      <w:pPr>
        <w:spacing w:line="240" w:lineRule="auto"/>
        <w:ind w:firstLine="640"/>
        <w:jc w:val="both"/>
      </w:pPr>
    </w:p>
    <w:p w14:paraId="11F8990B">
      <w:pPr>
        <w:spacing w:line="240" w:lineRule="auto"/>
        <w:ind w:firstLine="640"/>
        <w:jc w:val="both"/>
      </w:pPr>
    </w:p>
    <w:p w14:paraId="0643292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C05870-69D8-4E33-B480-0D7E492130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5494240-28CB-4BD4-9E21-BF9B01501CC2}"/>
  </w:font>
  <w:font w:name="仿宋_GB2312">
    <w:panose1 w:val="02010609030101010101"/>
    <w:charset w:val="86"/>
    <w:family w:val="modern"/>
    <w:pitch w:val="default"/>
    <w:sig w:usb0="00000001" w:usb1="080E0000" w:usb2="00000000" w:usb3="00000000" w:csb0="00040000" w:csb1="00000000"/>
    <w:embedRegular r:id="rId3" w:fontKey="{CB9B8FB9-4EA6-4D99-854C-FBA692C27F8A}"/>
  </w:font>
  <w:font w:name="楷体_GB2312">
    <w:panose1 w:val="02010609030101010101"/>
    <w:charset w:val="86"/>
    <w:family w:val="auto"/>
    <w:pitch w:val="default"/>
    <w:sig w:usb0="00000001" w:usb1="080E0000" w:usb2="00000000" w:usb3="00000000" w:csb0="00040000" w:csb1="00000000"/>
    <w:embedRegular r:id="rId4" w:fontKey="{59DE396A-CB82-4B31-B7E7-06B6751CE5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991C46"/>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641EA0"/>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4369</Words>
  <Characters>5005</Characters>
  <Lines>0</Lines>
  <Paragraphs>0</Paragraphs>
  <TotalTime>7</TotalTime>
  <ScaleCrop>false</ScaleCrop>
  <LinksUpToDate>false</LinksUpToDate>
  <CharactersWithSpaces>5013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