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阿克陶县司法局2024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761C4A6">
      <w:r>
        <w:br w:type="page"/>
      </w:r>
    </w:p>
    <w:p w14:paraId="7FD1A258">
      <w:pPr>
        <w:spacing w:line="640" w:lineRule="exact"/>
        <w:jc w:val="center"/>
        <w:outlineLvl w:val="1"/>
      </w:pPr>
      <w:r>
        <w:rPr>
          <w:rFonts w:ascii="黑体" w:hAnsi="黑体" w:eastAsia="黑体"/>
          <w:sz w:val="32"/>
        </w:rPr>
        <w:t>第一部分 单位概况</w:t>
      </w:r>
    </w:p>
    <w:p w14:paraId="5CAB1019">
      <w:pPr>
        <w:spacing w:line="640" w:lineRule="exact"/>
        <w:ind w:firstLine="640"/>
        <w:jc w:val="both"/>
        <w:outlineLvl w:val="2"/>
      </w:pPr>
      <w:r>
        <w:rPr>
          <w:rFonts w:ascii="黑体" w:hAnsi="黑体" w:eastAsia="黑体"/>
          <w:sz w:val="32"/>
        </w:rPr>
        <w:t>一、主要职能</w:t>
      </w:r>
    </w:p>
    <w:p w14:paraId="39BF42CE">
      <w:pPr>
        <w:spacing w:line="580" w:lineRule="exact"/>
        <w:ind w:firstLine="640"/>
        <w:jc w:val="both"/>
      </w:pPr>
      <w:r>
        <w:rPr>
          <w:rFonts w:ascii="仿宋_GB2312" w:hAnsi="仿宋_GB2312" w:eastAsia="仿宋_GB2312"/>
          <w:sz w:val="32"/>
        </w:rPr>
        <w:t>（1）贯彻执行国家司法行政工作的方针、政策，研究拟定全县司法行政工作的政策、法规及中长期规划、年度工作要点，并组织实施。</w:t>
      </w:r>
    </w:p>
    <w:p w14:paraId="1E56466E">
      <w:pPr>
        <w:spacing w:line="580" w:lineRule="exact"/>
        <w:ind w:firstLine="640"/>
        <w:jc w:val="both"/>
      </w:pPr>
      <w:r>
        <w:rPr>
          <w:rFonts w:ascii="仿宋_GB2312" w:hAnsi="仿宋_GB2312" w:eastAsia="仿宋_GB2312"/>
          <w:sz w:val="32"/>
        </w:rPr>
        <w:t>（2）制定全县</w:t>
      </w:r>
      <w:r>
        <w:rPr>
          <w:rFonts w:hint="eastAsia" w:ascii="仿宋_GB2312" w:hAnsi="仿宋_GB2312" w:eastAsia="仿宋_GB2312"/>
          <w:sz w:val="32"/>
          <w:lang w:eastAsia="zh-CN"/>
        </w:rPr>
        <w:t>法治宣传教育</w:t>
      </w:r>
      <w:r>
        <w:rPr>
          <w:rFonts w:ascii="仿宋_GB2312" w:hAnsi="仿宋_GB2312" w:eastAsia="仿宋_GB2312"/>
          <w:sz w:val="32"/>
        </w:rPr>
        <w:t>、普法依法治理的规划和</w:t>
      </w:r>
      <w:r>
        <w:rPr>
          <w:rFonts w:hint="eastAsia" w:ascii="仿宋_GB2312" w:hAnsi="仿宋_GB2312" w:eastAsia="仿宋_GB2312"/>
          <w:sz w:val="32"/>
          <w:lang w:eastAsia="zh-CN"/>
        </w:rPr>
        <w:t>法治宣传教育</w:t>
      </w:r>
      <w:r>
        <w:rPr>
          <w:rFonts w:ascii="仿宋_GB2312" w:hAnsi="仿宋_GB2312" w:eastAsia="仿宋_GB2312"/>
          <w:sz w:val="32"/>
        </w:rPr>
        <w:t>计划，并组织实施。指导各单位、各行业</w:t>
      </w:r>
      <w:r>
        <w:rPr>
          <w:rFonts w:hint="eastAsia" w:ascii="仿宋_GB2312" w:hAnsi="仿宋_GB2312" w:eastAsia="仿宋_GB2312"/>
          <w:sz w:val="32"/>
          <w:lang w:eastAsia="zh-CN"/>
        </w:rPr>
        <w:t>法治宣传</w:t>
      </w:r>
      <w:r>
        <w:rPr>
          <w:rFonts w:ascii="仿宋_GB2312" w:hAnsi="仿宋_GB2312" w:eastAsia="仿宋_GB2312"/>
          <w:sz w:val="32"/>
        </w:rPr>
        <w:t>、依法治理工作和对外</w:t>
      </w:r>
      <w:r>
        <w:rPr>
          <w:rFonts w:hint="eastAsia" w:ascii="仿宋_GB2312" w:hAnsi="仿宋_GB2312" w:eastAsia="仿宋_GB2312"/>
          <w:sz w:val="32"/>
          <w:lang w:eastAsia="zh-CN"/>
        </w:rPr>
        <w:t>法治宣传</w:t>
      </w:r>
      <w:r>
        <w:rPr>
          <w:rFonts w:ascii="仿宋_GB2312" w:hAnsi="仿宋_GB2312" w:eastAsia="仿宋_GB2312"/>
          <w:sz w:val="32"/>
        </w:rPr>
        <w:t>。</w:t>
      </w:r>
    </w:p>
    <w:p w14:paraId="5F504DA5">
      <w:pPr>
        <w:spacing w:line="580" w:lineRule="exact"/>
        <w:ind w:firstLine="640"/>
        <w:jc w:val="both"/>
      </w:pPr>
      <w:r>
        <w:rPr>
          <w:rFonts w:ascii="仿宋_GB2312" w:hAnsi="仿宋_GB2312" w:eastAsia="仿宋_GB2312"/>
          <w:sz w:val="32"/>
        </w:rPr>
        <w:t>（3）管理监督指导全县的律师、法律顾问、法律援助工作，组织协调全县的司法考试工作。</w:t>
      </w:r>
    </w:p>
    <w:p w14:paraId="251B4D06">
      <w:pPr>
        <w:spacing w:line="580" w:lineRule="exact"/>
        <w:ind w:firstLine="640"/>
        <w:jc w:val="both"/>
      </w:pPr>
      <w:r>
        <w:rPr>
          <w:rFonts w:ascii="仿宋_GB2312" w:hAnsi="仿宋_GB2312" w:eastAsia="仿宋_GB2312"/>
          <w:sz w:val="32"/>
        </w:rPr>
        <w:t>（4）管理、监督和指导全县的公证机构和公证业务活动。</w:t>
      </w:r>
    </w:p>
    <w:p w14:paraId="1431A3EF">
      <w:pPr>
        <w:spacing w:line="580" w:lineRule="exact"/>
        <w:ind w:firstLine="640"/>
        <w:jc w:val="both"/>
      </w:pPr>
      <w:r>
        <w:rPr>
          <w:rFonts w:ascii="仿宋_GB2312" w:hAnsi="仿宋_GB2312" w:eastAsia="仿宋_GB2312"/>
          <w:sz w:val="32"/>
        </w:rPr>
        <w:t>（5）指导全县司法行政机关，管理人民调解工作及司法助理员、基层司法所和法律服务所工作，组织指导对刑满释放人员安置帮教工作，参与社会治安综合治理工作。</w:t>
      </w:r>
    </w:p>
    <w:p w14:paraId="527E396C">
      <w:pPr>
        <w:spacing w:line="580" w:lineRule="exact"/>
        <w:ind w:firstLine="640"/>
        <w:jc w:val="both"/>
      </w:pPr>
      <w:r>
        <w:rPr>
          <w:rFonts w:ascii="仿宋_GB2312" w:hAnsi="仿宋_GB2312" w:eastAsia="仿宋_GB2312"/>
          <w:sz w:val="32"/>
        </w:rPr>
        <w:t>（6）参与法学调研工作和地方有关规范性文件的草拟工作，承担审查全县各部门、各乡（镇、场、社区）规范性文件草案的审查登记备案，并向县政府提出审查报告，承办</w:t>
      </w:r>
      <w:r>
        <w:rPr>
          <w:rFonts w:hint="eastAsia" w:ascii="仿宋_GB2312" w:hAnsi="仿宋_GB2312" w:eastAsia="仿宋_GB2312"/>
          <w:sz w:val="32"/>
          <w:lang w:eastAsia="zh-CN"/>
        </w:rPr>
        <w:t>县人民政府</w:t>
      </w:r>
      <w:r>
        <w:rPr>
          <w:rFonts w:ascii="仿宋_GB2312" w:hAnsi="仿宋_GB2312" w:eastAsia="仿宋_GB2312"/>
          <w:sz w:val="32"/>
        </w:rPr>
        <w:t>的规范性文件清理、修改、废止工作。</w:t>
      </w:r>
    </w:p>
    <w:p w14:paraId="68BA8D50">
      <w:pPr>
        <w:spacing w:line="580" w:lineRule="exact"/>
        <w:ind w:firstLine="640"/>
        <w:jc w:val="both"/>
      </w:pPr>
      <w:r>
        <w:rPr>
          <w:rFonts w:ascii="仿宋_GB2312" w:hAnsi="仿宋_GB2312" w:eastAsia="仿宋_GB2312"/>
          <w:sz w:val="32"/>
        </w:rPr>
        <w:t>（7）研究行政诉讼、行政复议、行政赔偿、行政处罚、行政许可、行政收费等涉及政府行为规范的法律、行政法规实施情况以及行政执法中带普遍性的问题，向县政府提出完善制度和解决问题的建议，拟定有关配套文件和答复意见。</w:t>
      </w:r>
    </w:p>
    <w:p w14:paraId="5080F912">
      <w:pPr>
        <w:spacing w:line="580" w:lineRule="exact"/>
        <w:ind w:firstLine="640"/>
        <w:jc w:val="both"/>
      </w:pPr>
      <w:r>
        <w:rPr>
          <w:rFonts w:ascii="仿宋_GB2312" w:hAnsi="仿宋_GB2312" w:eastAsia="仿宋_GB2312"/>
          <w:sz w:val="32"/>
        </w:rPr>
        <w:t>（8）指导和管理全县社区矫正工作及全县刑满释放人员安置帮教工作。</w:t>
      </w:r>
    </w:p>
    <w:p w14:paraId="276855D9">
      <w:pPr>
        <w:spacing w:line="580" w:lineRule="exact"/>
        <w:ind w:firstLine="640"/>
        <w:jc w:val="both"/>
      </w:pPr>
      <w:r>
        <w:rPr>
          <w:rFonts w:ascii="仿宋_GB2312" w:hAnsi="仿宋_GB2312" w:eastAsia="仿宋_GB2312"/>
          <w:sz w:val="32"/>
        </w:rPr>
        <w:t>（9）监督、指导司法行政队伍建设和思想作风、工作作风建设,负责全县司法行政系统的宣传教育、干部培训、管理和督察工作。</w:t>
      </w:r>
    </w:p>
    <w:p w14:paraId="6A1D5909">
      <w:pPr>
        <w:spacing w:line="580" w:lineRule="exact"/>
        <w:ind w:firstLine="640"/>
        <w:jc w:val="both"/>
      </w:pPr>
      <w:r>
        <w:rPr>
          <w:rFonts w:ascii="仿宋_GB2312" w:hAnsi="仿宋_GB2312" w:eastAsia="仿宋_GB2312"/>
          <w:sz w:val="32"/>
        </w:rPr>
        <w:t>（10）拟定行政执法监督、行政执法责任制工作方案；组织年度行政执法责任制考核；实施行政执法评议考核制度和过错追究制度；指导、监督县直行政执法机关行政执法活动，协调执法矛盾争议；承办重大行政处罚决定备案；指导、协调全县相对集中行政处罚权。</w:t>
      </w:r>
    </w:p>
    <w:p w14:paraId="34B26772">
      <w:pPr>
        <w:spacing w:line="580" w:lineRule="exact"/>
        <w:ind w:firstLine="640"/>
        <w:jc w:val="both"/>
      </w:pPr>
      <w:r>
        <w:rPr>
          <w:rFonts w:ascii="仿宋_GB2312" w:hAnsi="仿宋_GB2312" w:eastAsia="仿宋_GB2312"/>
          <w:sz w:val="32"/>
        </w:rPr>
        <w:t>（11）按照“管行业必须管安全、管业务必须管安全”的要求，对本行业领域安全生产负行业监管（行业主管）职责，组织开展本行业领域安全生产宣传教育、日常监督检查工作。</w:t>
      </w:r>
    </w:p>
    <w:p w14:paraId="5B5A318B">
      <w:pPr>
        <w:spacing w:line="580" w:lineRule="exact"/>
        <w:ind w:firstLine="640"/>
        <w:jc w:val="both"/>
      </w:pPr>
      <w:r>
        <w:rPr>
          <w:rFonts w:ascii="仿宋_GB2312" w:hAnsi="仿宋_GB2312" w:eastAsia="仿宋_GB2312"/>
          <w:sz w:val="32"/>
        </w:rPr>
        <w:t>（12）承办县委、</w:t>
      </w:r>
      <w:r>
        <w:rPr>
          <w:rFonts w:hint="eastAsia" w:ascii="仿宋_GB2312" w:hAnsi="仿宋_GB2312" w:eastAsia="仿宋_GB2312"/>
          <w:sz w:val="32"/>
          <w:lang w:eastAsia="zh-CN"/>
        </w:rPr>
        <w:t>县人民政府</w:t>
      </w:r>
      <w:r>
        <w:rPr>
          <w:rFonts w:ascii="仿宋_GB2312" w:hAnsi="仿宋_GB2312" w:eastAsia="仿宋_GB2312"/>
          <w:sz w:val="32"/>
        </w:rPr>
        <w:t>及上级司法行政部门交办的其他工作。</w:t>
      </w:r>
    </w:p>
    <w:p w14:paraId="64ECA05D">
      <w:pPr>
        <w:spacing w:line="640" w:lineRule="exact"/>
        <w:ind w:firstLine="640"/>
        <w:jc w:val="both"/>
        <w:outlineLvl w:val="2"/>
      </w:pPr>
      <w:r>
        <w:rPr>
          <w:rFonts w:ascii="黑体" w:hAnsi="黑体" w:eastAsia="黑体"/>
          <w:sz w:val="32"/>
        </w:rPr>
        <w:t>二、机构设置及人员情况</w:t>
      </w:r>
    </w:p>
    <w:p w14:paraId="51C4599E">
      <w:pPr>
        <w:spacing w:line="580" w:lineRule="exact"/>
        <w:ind w:firstLine="640"/>
        <w:jc w:val="both"/>
      </w:pPr>
      <w:r>
        <w:rPr>
          <w:rFonts w:ascii="仿宋_GB2312" w:hAnsi="仿宋_GB2312" w:eastAsia="仿宋_GB2312"/>
          <w:sz w:val="32"/>
        </w:rPr>
        <w:t>阿克陶县司法局2024年度，实有人数62人，其中：在职人员33人，减少1人；离休人员0人，增加0人；退休人员29人,增加7人。</w:t>
      </w:r>
    </w:p>
    <w:p w14:paraId="4B5163FE">
      <w:pPr>
        <w:spacing w:line="580" w:lineRule="exact"/>
        <w:ind w:firstLine="640"/>
        <w:jc w:val="both"/>
      </w:pPr>
      <w:r>
        <w:rPr>
          <w:rFonts w:ascii="仿宋_GB2312" w:hAnsi="仿宋_GB2312" w:eastAsia="仿宋_GB2312"/>
          <w:sz w:val="32"/>
        </w:rPr>
        <w:t>阿克陶县司法局无下属预算单位，下设4个科室，分别是：公共法律服务管理股、法宣法制股、社区矫正与安置帮教股、办公室。</w:t>
      </w:r>
    </w:p>
    <w:p w14:paraId="095A0D1F">
      <w:r>
        <w:br w:type="page"/>
      </w:r>
    </w:p>
    <w:p w14:paraId="795EBF25">
      <w:pPr>
        <w:spacing w:line="240" w:lineRule="auto"/>
        <w:jc w:val="center"/>
        <w:outlineLvl w:val="1"/>
      </w:pPr>
      <w:r>
        <w:rPr>
          <w:rFonts w:ascii="黑体" w:hAnsi="黑体" w:eastAsia="黑体"/>
          <w:sz w:val="32"/>
        </w:rPr>
        <w:t>第二部分 部门决算情况说明</w:t>
      </w:r>
    </w:p>
    <w:p w14:paraId="73EC32E1">
      <w:pPr>
        <w:spacing w:line="640" w:lineRule="exact"/>
        <w:ind w:firstLine="640"/>
        <w:jc w:val="both"/>
        <w:outlineLvl w:val="2"/>
      </w:pPr>
      <w:r>
        <w:rPr>
          <w:rFonts w:ascii="黑体" w:hAnsi="黑体" w:eastAsia="黑体"/>
          <w:sz w:val="32"/>
        </w:rPr>
        <w:t>一、收入支出决算总体情况说明</w:t>
      </w:r>
    </w:p>
    <w:p w14:paraId="4E835B05">
      <w:pPr>
        <w:spacing w:line="580" w:lineRule="exact"/>
        <w:ind w:firstLine="640"/>
        <w:jc w:val="both"/>
      </w:pPr>
      <w:r>
        <w:rPr>
          <w:rFonts w:ascii="仿宋_GB2312" w:hAnsi="仿宋_GB2312" w:eastAsia="仿宋_GB2312"/>
          <w:b/>
          <w:sz w:val="32"/>
        </w:rPr>
        <w:t>2024年度收入总计1,298.72万元，</w:t>
      </w:r>
      <w:r>
        <w:rPr>
          <w:rFonts w:ascii="仿宋_GB2312" w:hAnsi="仿宋_GB2312" w:eastAsia="仿宋_GB2312"/>
          <w:b w:val="0"/>
          <w:sz w:val="32"/>
        </w:rPr>
        <w:t>其中：本年收入合计1,217.72万元，使用非财政拨款结余（含专用结余）0.00万元，年初结转和结余81.00万元。</w:t>
      </w:r>
    </w:p>
    <w:p w14:paraId="46BCC010">
      <w:pPr>
        <w:spacing w:line="580" w:lineRule="exact"/>
        <w:ind w:firstLine="640"/>
        <w:jc w:val="both"/>
      </w:pPr>
      <w:r>
        <w:rPr>
          <w:rFonts w:ascii="仿宋_GB2312" w:hAnsi="仿宋_GB2312" w:eastAsia="仿宋_GB2312"/>
          <w:b/>
          <w:sz w:val="32"/>
        </w:rPr>
        <w:t>2024年度支出总计1,298.72万元，</w:t>
      </w:r>
      <w:r>
        <w:rPr>
          <w:rFonts w:ascii="仿宋_GB2312" w:hAnsi="仿宋_GB2312" w:eastAsia="仿宋_GB2312"/>
          <w:b w:val="0"/>
          <w:sz w:val="32"/>
        </w:rPr>
        <w:t>其中：本年支出合计1,277.80万元，结余分配0.00万元，年末结转和结余20.92万元。</w:t>
      </w:r>
    </w:p>
    <w:p w14:paraId="76DC477F">
      <w:pPr>
        <w:spacing w:line="580" w:lineRule="exact"/>
        <w:ind w:firstLine="640"/>
        <w:jc w:val="both"/>
      </w:pPr>
      <w:r>
        <w:rPr>
          <w:rFonts w:ascii="仿宋_GB2312" w:hAnsi="仿宋_GB2312" w:eastAsia="仿宋_GB2312"/>
          <w:b w:val="0"/>
          <w:sz w:val="32"/>
        </w:rPr>
        <w:t>收入支出总体与上年相比，减少215.82万元，下降14.25%，主要原因是：一是在职人员减少，在职转退休，相关人员经费减少；二是支教教师生活补助、政法专项资金等项目收支减少，以上原因使得收入支出均较上年减少。</w:t>
      </w:r>
    </w:p>
    <w:p w14:paraId="1CFB5C0B">
      <w:pPr>
        <w:spacing w:line="640" w:lineRule="exact"/>
        <w:ind w:firstLine="640"/>
        <w:jc w:val="both"/>
        <w:outlineLvl w:val="2"/>
      </w:pPr>
      <w:r>
        <w:rPr>
          <w:rFonts w:ascii="黑体" w:hAnsi="黑体" w:eastAsia="黑体"/>
          <w:sz w:val="32"/>
        </w:rPr>
        <w:t>二、收入决算情况说明</w:t>
      </w:r>
    </w:p>
    <w:p w14:paraId="04B0EADF">
      <w:pPr>
        <w:spacing w:line="580" w:lineRule="exact"/>
        <w:ind w:firstLine="640"/>
        <w:jc w:val="both"/>
      </w:pPr>
      <w:r>
        <w:rPr>
          <w:rFonts w:ascii="仿宋_GB2312" w:hAnsi="仿宋_GB2312" w:eastAsia="仿宋_GB2312"/>
          <w:b/>
          <w:sz w:val="32"/>
        </w:rPr>
        <w:t>本年收入1,217.72万元，</w:t>
      </w:r>
      <w:r>
        <w:rPr>
          <w:rFonts w:ascii="仿宋_GB2312" w:hAnsi="仿宋_GB2312" w:eastAsia="仿宋_GB2312"/>
          <w:b w:val="0"/>
          <w:sz w:val="32"/>
        </w:rPr>
        <w:t>其中：财政拨款收入1,217.72万元，占100.00%；上级补助收入0.00万元，占0.00%；事业收入0.00万元，占0.00%；经营收入0.00万元，占0.00%；附属单位上缴收入0.00万元，占0.00%；其他收入0.00万元，占0.00%。</w:t>
      </w:r>
    </w:p>
    <w:p w14:paraId="15349A54">
      <w:pPr>
        <w:spacing w:line="640" w:lineRule="exact"/>
        <w:ind w:firstLine="640"/>
        <w:jc w:val="both"/>
        <w:outlineLvl w:val="2"/>
      </w:pPr>
      <w:r>
        <w:rPr>
          <w:rFonts w:ascii="黑体" w:hAnsi="黑体" w:eastAsia="黑体"/>
          <w:sz w:val="32"/>
        </w:rPr>
        <w:t>三、支出决算情况说明</w:t>
      </w:r>
    </w:p>
    <w:p w14:paraId="368B17FF">
      <w:pPr>
        <w:spacing w:line="580" w:lineRule="exact"/>
        <w:ind w:firstLine="640"/>
        <w:jc w:val="both"/>
      </w:pPr>
      <w:r>
        <w:rPr>
          <w:rFonts w:ascii="仿宋_GB2312" w:hAnsi="仿宋_GB2312" w:eastAsia="仿宋_GB2312"/>
          <w:b/>
          <w:sz w:val="32"/>
        </w:rPr>
        <w:t>本年支出1,277.80万元，</w:t>
      </w:r>
      <w:r>
        <w:rPr>
          <w:rFonts w:ascii="仿宋_GB2312" w:hAnsi="仿宋_GB2312" w:eastAsia="仿宋_GB2312"/>
          <w:b w:val="0"/>
          <w:sz w:val="32"/>
        </w:rPr>
        <w:t>其中：基本支出961.33万元，占75.23%；项目支出316.47万元，占24.77%；上缴上级支出0.00万元，占0.00%；经营支出0.00万元，占0.00%；对附属单位补助支出0.00万元，占0.00%。</w:t>
      </w:r>
    </w:p>
    <w:p w14:paraId="16635B00">
      <w:pPr>
        <w:spacing w:line="640" w:lineRule="exact"/>
        <w:ind w:firstLine="640"/>
        <w:jc w:val="both"/>
        <w:outlineLvl w:val="2"/>
      </w:pPr>
      <w:r>
        <w:rPr>
          <w:rFonts w:ascii="黑体" w:hAnsi="黑体" w:eastAsia="黑体"/>
          <w:sz w:val="32"/>
        </w:rPr>
        <w:t>四、财政拨款收入支出决算总体情况说明</w:t>
      </w:r>
    </w:p>
    <w:p w14:paraId="16BE64CD">
      <w:pPr>
        <w:spacing w:line="580" w:lineRule="exact"/>
        <w:ind w:firstLine="640"/>
        <w:jc w:val="both"/>
      </w:pPr>
      <w:r>
        <w:rPr>
          <w:rFonts w:ascii="仿宋_GB2312" w:hAnsi="仿宋_GB2312" w:eastAsia="仿宋_GB2312"/>
          <w:b/>
          <w:sz w:val="32"/>
        </w:rPr>
        <w:t>2024年度财政拨款收入总计1,217.72万元，</w:t>
      </w:r>
      <w:r>
        <w:rPr>
          <w:rFonts w:ascii="仿宋_GB2312" w:hAnsi="仿宋_GB2312" w:eastAsia="仿宋_GB2312"/>
          <w:b w:val="0"/>
          <w:sz w:val="32"/>
        </w:rPr>
        <w:t>其中：年初财政拨款结转和结余0.00万元，本年财政拨款收入1,217.72万元。</w:t>
      </w:r>
      <w:r>
        <w:rPr>
          <w:rFonts w:ascii="仿宋_GB2312" w:hAnsi="仿宋_GB2312" w:eastAsia="仿宋_GB2312"/>
          <w:b/>
          <w:sz w:val="32"/>
        </w:rPr>
        <w:t>财政拨款支出总计1,217.72万元，</w:t>
      </w:r>
      <w:r>
        <w:rPr>
          <w:rFonts w:ascii="仿宋_GB2312" w:hAnsi="仿宋_GB2312" w:eastAsia="仿宋_GB2312"/>
          <w:b w:val="0"/>
          <w:sz w:val="32"/>
        </w:rPr>
        <w:t>其中：年末财政拨款结转和结余0.00万元，本年财政拨款支出1,217.72万元。</w:t>
      </w:r>
    </w:p>
    <w:p w14:paraId="7EEA06B8">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减少197.04万元，下降13.93%，主要原因是：一是在职人员减少，在职转退休，相关人员经费减少；二是支教教师生活补助、政法专项资金等项目收支减少，以上原因使得收入支出均较上年减少。</w:t>
      </w:r>
      <w:r>
        <w:rPr>
          <w:rFonts w:ascii="仿宋_GB2312" w:hAnsi="仿宋_GB2312" w:eastAsia="仿宋_GB2312"/>
          <w:b/>
          <w:sz w:val="32"/>
        </w:rPr>
        <w:t>与年初预算相比，</w:t>
      </w:r>
      <w:r>
        <w:rPr>
          <w:rFonts w:ascii="仿宋_GB2312" w:hAnsi="仿宋_GB2312" w:eastAsia="仿宋_GB2312"/>
          <w:b w:val="0"/>
          <w:sz w:val="32"/>
        </w:rPr>
        <w:t>年初预算数1,514.35万元，决算数1,217.72万元，预决算差异率-19.59%，主要原因是：一是在职人员减少，在职转退休，年中调减人员经费；二是支教教师生活补助只支付了一个季度的经费、政法专项资金未实施完毕，因此预决算存在差异。</w:t>
      </w:r>
    </w:p>
    <w:p w14:paraId="1C6A85C8">
      <w:pPr>
        <w:spacing w:line="640" w:lineRule="exact"/>
        <w:ind w:firstLine="640"/>
        <w:jc w:val="both"/>
        <w:outlineLvl w:val="2"/>
      </w:pPr>
      <w:r>
        <w:rPr>
          <w:rFonts w:ascii="黑体" w:hAnsi="黑体" w:eastAsia="黑体"/>
          <w:sz w:val="32"/>
        </w:rPr>
        <w:t>五、一般公共预算财政拨款支出决算情况说明</w:t>
      </w:r>
    </w:p>
    <w:p w14:paraId="1819645C">
      <w:pPr>
        <w:spacing w:line="640" w:lineRule="exact"/>
        <w:ind w:firstLine="640"/>
        <w:jc w:val="both"/>
        <w:outlineLvl w:val="3"/>
      </w:pPr>
      <w:r>
        <w:rPr>
          <w:rFonts w:ascii="楷体_GB2312" w:hAnsi="楷体_GB2312" w:eastAsia="楷体_GB2312"/>
          <w:b/>
          <w:sz w:val="32"/>
        </w:rPr>
        <w:t>（一）一般公共预算财政拨款支出决算总体情况</w:t>
      </w:r>
    </w:p>
    <w:p w14:paraId="3774AF93">
      <w:pPr>
        <w:spacing w:line="580" w:lineRule="exact"/>
        <w:ind w:firstLine="640"/>
        <w:jc w:val="both"/>
      </w:pPr>
      <w:r>
        <w:rPr>
          <w:rFonts w:ascii="仿宋_GB2312" w:hAnsi="仿宋_GB2312" w:eastAsia="仿宋_GB2312"/>
          <w:b/>
          <w:sz w:val="32"/>
        </w:rPr>
        <w:t>2024年度一般公共预算财政拨款支出1,217.72万元，</w:t>
      </w:r>
      <w:r>
        <w:rPr>
          <w:rFonts w:ascii="仿宋_GB2312" w:hAnsi="仿宋_GB2312" w:eastAsia="仿宋_GB2312"/>
          <w:b w:val="0"/>
          <w:sz w:val="32"/>
        </w:rPr>
        <w:t>占本年支出合计的95.30%。</w:t>
      </w:r>
      <w:r>
        <w:rPr>
          <w:rFonts w:ascii="仿宋_GB2312" w:hAnsi="仿宋_GB2312" w:eastAsia="仿宋_GB2312"/>
          <w:b/>
          <w:sz w:val="32"/>
        </w:rPr>
        <w:t>与上年相比，</w:t>
      </w:r>
      <w:r>
        <w:rPr>
          <w:rFonts w:ascii="仿宋_GB2312" w:hAnsi="仿宋_GB2312" w:eastAsia="仿宋_GB2312"/>
          <w:b w:val="0"/>
          <w:sz w:val="32"/>
        </w:rPr>
        <w:t>减少197.04万元，下降13.93%，主要原因是：一是在职人员减少，在职转退休，相关人员经费减少；二是支教教师生活补助、政法专项资金等项目资金减少，以上原因使得支出较上年减少。</w:t>
      </w:r>
      <w:r>
        <w:rPr>
          <w:rFonts w:ascii="仿宋_GB2312" w:hAnsi="仿宋_GB2312" w:eastAsia="仿宋_GB2312"/>
          <w:b/>
          <w:sz w:val="32"/>
        </w:rPr>
        <w:t>与年初预算相比,</w:t>
      </w:r>
      <w:r>
        <w:rPr>
          <w:rFonts w:ascii="仿宋_GB2312" w:hAnsi="仿宋_GB2312" w:eastAsia="仿宋_GB2312"/>
          <w:b w:val="0"/>
          <w:sz w:val="32"/>
        </w:rPr>
        <w:t>年初预算数1,514.35万元，决算数1,217.72万元，预决算差异率-19.59%，主要原因是：一是在职人员减少，在职转退休，年中调减人员经费；二是支教教师生活补助只支付了一个季度的经费、政法专项资金未实施完毕，因此预决算存在差异。</w:t>
      </w:r>
    </w:p>
    <w:p w14:paraId="68367BC5">
      <w:pPr>
        <w:spacing w:line="640" w:lineRule="exact"/>
        <w:ind w:firstLine="640"/>
        <w:jc w:val="both"/>
        <w:outlineLvl w:val="3"/>
      </w:pPr>
      <w:r>
        <w:rPr>
          <w:rFonts w:ascii="楷体_GB2312" w:hAnsi="楷体_GB2312" w:eastAsia="楷体_GB2312"/>
          <w:b/>
          <w:sz w:val="32"/>
        </w:rPr>
        <w:t>（二）一般公共预算财政拨款支出决算结构情况</w:t>
      </w:r>
    </w:p>
    <w:p w14:paraId="0AF1B453">
      <w:pPr>
        <w:spacing w:line="580" w:lineRule="exact"/>
        <w:ind w:firstLine="640"/>
        <w:jc w:val="both"/>
      </w:pPr>
      <w:r>
        <w:rPr>
          <w:rFonts w:ascii="仿宋_GB2312" w:hAnsi="仿宋_GB2312" w:eastAsia="仿宋_GB2312"/>
          <w:b w:val="0"/>
          <w:sz w:val="32"/>
        </w:rPr>
        <w:t>1.一般公共服务支出(类)2.25万元,占0.18%。</w:t>
      </w:r>
    </w:p>
    <w:p w14:paraId="722C1E2E">
      <w:pPr>
        <w:spacing w:line="580" w:lineRule="exact"/>
        <w:ind w:firstLine="640"/>
        <w:jc w:val="both"/>
      </w:pPr>
      <w:r>
        <w:rPr>
          <w:rFonts w:ascii="仿宋_GB2312" w:hAnsi="仿宋_GB2312" w:eastAsia="仿宋_GB2312"/>
          <w:b w:val="0"/>
          <w:sz w:val="32"/>
        </w:rPr>
        <w:t>2.公共安全支出(类)915.18万元,占75.16%。</w:t>
      </w:r>
    </w:p>
    <w:p w14:paraId="08CE1FCA">
      <w:pPr>
        <w:spacing w:line="580" w:lineRule="exact"/>
        <w:ind w:firstLine="640"/>
        <w:jc w:val="both"/>
      </w:pPr>
      <w:r>
        <w:rPr>
          <w:rFonts w:ascii="仿宋_GB2312" w:hAnsi="仿宋_GB2312" w:eastAsia="仿宋_GB2312"/>
          <w:b w:val="0"/>
          <w:sz w:val="32"/>
        </w:rPr>
        <w:t>3.教育支出(类)22.59万元,占1.86%。</w:t>
      </w:r>
    </w:p>
    <w:p w14:paraId="49A3F4AE">
      <w:pPr>
        <w:spacing w:line="580" w:lineRule="exact"/>
        <w:ind w:firstLine="640"/>
        <w:jc w:val="both"/>
      </w:pPr>
      <w:r>
        <w:rPr>
          <w:rFonts w:ascii="仿宋_GB2312" w:hAnsi="仿宋_GB2312" w:eastAsia="仿宋_GB2312"/>
          <w:b w:val="0"/>
          <w:sz w:val="32"/>
        </w:rPr>
        <w:t>4.社会保障和就业支出(类)173.93万元,占14.28%。</w:t>
      </w:r>
    </w:p>
    <w:p w14:paraId="36801A81">
      <w:pPr>
        <w:spacing w:line="580" w:lineRule="exact"/>
        <w:ind w:firstLine="640"/>
        <w:jc w:val="both"/>
      </w:pPr>
      <w:r>
        <w:rPr>
          <w:rFonts w:ascii="仿宋_GB2312" w:hAnsi="仿宋_GB2312" w:eastAsia="仿宋_GB2312"/>
          <w:b w:val="0"/>
          <w:sz w:val="32"/>
        </w:rPr>
        <w:t>5.卫生健康支出(类)38.28万元,占3.14%。</w:t>
      </w:r>
    </w:p>
    <w:p w14:paraId="17A79C52">
      <w:pPr>
        <w:spacing w:line="580" w:lineRule="exact"/>
        <w:ind w:firstLine="640"/>
        <w:jc w:val="both"/>
      </w:pPr>
      <w:r>
        <w:rPr>
          <w:rFonts w:ascii="仿宋_GB2312" w:hAnsi="仿宋_GB2312" w:eastAsia="仿宋_GB2312"/>
          <w:b w:val="0"/>
          <w:sz w:val="32"/>
        </w:rPr>
        <w:t>6.住房保障支出(类)63.13万元,占5.18%。</w:t>
      </w:r>
    </w:p>
    <w:p w14:paraId="45118230">
      <w:pPr>
        <w:spacing w:line="580" w:lineRule="exact"/>
        <w:ind w:firstLine="640"/>
        <w:jc w:val="both"/>
      </w:pPr>
      <w:r>
        <w:rPr>
          <w:rFonts w:ascii="仿宋_GB2312" w:hAnsi="仿宋_GB2312" w:eastAsia="仿宋_GB2312"/>
          <w:b w:val="0"/>
          <w:sz w:val="32"/>
        </w:rPr>
        <w:t>7.其他支出(类)2.35万元,占0.19%。</w:t>
      </w:r>
    </w:p>
    <w:p w14:paraId="00D11C55">
      <w:pPr>
        <w:spacing w:line="640" w:lineRule="exact"/>
        <w:ind w:firstLine="640"/>
        <w:jc w:val="both"/>
        <w:outlineLvl w:val="3"/>
      </w:pPr>
      <w:r>
        <w:rPr>
          <w:rFonts w:ascii="楷体_GB2312" w:hAnsi="楷体_GB2312" w:eastAsia="楷体_GB2312"/>
          <w:b/>
          <w:sz w:val="32"/>
        </w:rPr>
        <w:t>（三）一般公共预算财政拨款支出决算具体情况</w:t>
      </w:r>
    </w:p>
    <w:p w14:paraId="56AD9F28">
      <w:pPr>
        <w:spacing w:line="580" w:lineRule="exact"/>
        <w:ind w:firstLine="640"/>
        <w:jc w:val="both"/>
      </w:pPr>
      <w:r>
        <w:rPr>
          <w:rFonts w:ascii="仿宋_GB2312" w:hAnsi="仿宋_GB2312" w:eastAsia="仿宋_GB2312"/>
          <w:b w:val="0"/>
          <w:sz w:val="32"/>
        </w:rPr>
        <w:t>1.一般公共服务支出(类)组织事务(款)其他组织事务支出(项):支出决算数为2.25万元，比上年决算增加2.25万元，增长100.00%,主要原因是：功能科目调整，为民办实事工作经费从其他支出科目调整至其他组织事务支出科目，故经费较上年增加。</w:t>
      </w:r>
    </w:p>
    <w:p w14:paraId="40D02CE4">
      <w:pPr>
        <w:spacing w:line="580" w:lineRule="exact"/>
        <w:ind w:firstLine="640"/>
        <w:jc w:val="both"/>
      </w:pPr>
      <w:r>
        <w:rPr>
          <w:rFonts w:ascii="仿宋_GB2312" w:hAnsi="仿宋_GB2312" w:eastAsia="仿宋_GB2312"/>
          <w:b w:val="0"/>
          <w:sz w:val="32"/>
        </w:rPr>
        <w:t>2.公共安全支出(类)司法(款)行政运行(项):支出决算数为685.99万元，比上年决算减少47.12万元，下降6.43%,主要原因是：本年度在职转退休，挂职干部减少，相应人员经费较上年减少。</w:t>
      </w:r>
    </w:p>
    <w:p w14:paraId="77215B6F">
      <w:pPr>
        <w:spacing w:line="580" w:lineRule="exact"/>
        <w:ind w:firstLine="640"/>
        <w:jc w:val="both"/>
      </w:pPr>
      <w:r>
        <w:rPr>
          <w:rFonts w:ascii="仿宋_GB2312" w:hAnsi="仿宋_GB2312" w:eastAsia="仿宋_GB2312"/>
          <w:b w:val="0"/>
          <w:sz w:val="32"/>
        </w:rPr>
        <w:t>3.公共安全支出(类)司法(款)基层司法业务(项):支出决算数为12.75万元，比上年决算增加12.75万元，增长100.00%,主要原因是：本年新增人民调解工作经费及安置帮教工作经费。</w:t>
      </w:r>
    </w:p>
    <w:p w14:paraId="54CF2549">
      <w:pPr>
        <w:spacing w:line="580" w:lineRule="exact"/>
        <w:ind w:firstLine="640"/>
        <w:jc w:val="both"/>
      </w:pPr>
      <w:r>
        <w:rPr>
          <w:rFonts w:ascii="仿宋_GB2312" w:hAnsi="仿宋_GB2312" w:eastAsia="仿宋_GB2312"/>
          <w:b w:val="0"/>
          <w:sz w:val="32"/>
        </w:rPr>
        <w:t>4.公共安全支出(类)司法(款)普法宣传(项):支出决算数为1.00万元，比上年决算增加1.00万元，增长100.00%,主要原因是：本年新增普法宣传工作经费。</w:t>
      </w:r>
    </w:p>
    <w:p w14:paraId="0DBB2FF1">
      <w:pPr>
        <w:spacing w:line="580" w:lineRule="exact"/>
        <w:ind w:firstLine="640"/>
        <w:jc w:val="both"/>
      </w:pPr>
      <w:r>
        <w:rPr>
          <w:rFonts w:ascii="仿宋_GB2312" w:hAnsi="仿宋_GB2312" w:eastAsia="仿宋_GB2312"/>
          <w:b w:val="0"/>
          <w:sz w:val="32"/>
        </w:rPr>
        <w:t>5.公共安全支出(类)司法(款)公共法律服务(项):支出决算数为2.65万元，比上年决算减少15.35万元，下降85.28%,主要原因是：本年较上年减少对法律援助工作资金。</w:t>
      </w:r>
    </w:p>
    <w:p w14:paraId="62432DE7">
      <w:pPr>
        <w:spacing w:line="580" w:lineRule="exact"/>
        <w:ind w:firstLine="640"/>
        <w:jc w:val="both"/>
      </w:pPr>
      <w:r>
        <w:rPr>
          <w:rFonts w:ascii="仿宋_GB2312" w:hAnsi="仿宋_GB2312" w:eastAsia="仿宋_GB2312"/>
          <w:b w:val="0"/>
          <w:sz w:val="32"/>
        </w:rPr>
        <w:t>6.公共安全支出(类)司法(款)社区矫正(项):支出决算数为1.00万元，比上年决算增加1.00万元，增长100.00%,主要原因是：本年新增社区矫正工作经费。</w:t>
      </w:r>
    </w:p>
    <w:p w14:paraId="66137A04">
      <w:pPr>
        <w:spacing w:line="580" w:lineRule="exact"/>
        <w:ind w:firstLine="640"/>
        <w:jc w:val="both"/>
      </w:pPr>
      <w:r>
        <w:rPr>
          <w:rFonts w:ascii="仿宋_GB2312" w:hAnsi="仿宋_GB2312" w:eastAsia="仿宋_GB2312"/>
          <w:b w:val="0"/>
          <w:sz w:val="32"/>
        </w:rPr>
        <w:t>7.公共安全支出(类)司法(款)法治建设(项):支出决算数为2.00万元，比上年决算增加2.00万元，增长100.00%,主要原因是：功能科目调整，上年度行政复议经费在主科目中列支，本年在法治建设单独科目列支，故经费较上年增加。</w:t>
      </w:r>
    </w:p>
    <w:p w14:paraId="10297FF1">
      <w:pPr>
        <w:spacing w:line="580" w:lineRule="exact"/>
        <w:ind w:firstLine="640"/>
        <w:jc w:val="both"/>
      </w:pPr>
      <w:r>
        <w:rPr>
          <w:rFonts w:ascii="仿宋_GB2312" w:hAnsi="仿宋_GB2312" w:eastAsia="仿宋_GB2312"/>
          <w:b w:val="0"/>
          <w:sz w:val="32"/>
        </w:rPr>
        <w:t>8.公共安全支出(类)司法(款)其他司法支出(项):支出决算数为209.79万元，比上年决算减少219.37万元，下降51.12%,主要原因是：一是上年度使用结转专项业务经费资金；二是本年度部分专项业务经费资金尚未支付，以上原因导致本年度其他司法支出减少。</w:t>
      </w:r>
    </w:p>
    <w:p w14:paraId="7C56DB8F">
      <w:pPr>
        <w:spacing w:line="580" w:lineRule="exact"/>
        <w:ind w:firstLine="640"/>
        <w:jc w:val="both"/>
      </w:pPr>
      <w:r>
        <w:rPr>
          <w:rFonts w:ascii="仿宋_GB2312" w:hAnsi="仿宋_GB2312" w:eastAsia="仿宋_GB2312"/>
          <w:b w:val="0"/>
          <w:sz w:val="32"/>
        </w:rPr>
        <w:t>9.公共安全支出(类)其他公共安全支出(款)其他公共安全支出(项):支出决算数为0.00万元，比上年决算减少1.00万元，下降100.00%,主要原因是：本年度减少扫黑除恶项目经费。</w:t>
      </w:r>
    </w:p>
    <w:p w14:paraId="32C4F5B8">
      <w:pPr>
        <w:spacing w:line="580" w:lineRule="exact"/>
        <w:ind w:firstLine="640"/>
        <w:jc w:val="both"/>
      </w:pPr>
      <w:r>
        <w:rPr>
          <w:rFonts w:ascii="仿宋_GB2312" w:hAnsi="仿宋_GB2312" w:eastAsia="仿宋_GB2312"/>
          <w:b w:val="0"/>
          <w:sz w:val="32"/>
        </w:rPr>
        <w:t>10.教育支出(类)其他教育支出(款)其他教育支出(项):支出决算数为22.59万元，比上年决算增加22.59万元，增长100.00%,主要原因是：功能科目调整，上年度支教教师生活补助经费在主科目中列支，本年单独科目列支，故经费支出较上年增加。</w:t>
      </w:r>
    </w:p>
    <w:p w14:paraId="63B7FD7F">
      <w:pPr>
        <w:spacing w:line="580" w:lineRule="exact"/>
        <w:ind w:firstLine="640"/>
        <w:jc w:val="both"/>
      </w:pPr>
      <w:r>
        <w:rPr>
          <w:rFonts w:ascii="仿宋_GB2312" w:hAnsi="仿宋_GB2312" w:eastAsia="仿宋_GB2312"/>
          <w:b w:val="0"/>
          <w:sz w:val="32"/>
        </w:rPr>
        <w:t>11.社会保障和就业支出(类)行政事业单位养老支出(款)行政单位离退休(项):支出决算数为33.76万元，比上年决算增加7.77万元，增长29.90%,主要原因是：本年度退休干部增加，退休费增加。</w:t>
      </w:r>
    </w:p>
    <w:p w14:paraId="3B9F32A9">
      <w:pPr>
        <w:spacing w:line="580" w:lineRule="exact"/>
        <w:ind w:firstLine="640"/>
        <w:jc w:val="both"/>
      </w:pPr>
      <w:r>
        <w:rPr>
          <w:rFonts w:ascii="仿宋_GB2312" w:hAnsi="仿宋_GB2312" w:eastAsia="仿宋_GB2312"/>
          <w:b w:val="0"/>
          <w:sz w:val="32"/>
        </w:rPr>
        <w:t>12.社会保障和就业支出(类)行政事业单位养老支出(款)机关事业单位基本养老保险缴费支出(项):支出决算数为81.29万元，比上年决算增加14.51万元，增长21.73%,主要原因是：一是本年在职人员工资基数调增，养老缴费基数上涨，相应支出增加；二是本年在职人员调入调出，养老缴费基数不同，导致该项支出较上年增加。</w:t>
      </w:r>
    </w:p>
    <w:p w14:paraId="03DBDABD">
      <w:pPr>
        <w:spacing w:line="580" w:lineRule="exact"/>
        <w:ind w:firstLine="640"/>
        <w:jc w:val="both"/>
      </w:pPr>
      <w:r>
        <w:rPr>
          <w:rFonts w:ascii="仿宋_GB2312" w:hAnsi="仿宋_GB2312" w:eastAsia="仿宋_GB2312"/>
          <w:b w:val="0"/>
          <w:sz w:val="32"/>
        </w:rPr>
        <w:t>13.社会保障和就业支出(类)行政事业单位养老支出(款)机关事业单位职业年金缴费支出(项):支出决算数为58.87万元，比上年决算增加51.64万元，增长714.25%,主要原因是：本年在职转退休，职业年金缴费支出增加。</w:t>
      </w:r>
    </w:p>
    <w:p w14:paraId="1FC73E04">
      <w:pPr>
        <w:spacing w:line="580" w:lineRule="exact"/>
        <w:ind w:firstLine="640"/>
        <w:jc w:val="both"/>
      </w:pPr>
      <w:r>
        <w:rPr>
          <w:rFonts w:ascii="仿宋_GB2312" w:hAnsi="仿宋_GB2312" w:eastAsia="仿宋_GB2312"/>
          <w:b w:val="0"/>
          <w:sz w:val="32"/>
        </w:rPr>
        <w:t>14.社会保障和就业支出(类)抚恤(款)死亡抚恤(项):支出决算数为0.00万元，比上年决算减少35.10万元，下降100.00%,主要原因是：本年无新增死亡人员，死亡抚恤支出较上年减少。</w:t>
      </w:r>
    </w:p>
    <w:p w14:paraId="4ED9E981">
      <w:pPr>
        <w:spacing w:line="580" w:lineRule="exact"/>
        <w:ind w:firstLine="640"/>
        <w:jc w:val="both"/>
      </w:pPr>
      <w:r>
        <w:rPr>
          <w:rFonts w:ascii="仿宋_GB2312" w:hAnsi="仿宋_GB2312" w:eastAsia="仿宋_GB2312"/>
          <w:b w:val="0"/>
          <w:sz w:val="32"/>
        </w:rPr>
        <w:t>15.卫生健康支出(类)行政事业单位医疗(款)行政单位医疗(项):支出决算数为38.28万元，比上年决算增加6.16万元，增长19.18%,主要原因是：一是本年在职人员工资基数调增，医疗缴费基数上涨，相应支出增加；二是本年在职人员调入调出，医疗缴费基数不同，导致该项支出较上年增加。</w:t>
      </w:r>
    </w:p>
    <w:p w14:paraId="74969081">
      <w:pPr>
        <w:spacing w:line="580" w:lineRule="exact"/>
        <w:ind w:firstLine="640"/>
        <w:jc w:val="both"/>
      </w:pPr>
      <w:r>
        <w:rPr>
          <w:rFonts w:ascii="仿宋_GB2312" w:hAnsi="仿宋_GB2312" w:eastAsia="仿宋_GB2312"/>
          <w:b w:val="0"/>
          <w:sz w:val="32"/>
        </w:rPr>
        <w:t>16.住房保障支出(类)住房改革支出(款)住房公积金(项):支出决算数为63.13万元，比上年决算增加8.93万元，增长16.48%,主要原因是：一是本年在职人员工资基数调增，住房公积金缴费基数上涨，相应支出增加；二是本年在职人员调入调出，住房公积金缴费基数不同，导致该项支出较上年增加。</w:t>
      </w:r>
    </w:p>
    <w:p w14:paraId="0D3E732D">
      <w:pPr>
        <w:spacing w:line="580" w:lineRule="exact"/>
        <w:ind w:firstLine="640"/>
        <w:jc w:val="both"/>
      </w:pPr>
      <w:r>
        <w:rPr>
          <w:rFonts w:ascii="仿宋_GB2312" w:hAnsi="仿宋_GB2312" w:eastAsia="仿宋_GB2312"/>
          <w:b w:val="0"/>
          <w:sz w:val="32"/>
        </w:rPr>
        <w:t>17.其他支出(类)其他支出(款)其他支出(项):支出决算数为2.35万元，比上年决算减少9.73万元，下降80.55%,主要原因是：功能科目调整，为民办实事工作经费从其他支出科目调整至其他组织事务支出科目，故经费较上年</w:t>
      </w:r>
      <w:r>
        <w:rPr>
          <w:rFonts w:hint="eastAsia" w:ascii="仿宋_GB2312" w:hAnsi="仿宋_GB2312" w:eastAsia="仿宋_GB2312"/>
          <w:b w:val="0"/>
          <w:sz w:val="32"/>
          <w:lang w:val="en-US" w:eastAsia="zh-CN"/>
        </w:rPr>
        <w:t>减少</w:t>
      </w:r>
      <w:r>
        <w:rPr>
          <w:rFonts w:ascii="仿宋_GB2312" w:hAnsi="仿宋_GB2312" w:eastAsia="仿宋_GB2312"/>
          <w:b w:val="0"/>
          <w:sz w:val="32"/>
        </w:rPr>
        <w:t>。</w:t>
      </w:r>
    </w:p>
    <w:p w14:paraId="505CCE5F">
      <w:pPr>
        <w:spacing w:line="640" w:lineRule="exact"/>
        <w:ind w:firstLine="640"/>
        <w:jc w:val="both"/>
        <w:outlineLvl w:val="2"/>
      </w:pPr>
      <w:r>
        <w:rPr>
          <w:rFonts w:ascii="黑体" w:hAnsi="黑体" w:eastAsia="黑体"/>
          <w:sz w:val="32"/>
        </w:rPr>
        <w:t>六、一般公共预算财政拨款基本支出决算情况说明</w:t>
      </w:r>
    </w:p>
    <w:p w14:paraId="4DAEFD1A">
      <w:pPr>
        <w:spacing w:line="580" w:lineRule="exact"/>
        <w:ind w:firstLine="640"/>
        <w:jc w:val="both"/>
      </w:pPr>
      <w:r>
        <w:rPr>
          <w:rFonts w:ascii="仿宋_GB2312" w:hAnsi="仿宋_GB2312" w:eastAsia="仿宋_GB2312"/>
          <w:b w:val="0"/>
          <w:sz w:val="32"/>
        </w:rPr>
        <w:t>2024年度一般公共预算财政拨款基本支出961.33万元，其中：</w:t>
      </w:r>
      <w:r>
        <w:rPr>
          <w:rFonts w:ascii="仿宋_GB2312" w:hAnsi="仿宋_GB2312" w:eastAsia="仿宋_GB2312"/>
          <w:b/>
          <w:sz w:val="32"/>
        </w:rPr>
        <w:t>人员经费921.87万元，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包括：基本工资、津贴补贴、奖金、机关事业单位基本养老保险缴费、职业年金缴费、职工基本医疗保险缴费、其他社会保障缴费、住房公积金、退休费、生活补助、奖励金。</w:t>
      </w:r>
    </w:p>
    <w:p w14:paraId="6A039BA3">
      <w:pPr>
        <w:spacing w:line="580" w:lineRule="exact"/>
        <w:ind w:firstLine="640"/>
        <w:jc w:val="both"/>
      </w:pPr>
      <w:r>
        <w:rPr>
          <w:rFonts w:ascii="仿宋_GB2312" w:hAnsi="仿宋_GB2312" w:eastAsia="仿宋_GB2312"/>
          <w:b/>
          <w:sz w:val="32"/>
        </w:rPr>
        <w:t>公用经费39.47万元，</w:t>
      </w:r>
      <w:r>
        <w:rPr>
          <w:rFonts w:ascii="仿宋_GB2312" w:hAnsi="仿宋_GB2312" w:eastAsia="仿宋_GB2312"/>
          <w:b w:val="0"/>
          <w:sz w:val="32"/>
        </w:rPr>
        <w:t>包括：办公费、水费、电费、邮电费、取暖费、维修（护）费、公务用车运行维护费。</w:t>
      </w:r>
    </w:p>
    <w:p w14:paraId="65D98D5D">
      <w:pPr>
        <w:spacing w:line="640" w:lineRule="exact"/>
        <w:ind w:firstLine="640"/>
        <w:jc w:val="both"/>
        <w:outlineLvl w:val="2"/>
      </w:pPr>
      <w:r>
        <w:rPr>
          <w:rFonts w:ascii="黑体" w:hAnsi="黑体" w:eastAsia="黑体"/>
          <w:sz w:val="32"/>
        </w:rPr>
        <w:t>七、政府性基金预算财政拨款收入支出决算情况说明</w:t>
      </w:r>
    </w:p>
    <w:p w14:paraId="6EAE4246">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4C6D7E7D">
      <w:pPr>
        <w:spacing w:line="640" w:lineRule="exact"/>
        <w:ind w:firstLine="640"/>
        <w:jc w:val="both"/>
        <w:outlineLvl w:val="2"/>
      </w:pPr>
      <w:r>
        <w:rPr>
          <w:rFonts w:ascii="黑体" w:hAnsi="黑体" w:eastAsia="黑体"/>
          <w:sz w:val="32"/>
        </w:rPr>
        <w:t>八、国有资本经营预算财政拨款收入支出决算情况说明</w:t>
      </w:r>
    </w:p>
    <w:p w14:paraId="0E5B074B">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2211150B">
      <w:pPr>
        <w:spacing w:line="640" w:lineRule="exact"/>
        <w:ind w:firstLine="640"/>
        <w:jc w:val="both"/>
        <w:outlineLvl w:val="2"/>
      </w:pPr>
      <w:r>
        <w:rPr>
          <w:rFonts w:ascii="黑体" w:hAnsi="黑体" w:eastAsia="黑体"/>
          <w:sz w:val="32"/>
        </w:rPr>
        <w:t>九、财政拨款“三公”经费支出决算情况说明</w:t>
      </w:r>
    </w:p>
    <w:p w14:paraId="6BA2C0D3">
      <w:pPr>
        <w:spacing w:line="580" w:lineRule="exact"/>
        <w:ind w:firstLine="640"/>
        <w:jc w:val="both"/>
      </w:pPr>
      <w:r>
        <w:rPr>
          <w:rFonts w:ascii="仿宋_GB2312" w:hAnsi="仿宋_GB2312" w:eastAsia="仿宋_GB2312"/>
          <w:b/>
          <w:sz w:val="32"/>
        </w:rPr>
        <w:t>2024年度财政拨款“三公”经费支出34.38万元，</w:t>
      </w:r>
      <w:r>
        <w:rPr>
          <w:rFonts w:ascii="仿宋_GB2312" w:hAnsi="仿宋_GB2312" w:eastAsia="仿宋_GB2312"/>
          <w:b w:val="0"/>
          <w:sz w:val="32"/>
        </w:rPr>
        <w:t>比上年增加26.48万元，增长335.19%，主要原因是：一是本年新购入公务用车，二是本年度财政统一调高每辆公务用车运行标准，导致“三公”经费支出增加。其中：因公出国（境）费支出0.00万元，占0.00%，比上年增加0.00万元，增长0.00%，主要原因是：2023年与2024年均未安排因公出国（境）费支出。公务用车购置及运行维护费支出34.38万元，占100.00%，比上年增加26.48万元，增长335.19%，主要原因是：一是本年新购入公务用车，二是本年度财政统一调高每辆公务用车的运行标准，导致“三公”经费支出增加。公务接待费支出0.00万元，占0.00%，比上年增加0.00万元，增长0.00%，主要原因是：2023年与2024年均未安排公务接待费支出。</w:t>
      </w:r>
    </w:p>
    <w:p w14:paraId="0BFA3EAB">
      <w:pPr>
        <w:spacing w:line="580" w:lineRule="exact"/>
        <w:ind w:firstLine="640"/>
        <w:jc w:val="both"/>
      </w:pPr>
      <w:r>
        <w:rPr>
          <w:rFonts w:ascii="仿宋_GB2312" w:hAnsi="仿宋_GB2312" w:eastAsia="仿宋_GB2312"/>
          <w:b/>
          <w:sz w:val="32"/>
        </w:rPr>
        <w:t>具体情况如下：</w:t>
      </w:r>
    </w:p>
    <w:p w14:paraId="1FE05DDF">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57721DCC">
      <w:pPr>
        <w:spacing w:line="580" w:lineRule="exact"/>
        <w:ind w:firstLine="640"/>
        <w:jc w:val="both"/>
      </w:pPr>
      <w:r>
        <w:rPr>
          <w:rFonts w:ascii="仿宋_GB2312" w:hAnsi="仿宋_GB2312" w:eastAsia="仿宋_GB2312"/>
          <w:b w:val="0"/>
          <w:sz w:val="32"/>
        </w:rPr>
        <w:t>公务用车购置及运行维护费34.38万元，其中：公务用车购置费10.98万元，公务用车运行维护费23.40万元。公务用车运行维护费开支内容包括车辆加油费、维修费、保险费、审车费、过路费等。公务用车购置数1辆，公务用车保有量14辆。国有资产占用情况中固定资产车辆14辆，与公务用车保有量差异原因是：本单位固定资产车辆与公务用车保有量一致无差异。</w:t>
      </w:r>
    </w:p>
    <w:p w14:paraId="68A5E629">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782AD7A1">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34.38万元，决算数34.38万元，预决算差异率0.00%，主要原因是：严格按照预算执行，预决算无差异。其中：因公出国（境）费全年预算数0.00万元，决算数0.00万元，预决算差异率0.00%，主要原因是：本单位无因公出国（境）费。公务用车购置费全年预算数10.98万元，决算数10.98万元，预决算差异率0.00%，主要原因是：严格按照预算执行，预决算无差异。公务用车运行维护费全年预算数23.40万元，决算数23.40万元，预决算差异率0.00%，主要原因是：严格按照预算执行，预决算无差异。公务接待费全年预算数0.00万元，决算数0.00万元，预决算差异率0.00%，主要原因是：本单位无公务接待费。</w:t>
      </w:r>
    </w:p>
    <w:p w14:paraId="6AC32086">
      <w:pPr>
        <w:spacing w:line="640" w:lineRule="exact"/>
        <w:ind w:firstLine="640"/>
        <w:jc w:val="both"/>
        <w:outlineLvl w:val="2"/>
      </w:pPr>
      <w:r>
        <w:rPr>
          <w:rFonts w:ascii="黑体" w:hAnsi="黑体" w:eastAsia="黑体"/>
          <w:sz w:val="32"/>
        </w:rPr>
        <w:t>十、其他重要事项的情况说明</w:t>
      </w:r>
    </w:p>
    <w:p w14:paraId="1179072E">
      <w:pPr>
        <w:spacing w:line="640" w:lineRule="exact"/>
        <w:ind w:firstLine="640"/>
        <w:jc w:val="both"/>
        <w:outlineLvl w:val="3"/>
      </w:pPr>
      <w:r>
        <w:rPr>
          <w:rFonts w:ascii="楷体_GB2312" w:hAnsi="楷体_GB2312" w:eastAsia="楷体_GB2312"/>
          <w:b/>
          <w:sz w:val="32"/>
        </w:rPr>
        <w:t>（一）机关运行经费及公用经费支出情况</w:t>
      </w:r>
    </w:p>
    <w:p w14:paraId="3C8FF1D8">
      <w:pPr>
        <w:spacing w:line="580" w:lineRule="exact"/>
        <w:ind w:firstLine="640"/>
        <w:jc w:val="both"/>
      </w:pPr>
      <w:r>
        <w:rPr>
          <w:rFonts w:ascii="仿宋_GB2312" w:hAnsi="仿宋_GB2312" w:eastAsia="仿宋_GB2312"/>
          <w:b w:val="0"/>
          <w:sz w:val="32"/>
        </w:rPr>
        <w:t>2024年度阿克陶县司法局（行政单位和参照公务员法管理事业单位）机关运行经费支出39.47万元，比上年减少4.54万元，下降10.32%，主要原因是：严格控制公用经费，合理节约办公用品，减少不必要开支。</w:t>
      </w:r>
    </w:p>
    <w:p w14:paraId="59DBCA65">
      <w:pPr>
        <w:spacing w:line="640" w:lineRule="exact"/>
        <w:ind w:firstLine="640"/>
        <w:jc w:val="both"/>
        <w:outlineLvl w:val="3"/>
      </w:pPr>
      <w:r>
        <w:rPr>
          <w:rFonts w:ascii="楷体_GB2312" w:hAnsi="楷体_GB2312" w:eastAsia="楷体_GB2312"/>
          <w:b/>
          <w:sz w:val="32"/>
        </w:rPr>
        <w:t>（二）政府采购情况</w:t>
      </w:r>
    </w:p>
    <w:p w14:paraId="523B742F">
      <w:pPr>
        <w:spacing w:line="580" w:lineRule="exact"/>
        <w:ind w:firstLine="640"/>
        <w:jc w:val="both"/>
      </w:pPr>
      <w:r>
        <w:rPr>
          <w:rFonts w:ascii="仿宋_GB2312" w:hAnsi="仿宋_GB2312" w:eastAsia="仿宋_GB2312"/>
          <w:b w:val="0"/>
          <w:sz w:val="32"/>
        </w:rPr>
        <w:t>2024年度政府采购支出总额135.65万元，其中：政府采购货物支出36.22万元、政府采购工程支出0.85万元、政府采购服务支出98.58万元。</w:t>
      </w:r>
    </w:p>
    <w:p w14:paraId="4A5A174A">
      <w:pPr>
        <w:spacing w:line="580" w:lineRule="exact"/>
        <w:ind w:firstLine="640"/>
        <w:jc w:val="both"/>
      </w:pPr>
      <w:r>
        <w:rPr>
          <w:rFonts w:ascii="仿宋_GB2312" w:hAnsi="仿宋_GB2312" w:eastAsia="仿宋_GB2312"/>
          <w:b w:val="0"/>
          <w:sz w:val="32"/>
        </w:rPr>
        <w:t>授予中小企业合同金额129.13万元，占政府采购支出总额的95.19%，其中：授予小微企业合同金额114.22万元，占政府采购支出总额的84.20%。</w:t>
      </w:r>
    </w:p>
    <w:p w14:paraId="468D7CAB">
      <w:pPr>
        <w:spacing w:line="640" w:lineRule="exact"/>
        <w:ind w:firstLine="640"/>
        <w:jc w:val="both"/>
        <w:outlineLvl w:val="3"/>
      </w:pPr>
      <w:r>
        <w:rPr>
          <w:rFonts w:ascii="楷体_GB2312" w:hAnsi="楷体_GB2312" w:eastAsia="楷体_GB2312"/>
          <w:b/>
          <w:sz w:val="32"/>
        </w:rPr>
        <w:t>（三）国有资产占用情况说明</w:t>
      </w:r>
    </w:p>
    <w:p w14:paraId="14B868FD">
      <w:pPr>
        <w:spacing w:line="580" w:lineRule="exact"/>
        <w:ind w:firstLine="640"/>
        <w:jc w:val="both"/>
      </w:pPr>
      <w:r>
        <w:rPr>
          <w:rFonts w:ascii="仿宋_GB2312" w:hAnsi="仿宋_GB2312" w:eastAsia="仿宋_GB2312"/>
          <w:b w:val="0"/>
          <w:sz w:val="32"/>
        </w:rPr>
        <w:t>截至2024年12月31日，房屋9,602.44平方米，价值1,528.82万元。车辆14辆，价值217.31万元，其中：副部（省）级及以上领导用车0辆、主要负责人用车0辆、机要通信用车0辆、应急保障用车0辆、执法执勤用车11辆、特种专业技术用车3辆、离退休干部服务用车0辆、其他用车0辆，其他用车主要是：本单位无其他用车。单价100万元（含）以上设备（不含车辆）0台（套）。</w:t>
      </w:r>
    </w:p>
    <w:p w14:paraId="07A3F455">
      <w:pPr>
        <w:spacing w:line="640" w:lineRule="exact"/>
        <w:ind w:firstLine="640"/>
        <w:jc w:val="both"/>
        <w:outlineLvl w:val="2"/>
      </w:pPr>
      <w:r>
        <w:rPr>
          <w:rFonts w:ascii="黑体" w:hAnsi="黑体" w:eastAsia="黑体"/>
          <w:sz w:val="32"/>
        </w:rPr>
        <w:t>十一、预算绩效的情况说明</w:t>
      </w:r>
    </w:p>
    <w:p w14:paraId="6F25C0BA">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w:t>
      </w:r>
      <w:r>
        <w:rPr>
          <w:rFonts w:hint="eastAsia" w:ascii="仿宋_GB2312" w:hAnsi="仿宋_GB2312" w:eastAsia="仿宋_GB2312"/>
          <w:b w:val="0"/>
          <w:sz w:val="32"/>
        </w:rPr>
        <w:t>1</w:t>
      </w:r>
      <w:r>
        <w:rPr>
          <w:rFonts w:hint="eastAsia" w:ascii="仿宋_GB2312" w:hAnsi="仿宋_GB2312" w:eastAsia="仿宋_GB2312"/>
          <w:b w:val="0"/>
          <w:sz w:val="32"/>
          <w:lang w:val="en-US" w:eastAsia="zh-CN"/>
        </w:rPr>
        <w:t>,</w:t>
      </w:r>
      <w:r>
        <w:rPr>
          <w:rFonts w:hint="eastAsia" w:ascii="仿宋_GB2312" w:hAnsi="仿宋_GB2312" w:eastAsia="仿宋_GB2312"/>
          <w:b w:val="0"/>
          <w:sz w:val="32"/>
        </w:rPr>
        <w:t>298.72</w:t>
      </w:r>
      <w:r>
        <w:rPr>
          <w:rFonts w:ascii="仿宋_GB2312" w:hAnsi="仿宋_GB2312" w:eastAsia="仿宋_GB2312"/>
          <w:b w:val="0"/>
          <w:sz w:val="32"/>
        </w:rPr>
        <w:t>万元，实际执行总额</w:t>
      </w:r>
      <w:r>
        <w:rPr>
          <w:rFonts w:hint="eastAsia" w:ascii="仿宋_GB2312" w:hAnsi="仿宋_GB2312" w:eastAsia="仿宋_GB2312"/>
          <w:b w:val="0"/>
          <w:sz w:val="32"/>
        </w:rPr>
        <w:t>1</w:t>
      </w:r>
      <w:r>
        <w:rPr>
          <w:rFonts w:hint="eastAsia" w:ascii="仿宋_GB2312" w:hAnsi="仿宋_GB2312" w:eastAsia="仿宋_GB2312"/>
          <w:b w:val="0"/>
          <w:sz w:val="32"/>
          <w:lang w:val="en-US" w:eastAsia="zh-CN"/>
        </w:rPr>
        <w:t>,</w:t>
      </w:r>
      <w:r>
        <w:rPr>
          <w:rFonts w:hint="eastAsia" w:ascii="仿宋_GB2312" w:hAnsi="仿宋_GB2312" w:eastAsia="仿宋_GB2312"/>
          <w:b w:val="0"/>
          <w:sz w:val="32"/>
        </w:rPr>
        <w:t>277.8</w:t>
      </w:r>
      <w:r>
        <w:rPr>
          <w:rFonts w:hint="eastAsia" w:ascii="仿宋_GB2312" w:hAnsi="仿宋_GB2312" w:eastAsia="仿宋_GB2312"/>
          <w:b w:val="0"/>
          <w:sz w:val="32"/>
          <w:lang w:val="en-US" w:eastAsia="zh-CN"/>
        </w:rPr>
        <w:t>0</w:t>
      </w:r>
      <w:bookmarkStart w:id="0" w:name="_GoBack"/>
      <w:bookmarkEnd w:id="0"/>
      <w:r>
        <w:rPr>
          <w:rFonts w:ascii="仿宋_GB2312" w:hAnsi="仿宋_GB2312" w:eastAsia="仿宋_GB2312"/>
          <w:b w:val="0"/>
          <w:sz w:val="32"/>
        </w:rPr>
        <w:t>万元；预算绩效评价项目6个，全年预算数1,514.35万元，全年执行数1,217.72万元。预算绩效管理取得的成效：开展绩效评价，提高了绩效工作管理水平，科学制定目标，促进了绩效目标顺利实现，提高了项目资金使用的绩效意识，以便项目实施完成，进行跟踪问效评价，对下一年此类项目预算编制提供参考。发现的问题及原因：绩效管理专业人员匮乏，规范管理有盲点。预算绩效管理工作的覆盖面广、专业性强，不论预算单位在开展日常管理，还是财政部门组织实施绩效评价，都需要具备一定专业素养和实战经验的人力资源。下一步改进措施：一是加强学习，提高对绩效管理的认识，提高对绩效管理的重视度，对相关人员进行培训与宣传，树立事前、事中、事后全过程的监督评价机制。二是建立明确的绩效管理计划，绩效计划应对执行绩效管理作出深入细致的规划，保证各个环节有人负责，保证整个绩效管理过程可以追踪和考核。</w:t>
      </w:r>
    </w:p>
    <w:p w14:paraId="5EAC3D90">
      <w:r>
        <w:br w:type="page"/>
      </w:r>
    </w:p>
    <w:p w14:paraId="1F641A94">
      <w:pPr>
        <w:spacing w:line="640" w:lineRule="exact"/>
        <w:ind w:firstLine="640"/>
        <w:jc w:val="both"/>
        <w:outlineLvl w:val="2"/>
      </w:pPr>
      <w:r>
        <w:rPr>
          <w:rFonts w:ascii="黑体" w:hAnsi="黑体" w:eastAsia="黑体"/>
          <w:sz w:val="32"/>
        </w:rPr>
        <w:t>十二、其他需说明的事项</w:t>
      </w:r>
    </w:p>
    <w:p w14:paraId="07B9941D">
      <w:pPr>
        <w:spacing w:line="580" w:lineRule="exact"/>
        <w:ind w:firstLine="640"/>
        <w:jc w:val="both"/>
      </w:pPr>
      <w:r>
        <w:rPr>
          <w:rFonts w:ascii="仿宋_GB2312" w:hAnsi="仿宋_GB2312" w:eastAsia="仿宋_GB2312"/>
          <w:b w:val="0"/>
          <w:sz w:val="32"/>
        </w:rPr>
        <w:t>本年度本单位整体绩效自评表不予公开。</w:t>
      </w:r>
    </w:p>
    <w:p w14:paraId="6C437C32">
      <w:pPr>
        <w:spacing w:line="580" w:lineRule="exact"/>
        <w:ind w:firstLine="640"/>
        <w:jc w:val="both"/>
      </w:pPr>
      <w:r>
        <w:rPr>
          <w:rFonts w:ascii="仿宋_GB2312" w:hAnsi="仿宋_GB2312" w:eastAsia="仿宋_GB2312"/>
          <w:b w:val="0"/>
          <w:sz w:val="32"/>
        </w:rPr>
        <w:t>本年本单位SM项目6个，全年预算数1,514.35万元，全年执行数1,217.72万元。</w:t>
      </w:r>
    </w:p>
    <w:p w14:paraId="35A323BA">
      <w:r>
        <w:br w:type="page"/>
      </w:r>
    </w:p>
    <w:p w14:paraId="5DB8036B">
      <w:pPr>
        <w:spacing w:line="240" w:lineRule="auto"/>
        <w:jc w:val="center"/>
        <w:outlineLvl w:val="1"/>
      </w:pPr>
      <w:r>
        <w:rPr>
          <w:rFonts w:ascii="黑体" w:hAnsi="黑体" w:eastAsia="黑体"/>
          <w:sz w:val="32"/>
        </w:rPr>
        <w:t>第三部分 专业名词解释</w:t>
      </w:r>
    </w:p>
    <w:p w14:paraId="4CB4A155">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234F213D">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9A2064A">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2AFB46DF">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5B65763D">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3FF5C463">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5E311314">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0C0CAD54">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02639BC">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6CF4D919">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011487EA">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79D44AE0">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B49948A">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EA3029E">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08366AEC">
      <w:r>
        <w:br w:type="page"/>
      </w:r>
    </w:p>
    <w:p w14:paraId="229933B2">
      <w:pPr>
        <w:spacing w:line="240" w:lineRule="auto"/>
        <w:jc w:val="center"/>
        <w:outlineLvl w:val="1"/>
      </w:pPr>
      <w:r>
        <w:rPr>
          <w:rFonts w:ascii="黑体" w:hAnsi="黑体" w:eastAsia="黑体"/>
          <w:sz w:val="32"/>
        </w:rPr>
        <w:t>第四部分 部门决算报表（见附表）</w:t>
      </w:r>
    </w:p>
    <w:p w14:paraId="506964C1">
      <w:pPr>
        <w:spacing w:line="240" w:lineRule="auto"/>
        <w:ind w:firstLine="640"/>
        <w:jc w:val="both"/>
      </w:pPr>
      <w:r>
        <w:rPr>
          <w:rFonts w:ascii="仿宋_GB2312" w:hAnsi="仿宋_GB2312" w:eastAsia="仿宋_GB2312"/>
          <w:b w:val="0"/>
          <w:sz w:val="32"/>
        </w:rPr>
        <w:t>一、《收入支出决算总表》</w:t>
      </w:r>
    </w:p>
    <w:p w14:paraId="247FFE79">
      <w:pPr>
        <w:spacing w:line="240" w:lineRule="auto"/>
        <w:ind w:firstLine="640"/>
        <w:jc w:val="both"/>
      </w:pPr>
      <w:r>
        <w:rPr>
          <w:rFonts w:ascii="仿宋_GB2312" w:hAnsi="仿宋_GB2312" w:eastAsia="仿宋_GB2312"/>
          <w:b w:val="0"/>
          <w:sz w:val="32"/>
        </w:rPr>
        <w:t>二、《收入决算表》</w:t>
      </w:r>
    </w:p>
    <w:p w14:paraId="2351D4A0">
      <w:pPr>
        <w:spacing w:line="240" w:lineRule="auto"/>
        <w:ind w:firstLine="640"/>
        <w:jc w:val="both"/>
      </w:pPr>
      <w:r>
        <w:rPr>
          <w:rFonts w:ascii="仿宋_GB2312" w:hAnsi="仿宋_GB2312" w:eastAsia="仿宋_GB2312"/>
          <w:b w:val="0"/>
          <w:sz w:val="32"/>
        </w:rPr>
        <w:t>三、《支出决算表》</w:t>
      </w:r>
    </w:p>
    <w:p w14:paraId="2DD0D99B">
      <w:pPr>
        <w:spacing w:line="240" w:lineRule="auto"/>
        <w:ind w:firstLine="640"/>
        <w:jc w:val="both"/>
      </w:pPr>
      <w:r>
        <w:rPr>
          <w:rFonts w:ascii="仿宋_GB2312" w:hAnsi="仿宋_GB2312" w:eastAsia="仿宋_GB2312"/>
          <w:b w:val="0"/>
          <w:sz w:val="32"/>
        </w:rPr>
        <w:t>四、《财政拨款收入支出决算总表》</w:t>
      </w:r>
    </w:p>
    <w:p w14:paraId="57758B0B">
      <w:pPr>
        <w:spacing w:line="240" w:lineRule="auto"/>
        <w:ind w:firstLine="640"/>
        <w:jc w:val="both"/>
      </w:pPr>
      <w:r>
        <w:rPr>
          <w:rFonts w:ascii="仿宋_GB2312" w:hAnsi="仿宋_GB2312" w:eastAsia="仿宋_GB2312"/>
          <w:b w:val="0"/>
          <w:sz w:val="32"/>
        </w:rPr>
        <w:t>五、《一般公共预算财政拨款支出决算表》</w:t>
      </w:r>
    </w:p>
    <w:p w14:paraId="3BF6F826">
      <w:pPr>
        <w:spacing w:line="240" w:lineRule="auto"/>
        <w:ind w:firstLine="640"/>
        <w:jc w:val="both"/>
      </w:pPr>
      <w:r>
        <w:rPr>
          <w:rFonts w:ascii="仿宋_GB2312" w:hAnsi="仿宋_GB2312" w:eastAsia="仿宋_GB2312"/>
          <w:b w:val="0"/>
          <w:sz w:val="32"/>
        </w:rPr>
        <w:t>六、《一般公共预算财政拨款基本支出决算表》</w:t>
      </w:r>
    </w:p>
    <w:p w14:paraId="410D80D0">
      <w:pPr>
        <w:spacing w:line="240" w:lineRule="auto"/>
        <w:ind w:firstLine="640"/>
        <w:jc w:val="both"/>
      </w:pPr>
      <w:r>
        <w:rPr>
          <w:rFonts w:ascii="仿宋_GB2312" w:hAnsi="仿宋_GB2312" w:eastAsia="仿宋_GB2312"/>
          <w:b w:val="0"/>
          <w:sz w:val="32"/>
        </w:rPr>
        <w:t>七、《政府性基金预算财政拨款收入支出决算表》</w:t>
      </w:r>
    </w:p>
    <w:p w14:paraId="4CD88BAC">
      <w:pPr>
        <w:spacing w:line="240" w:lineRule="auto"/>
        <w:ind w:firstLine="640"/>
        <w:jc w:val="both"/>
      </w:pPr>
      <w:r>
        <w:rPr>
          <w:rFonts w:ascii="仿宋_GB2312" w:hAnsi="仿宋_GB2312" w:eastAsia="仿宋_GB2312"/>
          <w:b w:val="0"/>
          <w:sz w:val="32"/>
        </w:rPr>
        <w:t>八、《国有资本经营预算财政拨款收入支出决算表》</w:t>
      </w:r>
    </w:p>
    <w:p w14:paraId="66C7EF74">
      <w:pPr>
        <w:spacing w:line="240" w:lineRule="auto"/>
        <w:ind w:firstLine="640"/>
        <w:jc w:val="both"/>
      </w:pPr>
      <w:r>
        <w:rPr>
          <w:rFonts w:ascii="仿宋_GB2312" w:hAnsi="仿宋_GB2312" w:eastAsia="仿宋_GB2312"/>
          <w:b w:val="0"/>
          <w:sz w:val="32"/>
        </w:rPr>
        <w:t>九、《财政拨款“三公”经费支出决算表》</w:t>
      </w:r>
    </w:p>
    <w:p w14:paraId="568C9323">
      <w:pPr>
        <w:spacing w:line="240" w:lineRule="auto"/>
        <w:ind w:firstLine="640"/>
        <w:jc w:val="both"/>
      </w:pPr>
    </w:p>
    <w:p w14:paraId="3E643E9A">
      <w:pPr>
        <w:spacing w:line="240" w:lineRule="auto"/>
        <w:ind w:firstLine="640"/>
        <w:jc w:val="both"/>
      </w:pPr>
    </w:p>
    <w:p w14:paraId="63DF9220">
      <w:pPr>
        <w:spacing w:line="240" w:lineRule="auto"/>
        <w:ind w:firstLine="640"/>
        <w:jc w:val="both"/>
      </w:pPr>
    </w:p>
    <w:p w14:paraId="026921EB">
      <w:pPr>
        <w:spacing w:line="240" w:lineRule="auto"/>
        <w:ind w:firstLine="640"/>
        <w:jc w:val="both"/>
      </w:pPr>
    </w:p>
    <w:p w14:paraId="63A64847">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D63940E-43C6-46E2-A608-8C7E317C9BD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967479DA-59EF-44A0-B2D4-E23D6CF2DB4D}"/>
  </w:font>
  <w:font w:name="仿宋_GB2312">
    <w:panose1 w:val="02010609030101010101"/>
    <w:charset w:val="86"/>
    <w:family w:val="auto"/>
    <w:pitch w:val="default"/>
    <w:sig w:usb0="00000001" w:usb1="080E0000" w:usb2="00000000" w:usb3="00000000" w:csb0="00040000" w:csb1="00000000"/>
    <w:embedRegular r:id="rId3" w:fontKey="{ACD87A40-57AE-4538-9894-FFBA2FD8B84C}"/>
  </w:font>
  <w:font w:name="楷体_GB2312">
    <w:panose1 w:val="02010609030101010101"/>
    <w:charset w:val="86"/>
    <w:family w:val="auto"/>
    <w:pitch w:val="default"/>
    <w:sig w:usb0="00000001" w:usb1="080E0000" w:usb2="00000000" w:usb3="00000000" w:csb0="00040000" w:csb1="00000000"/>
    <w:embedRegular r:id="rId4" w:fontKey="{0B397DCF-B86C-4CD5-B78E-58B347C63543}"/>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ED97583"/>
    <w:rsid w:val="0F9811B3"/>
    <w:rsid w:val="11E15093"/>
    <w:rsid w:val="120E0809"/>
    <w:rsid w:val="184B14B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1CE67C2"/>
    <w:rsid w:val="423A32B2"/>
    <w:rsid w:val="423C0CB4"/>
    <w:rsid w:val="427B5743"/>
    <w:rsid w:val="42E64542"/>
    <w:rsid w:val="452627E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C1B78E3"/>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878126C"/>
    <w:rsid w:val="795A0A34"/>
    <w:rsid w:val="7A0D3BC7"/>
    <w:rsid w:val="7A3A3CDB"/>
    <w:rsid w:val="7CA659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7254</Words>
  <Characters>8175</Characters>
  <Lines>0</Lines>
  <Paragraphs>0</Paragraphs>
  <TotalTime>9</TotalTime>
  <ScaleCrop>false</ScaleCrop>
  <LinksUpToDate>false</LinksUpToDate>
  <CharactersWithSpaces>8185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2025-09-23T04:29:34Z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eyJoZGlkIjoiZjc0YWFlMzUxNjVlZTcxY2FlZTNjZDFlMzE3YzBjNDEiLCJ1c2VySWQiOiIyMDM3MTI1NTkifQ==</vt:lpwstr>
  </property>
</Properties>
</file>