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4F6B7FD">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阿克陶县城市管理综合行政执法局</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1A143CE">
      <w:r>
        <w:br w:type="page"/>
      </w:r>
    </w:p>
    <w:p w14:paraId="78682BED">
      <w:pPr>
        <w:spacing w:line="640" w:lineRule="exact"/>
        <w:jc w:val="center"/>
        <w:outlineLvl w:val="1"/>
      </w:pPr>
      <w:r>
        <w:rPr>
          <w:rFonts w:ascii="黑体" w:hAnsi="黑体" w:eastAsia="黑体"/>
          <w:sz w:val="32"/>
        </w:rPr>
        <w:t>第一部分 单位概况</w:t>
      </w:r>
    </w:p>
    <w:p w14:paraId="37A3B485">
      <w:pPr>
        <w:spacing w:line="640" w:lineRule="exact"/>
        <w:ind w:firstLine="640"/>
        <w:jc w:val="both"/>
        <w:outlineLvl w:val="2"/>
      </w:pPr>
      <w:r>
        <w:rPr>
          <w:rFonts w:ascii="黑体" w:hAnsi="黑体" w:eastAsia="黑体"/>
          <w:sz w:val="32"/>
        </w:rPr>
        <w:t>一、主要职能</w:t>
      </w:r>
    </w:p>
    <w:p w14:paraId="79AAFF3F">
      <w:pPr>
        <w:spacing w:line="580" w:lineRule="exact"/>
        <w:ind w:firstLine="640"/>
        <w:jc w:val="both"/>
      </w:pPr>
      <w:r>
        <w:rPr>
          <w:rFonts w:ascii="仿宋_GB2312" w:hAnsi="仿宋_GB2312" w:eastAsia="仿宋_GB2312"/>
          <w:sz w:val="32"/>
        </w:rPr>
        <w:t>（一）贯彻执行国家、省、州、县有关城市管理和综合行政执法方面的法律法规、政策规定等；负责起草城市管理和综合行政执法方面的规范性文件，并组织实施。</w:t>
      </w:r>
    </w:p>
    <w:p w14:paraId="1594CD6C">
      <w:pPr>
        <w:spacing w:line="580" w:lineRule="exact"/>
        <w:ind w:firstLine="640"/>
        <w:jc w:val="both"/>
      </w:pPr>
      <w:r>
        <w:rPr>
          <w:rFonts w:ascii="仿宋_GB2312" w:hAnsi="仿宋_GB2312" w:eastAsia="仿宋_GB2312"/>
          <w:sz w:val="32"/>
        </w:rPr>
        <w:t>（二）贯彻落实新发展理念，构建权责清晰、服务为先、管理优化、执法规范、安全有序的城市管理体制，提高城市管理和公共服务水平，推动城市管理走向城市治理。</w:t>
      </w:r>
    </w:p>
    <w:p w14:paraId="6D2A9AEE">
      <w:pPr>
        <w:spacing w:line="580" w:lineRule="exact"/>
        <w:ind w:firstLine="640"/>
        <w:jc w:val="both"/>
      </w:pPr>
      <w:r>
        <w:rPr>
          <w:rFonts w:ascii="仿宋_GB2312" w:hAnsi="仿宋_GB2312" w:eastAsia="仿宋_GB2312"/>
          <w:sz w:val="32"/>
        </w:rPr>
        <w:t>（三）负责拟定全市城市管理发展规划，并组织实施；负责全市城市管理和综合行政执法工作的组织协调、业务指导、监督检查和考核评价；负责查处重大违法违规案件。</w:t>
      </w:r>
    </w:p>
    <w:p w14:paraId="0D17004B">
      <w:pPr>
        <w:spacing w:line="580" w:lineRule="exact"/>
        <w:ind w:firstLine="640"/>
        <w:jc w:val="both"/>
      </w:pPr>
      <w:r>
        <w:rPr>
          <w:rFonts w:ascii="仿宋_GB2312" w:hAnsi="仿宋_GB2312" w:eastAsia="仿宋_GB2312"/>
          <w:sz w:val="32"/>
        </w:rPr>
        <w:t>（四）负责组织开展全市城市管理和综合行政执法专项活动；负责受理城市管理和综合行政执法中的信访、复议、应诉等工作。</w:t>
      </w:r>
    </w:p>
    <w:p w14:paraId="343E5879">
      <w:pPr>
        <w:spacing w:line="580" w:lineRule="exact"/>
        <w:ind w:firstLine="640"/>
        <w:jc w:val="both"/>
      </w:pPr>
      <w:r>
        <w:rPr>
          <w:rFonts w:ascii="仿宋_GB2312" w:hAnsi="仿宋_GB2312" w:eastAsia="仿宋_GB2312"/>
          <w:sz w:val="32"/>
        </w:rPr>
        <w:t>（五）负责城市管理和综合行政执法方面各类突发、特殊事件及强制事件的应急指挥和组织处置等工作。</w:t>
      </w:r>
    </w:p>
    <w:p w14:paraId="06835F3D">
      <w:pPr>
        <w:spacing w:line="580" w:lineRule="exact"/>
        <w:ind w:firstLine="640"/>
        <w:jc w:val="both"/>
      </w:pPr>
      <w:r>
        <w:rPr>
          <w:rFonts w:ascii="仿宋_GB2312" w:hAnsi="仿宋_GB2312" w:eastAsia="仿宋_GB2312"/>
          <w:sz w:val="32"/>
        </w:rPr>
        <w:t>（六）负责对临时占用城市道路、临街建筑物外部装饰装修、各类建筑物外部拆改，以及临时建筑物搭建、堆放物料、占道施工的审批工作。</w:t>
      </w:r>
    </w:p>
    <w:p w14:paraId="0EACFFE8">
      <w:pPr>
        <w:spacing w:line="580" w:lineRule="exact"/>
        <w:ind w:firstLine="640"/>
        <w:jc w:val="both"/>
      </w:pPr>
      <w:r>
        <w:rPr>
          <w:rFonts w:ascii="仿宋_GB2312" w:hAnsi="仿宋_GB2312" w:eastAsia="仿宋_GB2312"/>
          <w:sz w:val="32"/>
        </w:rPr>
        <w:t>（七）负责编制户外广告专项规划、户外广告和门店牌匾技术规范；负责户外广告、门店牌匾等标志性设施设立的核准工作。</w:t>
      </w:r>
    </w:p>
    <w:p w14:paraId="704A4BFC">
      <w:pPr>
        <w:spacing w:line="580" w:lineRule="exact"/>
        <w:ind w:firstLine="640"/>
        <w:jc w:val="both"/>
      </w:pPr>
      <w:r>
        <w:rPr>
          <w:rFonts w:ascii="仿宋_GB2312" w:hAnsi="仿宋_GB2312" w:eastAsia="仿宋_GB2312"/>
          <w:sz w:val="32"/>
        </w:rPr>
        <w:t>（八）负责对城区内露天商品流通市场进行日常管理，整顿无主办单位市场，依法对侵占集贸市场行为进行处理等工作。</w:t>
      </w:r>
    </w:p>
    <w:p w14:paraId="238D8F8D">
      <w:pPr>
        <w:spacing w:line="580" w:lineRule="exact"/>
        <w:ind w:firstLine="640"/>
        <w:jc w:val="both"/>
      </w:pPr>
      <w:r>
        <w:rPr>
          <w:rFonts w:ascii="仿宋_GB2312" w:hAnsi="仿宋_GB2312" w:eastAsia="仿宋_GB2312"/>
          <w:sz w:val="32"/>
        </w:rPr>
        <w:t>（九）负责城市景观亮化工作的规划设计、协调督促、监督检查等工作。</w:t>
      </w:r>
    </w:p>
    <w:p w14:paraId="0C25A53A">
      <w:pPr>
        <w:spacing w:line="580" w:lineRule="exact"/>
        <w:ind w:firstLine="640"/>
        <w:jc w:val="both"/>
      </w:pPr>
      <w:r>
        <w:rPr>
          <w:rFonts w:ascii="仿宋_GB2312" w:hAnsi="仿宋_GB2312" w:eastAsia="仿宋_GB2312"/>
          <w:sz w:val="32"/>
        </w:rPr>
        <w:t>（十）负责对责任单位“门前三包”责任制落实情况的监督、检查和考评等工作。</w:t>
      </w:r>
    </w:p>
    <w:p w14:paraId="37D26DFC">
      <w:pPr>
        <w:spacing w:line="580" w:lineRule="exact"/>
        <w:ind w:firstLine="640"/>
        <w:jc w:val="both"/>
      </w:pPr>
      <w:r>
        <w:rPr>
          <w:rFonts w:ascii="仿宋_GB2312" w:hAnsi="仿宋_GB2312" w:eastAsia="仿宋_GB2312"/>
          <w:sz w:val="32"/>
        </w:rPr>
        <w:t>（十一）负责依法组织实施城市临时占道费的征收以及市政公共资源有偿使用权的委托经营、招标、拍卖等市场化运作工作。</w:t>
      </w:r>
    </w:p>
    <w:p w14:paraId="58343205">
      <w:pPr>
        <w:spacing w:line="580" w:lineRule="exact"/>
        <w:ind w:firstLine="640"/>
        <w:jc w:val="both"/>
      </w:pPr>
      <w:r>
        <w:rPr>
          <w:rFonts w:ascii="仿宋_GB2312" w:hAnsi="仿宋_GB2312" w:eastAsia="仿宋_GB2312"/>
          <w:sz w:val="32"/>
        </w:rPr>
        <w:t>（十二）完成县委、县政府、县政府交办的其他任务。</w:t>
      </w:r>
    </w:p>
    <w:p w14:paraId="3E30E58D">
      <w:pPr>
        <w:spacing w:line="640" w:lineRule="exact"/>
        <w:ind w:firstLine="640"/>
        <w:jc w:val="both"/>
        <w:outlineLvl w:val="2"/>
      </w:pPr>
      <w:r>
        <w:rPr>
          <w:rFonts w:ascii="黑体" w:hAnsi="黑体" w:eastAsia="黑体"/>
          <w:sz w:val="32"/>
        </w:rPr>
        <w:t>二、机构设置及人员情况</w:t>
      </w:r>
    </w:p>
    <w:p w14:paraId="735DF624">
      <w:pPr>
        <w:spacing w:line="580" w:lineRule="exact"/>
        <w:ind w:firstLine="640"/>
        <w:jc w:val="both"/>
      </w:pPr>
      <w:r>
        <w:rPr>
          <w:rFonts w:ascii="仿宋_GB2312" w:hAnsi="仿宋_GB2312" w:eastAsia="仿宋_GB2312"/>
          <w:sz w:val="32"/>
        </w:rPr>
        <w:t>阿克陶县城市管理综合行政执法局2024年度，实有人数25人，其中：在职人员16人，增加0人；离休人员0人，增加0人；退休人员9人,增加1人。</w:t>
      </w:r>
    </w:p>
    <w:p w14:paraId="4A2434B4">
      <w:pPr>
        <w:spacing w:line="580" w:lineRule="exact"/>
        <w:ind w:firstLine="640"/>
        <w:jc w:val="both"/>
      </w:pPr>
      <w:r>
        <w:rPr>
          <w:rFonts w:ascii="仿宋_GB2312" w:hAnsi="仿宋_GB2312" w:eastAsia="仿宋_GB2312"/>
          <w:sz w:val="32"/>
        </w:rPr>
        <w:t>阿克陶县城市管理综合行政执法局无下属预算单位，下设6个科室，分别是：办公室、财务室、党建办、法制办、一中队、二中队。</w:t>
      </w:r>
    </w:p>
    <w:p w14:paraId="2795B659">
      <w:r>
        <w:br w:type="page"/>
      </w:r>
    </w:p>
    <w:p w14:paraId="798A2261">
      <w:pPr>
        <w:spacing w:line="240" w:lineRule="auto"/>
        <w:jc w:val="center"/>
        <w:outlineLvl w:val="1"/>
      </w:pPr>
      <w:r>
        <w:rPr>
          <w:rFonts w:ascii="黑体" w:hAnsi="黑体" w:eastAsia="黑体"/>
          <w:sz w:val="32"/>
        </w:rPr>
        <w:t>第二部分 部门决算情况说明</w:t>
      </w:r>
    </w:p>
    <w:p w14:paraId="7CFB046E">
      <w:pPr>
        <w:spacing w:line="640" w:lineRule="exact"/>
        <w:ind w:firstLine="640"/>
        <w:jc w:val="both"/>
        <w:outlineLvl w:val="2"/>
      </w:pPr>
      <w:r>
        <w:rPr>
          <w:rFonts w:ascii="黑体" w:hAnsi="黑体" w:eastAsia="黑体"/>
          <w:sz w:val="32"/>
        </w:rPr>
        <w:t>一、收入支出决算总体情况说明</w:t>
      </w:r>
    </w:p>
    <w:p w14:paraId="4C944B5C">
      <w:pPr>
        <w:spacing w:line="580" w:lineRule="exact"/>
        <w:ind w:firstLine="640"/>
        <w:jc w:val="both"/>
      </w:pPr>
      <w:r>
        <w:rPr>
          <w:rFonts w:ascii="仿宋_GB2312" w:hAnsi="仿宋_GB2312" w:eastAsia="仿宋_GB2312"/>
          <w:b/>
          <w:sz w:val="32"/>
        </w:rPr>
        <w:t>2024年度收入总计413.61万元，</w:t>
      </w:r>
      <w:r>
        <w:rPr>
          <w:rFonts w:ascii="仿宋_GB2312" w:hAnsi="仿宋_GB2312" w:eastAsia="仿宋_GB2312"/>
          <w:b w:val="0"/>
          <w:sz w:val="32"/>
        </w:rPr>
        <w:t>其中：本年收入合计413.59万元，使用非财政拨款结余（含专用结余）0.00万元，年初结转和结余0.02万元。</w:t>
      </w:r>
    </w:p>
    <w:p w14:paraId="4DFD84F3">
      <w:pPr>
        <w:spacing w:line="580" w:lineRule="exact"/>
        <w:ind w:firstLine="640"/>
        <w:jc w:val="both"/>
      </w:pPr>
      <w:r>
        <w:rPr>
          <w:rFonts w:ascii="仿宋_GB2312" w:hAnsi="仿宋_GB2312" w:eastAsia="仿宋_GB2312"/>
          <w:b/>
          <w:sz w:val="32"/>
        </w:rPr>
        <w:t>2024年度支出总计413.61万元，</w:t>
      </w:r>
      <w:r>
        <w:rPr>
          <w:rFonts w:ascii="仿宋_GB2312" w:hAnsi="仿宋_GB2312" w:eastAsia="仿宋_GB2312"/>
          <w:b w:val="0"/>
          <w:sz w:val="32"/>
        </w:rPr>
        <w:t>其中：本年支出合计413.61万元，结余分配0.00万元，年末结转和结余0.00万元。</w:t>
      </w:r>
    </w:p>
    <w:p w14:paraId="1E3749EA">
      <w:pPr>
        <w:spacing w:line="580" w:lineRule="exact"/>
        <w:ind w:firstLine="640"/>
        <w:jc w:val="both"/>
      </w:pPr>
      <w:r>
        <w:rPr>
          <w:rFonts w:ascii="仿宋_GB2312" w:hAnsi="仿宋_GB2312" w:eastAsia="仿宋_GB2312"/>
          <w:b w:val="0"/>
          <w:sz w:val="32"/>
        </w:rPr>
        <w:t>收入支出总体与上年相比，增加12.71万元，增长3.17%，主要原因是：本年在职人员工资调增，社保、公积金基数调增，人员经费增加</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本年</w:t>
      </w:r>
      <w:r>
        <w:rPr>
          <w:rFonts w:ascii="仿宋_GB2312" w:hAnsi="仿宋_GB2312" w:eastAsia="仿宋_GB2312"/>
          <w:b w:val="0"/>
          <w:sz w:val="32"/>
        </w:rPr>
        <w:t>增加县城范围内广告牌改造项目费用、2024年县级公共场所安全器材及维修等项目经费，导致相关经费增加。</w:t>
      </w:r>
    </w:p>
    <w:p w14:paraId="02BB2950">
      <w:pPr>
        <w:spacing w:line="640" w:lineRule="exact"/>
        <w:ind w:firstLine="640"/>
        <w:jc w:val="both"/>
        <w:outlineLvl w:val="2"/>
      </w:pPr>
      <w:r>
        <w:rPr>
          <w:rFonts w:ascii="黑体" w:hAnsi="黑体" w:eastAsia="黑体"/>
          <w:sz w:val="32"/>
        </w:rPr>
        <w:t>二、收入决算情况说明</w:t>
      </w:r>
    </w:p>
    <w:p w14:paraId="2923AB00">
      <w:pPr>
        <w:spacing w:line="580" w:lineRule="exact"/>
        <w:ind w:firstLine="640"/>
        <w:jc w:val="both"/>
      </w:pPr>
      <w:r>
        <w:rPr>
          <w:rFonts w:ascii="仿宋_GB2312" w:hAnsi="仿宋_GB2312" w:eastAsia="仿宋_GB2312"/>
          <w:b/>
          <w:sz w:val="32"/>
        </w:rPr>
        <w:t>本年收入413.59万元，</w:t>
      </w:r>
      <w:r>
        <w:rPr>
          <w:rFonts w:ascii="仿宋_GB2312" w:hAnsi="仿宋_GB2312" w:eastAsia="仿宋_GB2312"/>
          <w:b w:val="0"/>
          <w:sz w:val="32"/>
        </w:rPr>
        <w:t>其中：财政拨款收入413.54万元，占99.99%；上级补助收入0.00万元，占0.00%；事业收入0.00万元，占0.00%；经营收入0.00万元，占0.00%；附属单位上缴收入0.00万元，占0.00%；其他收入0.05万元，占0.01%。</w:t>
      </w:r>
    </w:p>
    <w:p w14:paraId="6FFE775F">
      <w:pPr>
        <w:spacing w:line="640" w:lineRule="exact"/>
        <w:ind w:firstLine="640"/>
        <w:jc w:val="both"/>
        <w:outlineLvl w:val="2"/>
      </w:pPr>
      <w:r>
        <w:rPr>
          <w:rFonts w:ascii="黑体" w:hAnsi="黑体" w:eastAsia="黑体"/>
          <w:sz w:val="32"/>
        </w:rPr>
        <w:t>三、支出决算情况说明</w:t>
      </w:r>
    </w:p>
    <w:p w14:paraId="4DF7BD8A">
      <w:pPr>
        <w:spacing w:line="580" w:lineRule="exact"/>
        <w:ind w:firstLine="640"/>
        <w:jc w:val="both"/>
      </w:pPr>
      <w:r>
        <w:rPr>
          <w:rFonts w:ascii="仿宋_GB2312" w:hAnsi="仿宋_GB2312" w:eastAsia="仿宋_GB2312"/>
          <w:b/>
          <w:sz w:val="32"/>
        </w:rPr>
        <w:t>本年支出413.61万元，</w:t>
      </w:r>
      <w:r>
        <w:rPr>
          <w:rFonts w:ascii="仿宋_GB2312" w:hAnsi="仿宋_GB2312" w:eastAsia="仿宋_GB2312"/>
          <w:b w:val="0"/>
          <w:sz w:val="32"/>
        </w:rPr>
        <w:t>其中：基本支出395.83万元，占95.70%；项目支出17.77万元，占4.30%；上缴上级支出0.00万元，占0.00%；经营支出0.00万元，占0.00%；对附属单位补助支出0.00万元，占0.00%。</w:t>
      </w:r>
    </w:p>
    <w:p w14:paraId="4DCE4770">
      <w:pPr>
        <w:spacing w:line="640" w:lineRule="exact"/>
        <w:ind w:firstLine="640"/>
        <w:jc w:val="both"/>
        <w:outlineLvl w:val="2"/>
      </w:pPr>
      <w:r>
        <w:rPr>
          <w:rFonts w:ascii="黑体" w:hAnsi="黑体" w:eastAsia="黑体"/>
          <w:sz w:val="32"/>
        </w:rPr>
        <w:t>四、财政拨款收入支出决算总体情况说明</w:t>
      </w:r>
    </w:p>
    <w:p w14:paraId="18F2C6FB">
      <w:pPr>
        <w:spacing w:line="580" w:lineRule="exact"/>
        <w:ind w:firstLine="640"/>
        <w:jc w:val="both"/>
      </w:pPr>
      <w:r>
        <w:rPr>
          <w:rFonts w:ascii="仿宋_GB2312" w:hAnsi="仿宋_GB2312" w:eastAsia="仿宋_GB2312"/>
          <w:b/>
          <w:sz w:val="32"/>
        </w:rPr>
        <w:t>2024年度财政拨款收入总计413.54万元，</w:t>
      </w:r>
      <w:r>
        <w:rPr>
          <w:rFonts w:ascii="仿宋_GB2312" w:hAnsi="仿宋_GB2312" w:eastAsia="仿宋_GB2312"/>
          <w:b w:val="0"/>
          <w:sz w:val="32"/>
        </w:rPr>
        <w:t>其中：年初财政拨款结转和结余0.00万元，本年财政拨款收入413.54万元。</w:t>
      </w:r>
      <w:r>
        <w:rPr>
          <w:rFonts w:ascii="仿宋_GB2312" w:hAnsi="仿宋_GB2312" w:eastAsia="仿宋_GB2312"/>
          <w:b/>
          <w:sz w:val="32"/>
        </w:rPr>
        <w:t>财政拨款支出总计413.54万元，</w:t>
      </w:r>
      <w:r>
        <w:rPr>
          <w:rFonts w:ascii="仿宋_GB2312" w:hAnsi="仿宋_GB2312" w:eastAsia="仿宋_GB2312"/>
          <w:b w:val="0"/>
          <w:sz w:val="32"/>
        </w:rPr>
        <w:t>其中：年末财政拨款结转和结余0.00万元，本年财政拨款支出413.54万元。</w:t>
      </w:r>
    </w:p>
    <w:p w14:paraId="6D8CF0E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增加12.87万元，增长3.21%，主要原因是：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增加县城范围内广告牌改造项目费用、2024年县级公共场所安全器材及维修等项目经费，导致相关经费增加。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年初预算数384.56万元，决算数413.54万元，预决算差异率7.54%，主要原因是：年中追加退休人员职业年金、人员工资、社保、公积金基数调增部分资金，导致预决算存在差异。</w:t>
      </w:r>
    </w:p>
    <w:p w14:paraId="48FFFA1A">
      <w:pPr>
        <w:spacing w:line="640" w:lineRule="exact"/>
        <w:ind w:firstLine="640"/>
        <w:jc w:val="both"/>
        <w:outlineLvl w:val="2"/>
      </w:pPr>
      <w:r>
        <w:rPr>
          <w:rFonts w:ascii="黑体" w:hAnsi="黑体" w:eastAsia="黑体"/>
          <w:sz w:val="32"/>
        </w:rPr>
        <w:t>五、一般公共预算财政拨款支出决算情况说明</w:t>
      </w:r>
    </w:p>
    <w:p w14:paraId="0577D604">
      <w:pPr>
        <w:spacing w:line="640" w:lineRule="exact"/>
        <w:ind w:firstLine="640"/>
        <w:jc w:val="both"/>
        <w:outlineLvl w:val="3"/>
      </w:pPr>
      <w:r>
        <w:rPr>
          <w:rFonts w:ascii="楷体_GB2312" w:hAnsi="楷体_GB2312" w:eastAsia="楷体_GB2312"/>
          <w:b/>
          <w:sz w:val="32"/>
        </w:rPr>
        <w:t>（一）一般公共预算财政拨款支出决算总体情况</w:t>
      </w:r>
    </w:p>
    <w:p w14:paraId="60035474">
      <w:pPr>
        <w:spacing w:line="580" w:lineRule="exact"/>
        <w:ind w:firstLine="640"/>
        <w:jc w:val="both"/>
      </w:pPr>
      <w:r>
        <w:rPr>
          <w:rFonts w:ascii="仿宋_GB2312" w:hAnsi="仿宋_GB2312" w:eastAsia="仿宋_GB2312"/>
          <w:b/>
          <w:sz w:val="32"/>
        </w:rPr>
        <w:t>2024年度一般公共预算财政拨款支出413.54万元，</w:t>
      </w:r>
      <w:r>
        <w:rPr>
          <w:rFonts w:ascii="仿宋_GB2312" w:hAnsi="仿宋_GB2312" w:eastAsia="仿宋_GB2312"/>
          <w:b w:val="0"/>
          <w:sz w:val="32"/>
        </w:rPr>
        <w:t>占本年支出合计的99.98%。</w:t>
      </w:r>
      <w:r>
        <w:rPr>
          <w:rFonts w:ascii="仿宋_GB2312" w:hAnsi="仿宋_GB2312" w:eastAsia="仿宋_GB2312"/>
          <w:b/>
          <w:sz w:val="32"/>
        </w:rPr>
        <w:t>与上年相比，</w:t>
      </w:r>
      <w:r>
        <w:rPr>
          <w:rFonts w:ascii="仿宋_GB2312" w:hAnsi="仿宋_GB2312" w:eastAsia="仿宋_GB2312"/>
          <w:b w:val="0"/>
          <w:sz w:val="32"/>
        </w:rPr>
        <w:t>增加12.87万元，增长3.21%，主要原因是：本年在职人员工资调增，社保、公积金基数调增，人员经费增加</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本年</w:t>
      </w:r>
      <w:r>
        <w:rPr>
          <w:rFonts w:ascii="仿宋_GB2312" w:hAnsi="仿宋_GB2312" w:eastAsia="仿宋_GB2312"/>
          <w:b w:val="0"/>
          <w:sz w:val="32"/>
        </w:rPr>
        <w:t>增加县城范围内广告牌改造项目费用、2024年县级公共场所安全器材及维修等项目经费，导致相关经费增加。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年初预算数384.56万元，决算数413.54万元，预决算差异率7.54%，主要原因是：年中追加退休人员职业年金、人员工资、社保、公积金基数调增部分资金，导致预决算存在差异。</w:t>
      </w:r>
    </w:p>
    <w:p w14:paraId="0103ABF5">
      <w:pPr>
        <w:spacing w:line="640" w:lineRule="exact"/>
        <w:ind w:firstLine="640"/>
        <w:jc w:val="both"/>
        <w:outlineLvl w:val="3"/>
      </w:pPr>
      <w:r>
        <w:rPr>
          <w:rFonts w:ascii="楷体_GB2312" w:hAnsi="楷体_GB2312" w:eastAsia="楷体_GB2312"/>
          <w:b/>
          <w:sz w:val="32"/>
        </w:rPr>
        <w:t>（二）一般公共预算财政拨款支出决算结构情况</w:t>
      </w:r>
    </w:p>
    <w:p w14:paraId="1148794E">
      <w:pPr>
        <w:spacing w:line="580" w:lineRule="exact"/>
        <w:ind w:firstLine="640"/>
        <w:jc w:val="both"/>
      </w:pPr>
      <w:r>
        <w:rPr>
          <w:rFonts w:ascii="仿宋_GB2312" w:hAnsi="仿宋_GB2312" w:eastAsia="仿宋_GB2312"/>
          <w:b w:val="0"/>
          <w:sz w:val="32"/>
        </w:rPr>
        <w:t>1.一般公共服务支出(类)5.40万元,占1.31%。</w:t>
      </w:r>
    </w:p>
    <w:p w14:paraId="13424F1B">
      <w:pPr>
        <w:spacing w:line="580" w:lineRule="exact"/>
        <w:ind w:firstLine="640"/>
        <w:jc w:val="both"/>
      </w:pPr>
      <w:r>
        <w:rPr>
          <w:rFonts w:ascii="仿宋_GB2312" w:hAnsi="仿宋_GB2312" w:eastAsia="仿宋_GB2312"/>
          <w:b w:val="0"/>
          <w:sz w:val="32"/>
        </w:rPr>
        <w:t>2.公共安全支出(类)5.00万元,占1.21%。</w:t>
      </w:r>
    </w:p>
    <w:p w14:paraId="4EC4EEFB">
      <w:pPr>
        <w:spacing w:line="580" w:lineRule="exact"/>
        <w:ind w:firstLine="640"/>
        <w:jc w:val="both"/>
      </w:pPr>
      <w:r>
        <w:rPr>
          <w:rFonts w:ascii="仿宋_GB2312" w:hAnsi="仿宋_GB2312" w:eastAsia="仿宋_GB2312"/>
          <w:b w:val="0"/>
          <w:sz w:val="32"/>
        </w:rPr>
        <w:t>3.社会保障和就业支出(类)56.84万元,占13.74%。</w:t>
      </w:r>
    </w:p>
    <w:p w14:paraId="373A5A83">
      <w:pPr>
        <w:spacing w:line="580" w:lineRule="exact"/>
        <w:ind w:firstLine="640"/>
        <w:jc w:val="both"/>
      </w:pPr>
      <w:r>
        <w:rPr>
          <w:rFonts w:ascii="仿宋_GB2312" w:hAnsi="仿宋_GB2312" w:eastAsia="仿宋_GB2312"/>
          <w:b w:val="0"/>
          <w:sz w:val="32"/>
        </w:rPr>
        <w:t>4.卫生健康支出(类)18.50万元,占4.47%。</w:t>
      </w:r>
    </w:p>
    <w:p w14:paraId="787E0029">
      <w:pPr>
        <w:spacing w:line="580" w:lineRule="exact"/>
        <w:ind w:firstLine="640"/>
        <w:jc w:val="both"/>
      </w:pPr>
      <w:r>
        <w:rPr>
          <w:rFonts w:ascii="仿宋_GB2312" w:hAnsi="仿宋_GB2312" w:eastAsia="仿宋_GB2312"/>
          <w:b w:val="0"/>
          <w:sz w:val="32"/>
        </w:rPr>
        <w:t>5.城乡社区支出(类)293.54万元,占70.98%。</w:t>
      </w:r>
    </w:p>
    <w:p w14:paraId="578D6BA2">
      <w:pPr>
        <w:spacing w:line="580" w:lineRule="exact"/>
        <w:ind w:firstLine="640"/>
        <w:jc w:val="both"/>
      </w:pPr>
      <w:r>
        <w:rPr>
          <w:rFonts w:ascii="仿宋_GB2312" w:hAnsi="仿宋_GB2312" w:eastAsia="仿宋_GB2312"/>
          <w:b w:val="0"/>
          <w:sz w:val="32"/>
        </w:rPr>
        <w:t>6.住房保障支出(类)29.88万元,占7.23%。</w:t>
      </w:r>
    </w:p>
    <w:p w14:paraId="423D096A">
      <w:pPr>
        <w:spacing w:line="580" w:lineRule="exact"/>
        <w:ind w:firstLine="640"/>
        <w:jc w:val="both"/>
      </w:pPr>
      <w:r>
        <w:rPr>
          <w:rFonts w:ascii="仿宋_GB2312" w:hAnsi="仿宋_GB2312" w:eastAsia="仿宋_GB2312"/>
          <w:b w:val="0"/>
          <w:sz w:val="32"/>
        </w:rPr>
        <w:t>7.其他支出(类)4.37万元,占1.06%。</w:t>
      </w:r>
    </w:p>
    <w:p w14:paraId="18913964">
      <w:pPr>
        <w:spacing w:line="640" w:lineRule="exact"/>
        <w:ind w:firstLine="640"/>
        <w:jc w:val="both"/>
        <w:outlineLvl w:val="3"/>
      </w:pPr>
      <w:r>
        <w:rPr>
          <w:rFonts w:ascii="楷体_GB2312" w:hAnsi="楷体_GB2312" w:eastAsia="楷体_GB2312"/>
          <w:b/>
          <w:sz w:val="32"/>
        </w:rPr>
        <w:t>（三）一般公共预算财政拨款支出决算具体情况</w:t>
      </w:r>
    </w:p>
    <w:p w14:paraId="1643ED66">
      <w:pPr>
        <w:spacing w:line="580" w:lineRule="exact"/>
        <w:ind w:firstLine="640"/>
        <w:jc w:val="both"/>
      </w:pPr>
      <w:r>
        <w:rPr>
          <w:rFonts w:ascii="仿宋_GB2312" w:hAnsi="仿宋_GB2312" w:eastAsia="仿宋_GB2312"/>
          <w:b w:val="0"/>
          <w:sz w:val="32"/>
        </w:rPr>
        <w:t>1.一般公共服务支出(类)组织事务(款)其他组织事务支出(项):支出决算数为5.40万元，比上年决算增加5.40万元，增长100.00%,主要原因是：本年科目调整，部分为民办实事项目经费上年在其他支出科目列支，本年调整至其他组织事务支出科目列支，导致相关经费增加。</w:t>
      </w:r>
    </w:p>
    <w:p w14:paraId="54C2D21A">
      <w:pPr>
        <w:spacing w:line="580" w:lineRule="exact"/>
        <w:ind w:firstLine="640"/>
        <w:jc w:val="both"/>
      </w:pPr>
      <w:r>
        <w:rPr>
          <w:rFonts w:ascii="仿宋_GB2312" w:hAnsi="仿宋_GB2312" w:eastAsia="仿宋_GB2312"/>
          <w:b w:val="0"/>
          <w:sz w:val="32"/>
        </w:rPr>
        <w:t>2.公共安全支出(类)其他公共安全支出(款)其他公共安全支出(项):支出决算数为5.00万元，比上年决算增加5.00万元，增长100.00%,主要原因是：本年增加2024年县级公共场所安全器材及维修经费，导致相关经费增加。</w:t>
      </w:r>
    </w:p>
    <w:p w14:paraId="0CD5A4FB">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3.社会保障和就业支出(类)行政事业单位养老支出(款)行政单位离退休(项):支出决算数为9.12万元，比上年决算增加1.47万元，增长19.22%,主要原因是：本年</w:t>
      </w:r>
      <w:r>
        <w:rPr>
          <w:rFonts w:hint="eastAsia" w:ascii="仿宋_GB2312" w:hAnsi="仿宋_GB2312" w:eastAsia="仿宋_GB2312"/>
          <w:b w:val="0"/>
          <w:sz w:val="32"/>
          <w:lang w:val="en-US" w:eastAsia="zh-CN"/>
        </w:rPr>
        <w:t>新增退休人员，</w:t>
      </w:r>
      <w:r>
        <w:rPr>
          <w:rFonts w:ascii="仿宋_GB2312" w:hAnsi="仿宋_GB2312" w:eastAsia="仿宋_GB2312"/>
          <w:b w:val="0"/>
          <w:sz w:val="32"/>
        </w:rPr>
        <w:t>增加退休人员基础绩效奖，退休费支出增加。</w:t>
      </w:r>
    </w:p>
    <w:p w14:paraId="5696DE22">
      <w:pPr>
        <w:spacing w:line="580" w:lineRule="exact"/>
        <w:ind w:firstLine="640"/>
        <w:jc w:val="both"/>
      </w:pPr>
      <w:r>
        <w:rPr>
          <w:rFonts w:ascii="仿宋_GB2312" w:hAnsi="仿宋_GB2312" w:eastAsia="仿宋_GB2312"/>
          <w:b w:val="0"/>
          <w:sz w:val="32"/>
        </w:rPr>
        <w:t>4.社会保障和就业支出(类)行政事业单位养老支出(款)事业单位离退休(项):支出决算数为1.15万元，比上年决算增加0.77万元，增长202.63%,主要原因是：本年增加退休人员基础绩效奖，退休费支出增加。</w:t>
      </w:r>
    </w:p>
    <w:p w14:paraId="79EC4BED">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38.15万元，比上年决算增加5.54万元，增长16.99%,主要原因是：本年在职人员工资基数调增，养老缴费基数上涨，相应支出增加。</w:t>
      </w:r>
    </w:p>
    <w:p w14:paraId="5BB510E2">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6.社会保障和就业支出(类)行政事业单位养老支出(款)机关事业单位职业年金缴费支出(项):支出决算数为8.42万元，比上年决算增加0.60万元，增长7.67%,主要原因是：本年新增退休人员，职业年金缴费支出增加。</w:t>
      </w:r>
    </w:p>
    <w:p w14:paraId="2C6692F2">
      <w:pPr>
        <w:spacing w:line="580" w:lineRule="exact"/>
        <w:ind w:firstLine="640"/>
        <w:jc w:val="both"/>
      </w:pPr>
      <w:r>
        <w:rPr>
          <w:rFonts w:ascii="仿宋_GB2312" w:hAnsi="仿宋_GB2312" w:eastAsia="仿宋_GB2312"/>
          <w:b w:val="0"/>
          <w:sz w:val="32"/>
        </w:rPr>
        <w:t>7.卫生健康支出(类)行政事业单位医疗(款)行政单位医疗(项):支出决算数为17.88万元，比上年决算减少1.03万元，下降5.45%,主要原因是：本年在职人员调入调出，人员职级不同，缴费基数不同，导致行政单位医疗较上年减少。</w:t>
      </w:r>
    </w:p>
    <w:p w14:paraId="527923F3">
      <w:pPr>
        <w:spacing w:line="580" w:lineRule="exact"/>
        <w:ind w:firstLine="640"/>
        <w:jc w:val="both"/>
      </w:pPr>
      <w:r>
        <w:rPr>
          <w:rFonts w:ascii="仿宋_GB2312" w:hAnsi="仿宋_GB2312" w:eastAsia="仿宋_GB2312"/>
          <w:b w:val="0"/>
          <w:sz w:val="32"/>
        </w:rPr>
        <w:t>8.卫生健康支出(类)行政事业单位医疗(款)事业单位医疗(项):支出决算数为0.62万元，比上年决算减少0.37万元，下降37.37%,主要原因是：本年在职人员调入调出，人员职级不同，缴费基数不同，导致事业单位医疗较上年减少。</w:t>
      </w:r>
    </w:p>
    <w:p w14:paraId="3E38E004">
      <w:pPr>
        <w:spacing w:line="580" w:lineRule="exact"/>
        <w:ind w:firstLine="640"/>
        <w:jc w:val="both"/>
      </w:pPr>
      <w:r>
        <w:rPr>
          <w:rFonts w:ascii="仿宋_GB2312" w:hAnsi="仿宋_GB2312" w:eastAsia="仿宋_GB2312"/>
          <w:b w:val="0"/>
          <w:sz w:val="32"/>
        </w:rPr>
        <w:t>9.城乡社区支出(类)城乡社区管理事务(款)城管执法(项):支出决算数为290.54万元，比上年决算减少6.35万元，下降2.14%,主要原因是：本年</w:t>
      </w:r>
      <w:r>
        <w:rPr>
          <w:rFonts w:hint="eastAsia" w:ascii="仿宋_GB2312" w:hAnsi="仿宋_GB2312" w:eastAsia="仿宋_GB2312"/>
          <w:b w:val="0"/>
          <w:sz w:val="32"/>
          <w:lang w:val="en-US" w:eastAsia="zh-CN"/>
        </w:rPr>
        <w:t>办公费、印刷费、邮电费支出减少</w:t>
      </w:r>
      <w:r>
        <w:rPr>
          <w:rFonts w:ascii="仿宋_GB2312" w:hAnsi="仿宋_GB2312" w:eastAsia="仿宋_GB2312"/>
          <w:b w:val="0"/>
          <w:sz w:val="32"/>
        </w:rPr>
        <w:t>。</w:t>
      </w:r>
    </w:p>
    <w:p w14:paraId="785D35CC">
      <w:pPr>
        <w:spacing w:line="580" w:lineRule="exact"/>
        <w:ind w:firstLine="640"/>
        <w:jc w:val="both"/>
      </w:pPr>
      <w:r>
        <w:rPr>
          <w:rFonts w:ascii="仿宋_GB2312" w:hAnsi="仿宋_GB2312" w:eastAsia="仿宋_GB2312"/>
          <w:b w:val="0"/>
          <w:sz w:val="32"/>
        </w:rPr>
        <w:t>10.城乡社区支出(类)城乡社区管理事务(款)其他城乡社区管理事务支出(项):支出决算数为3.00万元，比上年决算增加3.00万元，增长100.00%,主要原因是：本年增加县城范围内广告牌改造项目费用。</w:t>
      </w:r>
    </w:p>
    <w:p w14:paraId="6412EF4F">
      <w:pPr>
        <w:spacing w:line="580" w:lineRule="exact"/>
        <w:ind w:firstLine="640"/>
        <w:jc w:val="both"/>
      </w:pPr>
      <w:r>
        <w:rPr>
          <w:rFonts w:ascii="仿宋_GB2312" w:hAnsi="仿宋_GB2312" w:eastAsia="仿宋_GB2312"/>
          <w:b w:val="0"/>
          <w:sz w:val="32"/>
        </w:rPr>
        <w:t>11.住房保障支出(类)住房改革支出(款)住房公积金(项):支出决算数为29.88万元，比上年决算增加3.43万元，增长12.97%,主要原因是：本年在职人员工资基数调增，公积金缴费基数上涨，相应支出增加。</w:t>
      </w:r>
    </w:p>
    <w:p w14:paraId="0BA6E2A6">
      <w:pPr>
        <w:spacing w:line="580" w:lineRule="exact"/>
        <w:ind w:firstLine="640"/>
        <w:jc w:val="both"/>
      </w:pPr>
      <w:r>
        <w:rPr>
          <w:rFonts w:ascii="仿宋_GB2312" w:hAnsi="仿宋_GB2312" w:eastAsia="仿宋_GB2312"/>
          <w:b w:val="0"/>
          <w:sz w:val="32"/>
        </w:rPr>
        <w:t>12.其他支出(类)其他支出(款)其他支出(项):支出决算数为4.37万元，比上年决算减少4.60万元，下降51.28%,主要原因是：本年科目调整，部分为民办实事项目经费，上年在其他支出科目列支，本年调整至其他组织事务支出科目列支，导致相关经费减少。</w:t>
      </w:r>
    </w:p>
    <w:p w14:paraId="7EA83434">
      <w:pPr>
        <w:spacing w:line="640" w:lineRule="exact"/>
        <w:ind w:firstLine="640"/>
        <w:jc w:val="both"/>
        <w:outlineLvl w:val="2"/>
      </w:pPr>
      <w:r>
        <w:rPr>
          <w:rFonts w:ascii="黑体" w:hAnsi="黑体" w:eastAsia="黑体"/>
          <w:sz w:val="32"/>
        </w:rPr>
        <w:t>六、一般公共预算财政拨款基本支出决算情况说明</w:t>
      </w:r>
    </w:p>
    <w:p w14:paraId="14F29DAB">
      <w:pPr>
        <w:spacing w:line="580" w:lineRule="exact"/>
        <w:ind w:firstLine="640"/>
        <w:jc w:val="both"/>
      </w:pPr>
      <w:r>
        <w:rPr>
          <w:rFonts w:ascii="仿宋_GB2312" w:hAnsi="仿宋_GB2312" w:eastAsia="仿宋_GB2312"/>
          <w:b w:val="0"/>
          <w:sz w:val="32"/>
        </w:rPr>
        <w:t>2024年度一般公共预算财政拨款基本支出395.77万元，其中：</w:t>
      </w:r>
      <w:r>
        <w:rPr>
          <w:rFonts w:ascii="仿宋_GB2312" w:hAnsi="仿宋_GB2312" w:eastAsia="仿宋_GB2312"/>
          <w:b/>
          <w:sz w:val="32"/>
        </w:rPr>
        <w:t>人员经费383.85万元，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包括：基本工资、津贴补贴、奖金、机关事业单位基本养老保险缴费、职业年金缴费、职工基本医疗保险缴费、其他社会保障缴费、住房公积金、退休费、生活补助。</w:t>
      </w:r>
    </w:p>
    <w:p w14:paraId="40896F2B">
      <w:pPr>
        <w:spacing w:line="580" w:lineRule="exact"/>
        <w:ind w:firstLine="640"/>
        <w:jc w:val="both"/>
      </w:pPr>
      <w:r>
        <w:rPr>
          <w:rFonts w:ascii="仿宋_GB2312" w:hAnsi="仿宋_GB2312" w:eastAsia="仿宋_GB2312"/>
          <w:b/>
          <w:sz w:val="32"/>
        </w:rPr>
        <w:t>公用经费11.92万元，</w:t>
      </w:r>
      <w:r>
        <w:rPr>
          <w:rFonts w:ascii="仿宋_GB2312" w:hAnsi="仿宋_GB2312" w:eastAsia="仿宋_GB2312"/>
          <w:b w:val="0"/>
          <w:sz w:val="32"/>
        </w:rPr>
        <w:t>包括：办公费、电费、邮电费、取暖费、公务用车运行维护费。</w:t>
      </w:r>
    </w:p>
    <w:p w14:paraId="1019EC7B">
      <w:pPr>
        <w:spacing w:line="640" w:lineRule="exact"/>
        <w:ind w:firstLine="640"/>
        <w:jc w:val="both"/>
        <w:outlineLvl w:val="2"/>
      </w:pPr>
      <w:r>
        <w:rPr>
          <w:rFonts w:ascii="黑体" w:hAnsi="黑体" w:eastAsia="黑体"/>
          <w:sz w:val="32"/>
        </w:rPr>
        <w:t>七、政府性基金预算财政拨款收入支出决算情况说明</w:t>
      </w:r>
    </w:p>
    <w:p w14:paraId="52EA162F">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B1234D6">
      <w:pPr>
        <w:spacing w:line="640" w:lineRule="exact"/>
        <w:ind w:firstLine="640"/>
        <w:jc w:val="both"/>
        <w:outlineLvl w:val="2"/>
      </w:pPr>
      <w:r>
        <w:rPr>
          <w:rFonts w:ascii="黑体" w:hAnsi="黑体" w:eastAsia="黑体"/>
          <w:sz w:val="32"/>
        </w:rPr>
        <w:t>八、国有资本经营预算财政拨款收入支出决算情况说明</w:t>
      </w:r>
    </w:p>
    <w:p w14:paraId="608B05A0">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2E69DFE">
      <w:pPr>
        <w:spacing w:line="640" w:lineRule="exact"/>
        <w:ind w:firstLine="640"/>
        <w:jc w:val="both"/>
        <w:outlineLvl w:val="2"/>
      </w:pPr>
      <w:r>
        <w:rPr>
          <w:rFonts w:ascii="黑体" w:hAnsi="黑体" w:eastAsia="黑体"/>
          <w:sz w:val="32"/>
        </w:rPr>
        <w:t>九、财政拨款“三公”经费支出决算情况说明</w:t>
      </w:r>
    </w:p>
    <w:p w14:paraId="02EE5CDA">
      <w:pPr>
        <w:spacing w:line="580" w:lineRule="exact"/>
        <w:ind w:firstLine="640"/>
        <w:jc w:val="both"/>
      </w:pPr>
      <w:r>
        <w:rPr>
          <w:rFonts w:ascii="仿宋_GB2312" w:hAnsi="仿宋_GB2312" w:eastAsia="仿宋_GB2312"/>
          <w:b/>
          <w:sz w:val="32"/>
        </w:rPr>
        <w:t>2024年度财政拨款“三公”经费支出7.20万元，</w:t>
      </w:r>
      <w:r>
        <w:rPr>
          <w:rFonts w:ascii="仿宋_GB2312" w:hAnsi="仿宋_GB2312" w:eastAsia="仿宋_GB2312"/>
          <w:b w:val="0"/>
          <w:sz w:val="32"/>
        </w:rPr>
        <w:t>比上年增加3.70万元，增长105.71%，主要原因是：本单位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7.20万元，占100.00%，比上年增加3.70万元，增长105.71%，主要原因是：本单位公务用车日渐老化，维修维护成本增加，导致公务用车运行维护费较上年增加。公务接待费支出0.00万元，占0.00%，比上年增加0.00万元，增长0.00%，主要原因是：2023年与2024年均未安排公务接待费支出。</w:t>
      </w:r>
    </w:p>
    <w:p w14:paraId="0BA15899">
      <w:pPr>
        <w:spacing w:line="580" w:lineRule="exact"/>
        <w:ind w:firstLine="640"/>
        <w:jc w:val="both"/>
      </w:pPr>
      <w:r>
        <w:rPr>
          <w:rFonts w:ascii="仿宋_GB2312" w:hAnsi="仿宋_GB2312" w:eastAsia="仿宋_GB2312"/>
          <w:b/>
          <w:sz w:val="32"/>
        </w:rPr>
        <w:t>具体情况如下：</w:t>
      </w:r>
    </w:p>
    <w:p w14:paraId="4945BF49">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878B564">
      <w:pPr>
        <w:spacing w:line="580" w:lineRule="exact"/>
        <w:ind w:firstLine="640"/>
        <w:jc w:val="both"/>
      </w:pPr>
      <w:r>
        <w:rPr>
          <w:rFonts w:ascii="仿宋_GB2312" w:hAnsi="仿宋_GB2312" w:eastAsia="仿宋_GB2312"/>
          <w:b w:val="0"/>
          <w:sz w:val="32"/>
        </w:rPr>
        <w:t>公务用车购置及运行维护费7.20万元，其中：公务用车购置费0.00万元，公务用车运行维护费7.20万元。公务用车运行维护费开支内容包括车辆加油费、维修费、保险费、审车费、过路费等。公务用车购置数0辆，公务用车保有量4辆。国有资产占用情况中固定资产车辆0辆，与公务用车保有量差异原因是：</w:t>
      </w:r>
      <w:r>
        <w:rPr>
          <w:rFonts w:hint="eastAsia" w:ascii="仿宋_GB2312" w:hAnsi="仿宋_GB2312" w:eastAsia="仿宋_GB2312"/>
          <w:b w:val="0"/>
          <w:sz w:val="32"/>
          <w:lang w:val="en-US" w:eastAsia="zh-CN"/>
        </w:rPr>
        <w:t>差异车辆为</w:t>
      </w:r>
      <w:r>
        <w:rPr>
          <w:rFonts w:ascii="仿宋_GB2312" w:hAnsi="仿宋_GB2312" w:eastAsia="仿宋_GB2312"/>
          <w:b w:val="0"/>
          <w:sz w:val="32"/>
        </w:rPr>
        <w:t>借用其他单位车辆，车辆费用由本单位</w:t>
      </w:r>
      <w:r>
        <w:rPr>
          <w:rFonts w:hint="eastAsia" w:ascii="仿宋_GB2312" w:hAnsi="仿宋_GB2312" w:eastAsia="仿宋_GB2312"/>
          <w:b w:val="0"/>
          <w:sz w:val="32"/>
          <w:lang w:val="en-US" w:eastAsia="zh-CN"/>
        </w:rPr>
        <w:t>公务用车运行维护费</w:t>
      </w:r>
      <w:r>
        <w:rPr>
          <w:rFonts w:ascii="仿宋_GB2312" w:hAnsi="仿宋_GB2312" w:eastAsia="仿宋_GB2312"/>
          <w:b w:val="0"/>
          <w:sz w:val="32"/>
        </w:rPr>
        <w:t>支付。</w:t>
      </w:r>
    </w:p>
    <w:p w14:paraId="0650D604">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AB4F90C">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7.20万元，决算数7.20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7.20万元，决算数7.20万元，预决算差异率0.00%，主要原因是：严格按照预算执行，预决算无差异。公务接待费全年预算数0.00万元，决算数0.00万元，预决算差异率0.00%，主要原因是：本单位无公务接待费。</w:t>
      </w:r>
    </w:p>
    <w:p w14:paraId="0002D2F3">
      <w:pPr>
        <w:spacing w:line="640" w:lineRule="exact"/>
        <w:ind w:firstLine="640"/>
        <w:jc w:val="both"/>
        <w:outlineLvl w:val="2"/>
      </w:pPr>
      <w:r>
        <w:rPr>
          <w:rFonts w:ascii="黑体" w:hAnsi="黑体" w:eastAsia="黑体"/>
          <w:sz w:val="32"/>
        </w:rPr>
        <w:t>十、其他重要事项的情况说明</w:t>
      </w:r>
    </w:p>
    <w:p w14:paraId="3365BA8B">
      <w:pPr>
        <w:spacing w:line="640" w:lineRule="exact"/>
        <w:ind w:firstLine="640"/>
        <w:jc w:val="both"/>
        <w:outlineLvl w:val="3"/>
      </w:pPr>
      <w:r>
        <w:rPr>
          <w:rFonts w:ascii="楷体_GB2312" w:hAnsi="楷体_GB2312" w:eastAsia="楷体_GB2312"/>
          <w:b/>
          <w:sz w:val="32"/>
        </w:rPr>
        <w:t>（一）机关运行经费及公用经费支出情况</w:t>
      </w:r>
    </w:p>
    <w:p w14:paraId="46D82EF6">
      <w:pPr>
        <w:spacing w:line="580" w:lineRule="exact"/>
        <w:ind w:firstLine="640"/>
        <w:jc w:val="both"/>
      </w:pPr>
      <w:r>
        <w:rPr>
          <w:rFonts w:ascii="仿宋_GB2312" w:hAnsi="仿宋_GB2312" w:eastAsia="仿宋_GB2312"/>
          <w:b w:val="0"/>
          <w:sz w:val="32"/>
        </w:rPr>
        <w:t>2024年度阿克陶县城市管理综合行政执法局（行政单位和参照公务员法管理事业单位）机关运行经费支出11.92万元，比上年减少4.63万元，下降27.98%，主要原因是：本年</w:t>
      </w:r>
      <w:r>
        <w:rPr>
          <w:rFonts w:hint="eastAsia" w:ascii="仿宋_GB2312" w:hAnsi="仿宋_GB2312" w:eastAsia="仿宋_GB2312"/>
          <w:b w:val="0"/>
          <w:sz w:val="32"/>
          <w:lang w:val="en-US" w:eastAsia="zh-CN"/>
        </w:rPr>
        <w:t>办公费、印刷费、邮电费支出减少</w:t>
      </w:r>
      <w:r>
        <w:rPr>
          <w:rFonts w:ascii="仿宋_GB2312" w:hAnsi="仿宋_GB2312" w:eastAsia="仿宋_GB2312"/>
          <w:b w:val="0"/>
          <w:sz w:val="32"/>
        </w:rPr>
        <w:t>。</w:t>
      </w:r>
    </w:p>
    <w:p w14:paraId="59B08ECB">
      <w:pPr>
        <w:spacing w:line="640" w:lineRule="exact"/>
        <w:ind w:firstLine="640"/>
        <w:jc w:val="both"/>
        <w:outlineLvl w:val="3"/>
      </w:pPr>
      <w:r>
        <w:rPr>
          <w:rFonts w:ascii="楷体_GB2312" w:hAnsi="楷体_GB2312" w:eastAsia="楷体_GB2312"/>
          <w:b/>
          <w:sz w:val="32"/>
        </w:rPr>
        <w:t>（二）政府采购情况</w:t>
      </w:r>
    </w:p>
    <w:p w14:paraId="6DAF5116">
      <w:pPr>
        <w:spacing w:line="580" w:lineRule="exact"/>
        <w:ind w:firstLine="640"/>
        <w:jc w:val="both"/>
      </w:pPr>
      <w:r>
        <w:rPr>
          <w:rFonts w:ascii="仿宋_GB2312" w:hAnsi="仿宋_GB2312" w:eastAsia="仿宋_GB2312"/>
          <w:b w:val="0"/>
          <w:sz w:val="32"/>
        </w:rPr>
        <w:t>2024年度政府采购支出总额3.38万元，其中：政府采购货物支出0.07万元、政府采购工程支出0.00万元、政府采购服务支出3.31万元。</w:t>
      </w:r>
    </w:p>
    <w:p w14:paraId="61057224">
      <w:pPr>
        <w:spacing w:line="580" w:lineRule="exact"/>
        <w:ind w:firstLine="640"/>
        <w:jc w:val="both"/>
      </w:pPr>
      <w:r>
        <w:rPr>
          <w:rFonts w:ascii="仿宋_GB2312" w:hAnsi="仿宋_GB2312" w:eastAsia="仿宋_GB2312"/>
          <w:b w:val="0"/>
          <w:sz w:val="32"/>
        </w:rPr>
        <w:t>授予中小企业合同金额3.38万元，占政府采购支出总额的100.00%，其中：授予小微企业合同金额2.27万元，占政府采购支出总额的67.16%。</w:t>
      </w:r>
    </w:p>
    <w:p w14:paraId="6FA5DD0F">
      <w:pPr>
        <w:spacing w:line="640" w:lineRule="exact"/>
        <w:ind w:firstLine="640"/>
        <w:jc w:val="both"/>
        <w:outlineLvl w:val="3"/>
      </w:pPr>
      <w:r>
        <w:rPr>
          <w:rFonts w:ascii="楷体_GB2312" w:hAnsi="楷体_GB2312" w:eastAsia="楷体_GB2312"/>
          <w:b/>
          <w:sz w:val="32"/>
        </w:rPr>
        <w:t>（三）国有资产占用情况说明</w:t>
      </w:r>
    </w:p>
    <w:p w14:paraId="65E56264">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0B6C8BEF">
      <w:pPr>
        <w:spacing w:line="640" w:lineRule="exact"/>
        <w:ind w:firstLine="640"/>
        <w:jc w:val="both"/>
        <w:outlineLvl w:val="2"/>
      </w:pPr>
      <w:r>
        <w:rPr>
          <w:rFonts w:ascii="黑体" w:hAnsi="黑体" w:eastAsia="黑体"/>
          <w:sz w:val="32"/>
        </w:rPr>
        <w:t>十一、预算绩效的情况说明</w:t>
      </w:r>
    </w:p>
    <w:p w14:paraId="03182921">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413.61万元，实际执行总额413.61万元；预算绩效评价项目2个，全年预算数7.00万元，全年执行数6.98万元。预算绩效管理取得的成效：一是绩效管理融入预算编制、执行、监督全过程</w:t>
      </w:r>
      <w:r>
        <w:rPr>
          <w:rFonts w:hint="eastAsia" w:ascii="仿宋_GB2312" w:hAnsi="仿宋_GB2312" w:eastAsia="仿宋_GB2312"/>
          <w:b w:val="0"/>
          <w:sz w:val="32"/>
          <w:lang w:eastAsia="zh-CN"/>
        </w:rPr>
        <w:t>中</w:t>
      </w:r>
      <w:r>
        <w:rPr>
          <w:rFonts w:ascii="仿宋_GB2312" w:hAnsi="仿宋_GB2312" w:eastAsia="仿宋_GB2312"/>
          <w:b w:val="0"/>
          <w:sz w:val="32"/>
        </w:rPr>
        <w:t>，更有利于强化绩效目标的管理，加强监控结果的应用，对本单位对财务工作的进一步监督提供有效数据支撑；二是绩效结果的运用较大程度</w:t>
      </w:r>
      <w:r>
        <w:rPr>
          <w:rFonts w:hint="eastAsia" w:ascii="仿宋_GB2312" w:hAnsi="仿宋_GB2312" w:eastAsia="仿宋_GB2312"/>
          <w:b w:val="0"/>
          <w:sz w:val="32"/>
          <w:lang w:eastAsia="zh-CN"/>
        </w:rPr>
        <w:t>地</w:t>
      </w:r>
      <w:r>
        <w:rPr>
          <w:rFonts w:ascii="仿宋_GB2312" w:hAnsi="仿宋_GB2312" w:eastAsia="仿宋_GB2312"/>
          <w:b w:val="0"/>
          <w:sz w:val="32"/>
        </w:rPr>
        <w:t>推进完善政策制度、加强资金利用、增强各环节工作透明度等方面的工作，对本单位财务工作的管控提供有力抓手。发现的问题及原因：一是部分业务人员绩效管理意识有待增强，未能全面深入认识理解绩效管理工作的意义。绩效管理经验不足，预算绩效管理工作有待进一步落实；二是绩效指标的明确性、可衡量性、相关性还需进一步提升。预算精细化管理还需完善，预算编制管理水平仍有进一步提升的空间。下一步改进措施：一是加强学习，进一步明确如何参照考核体系，科学合理设定绩效目标，充分发挥预算绩效管理工作效用；二是</w:t>
      </w:r>
      <w:r>
        <w:rPr>
          <w:rFonts w:hint="eastAsia" w:ascii="仿宋_GB2312" w:hAnsi="仿宋_GB2312" w:eastAsia="仿宋_GB2312"/>
          <w:b w:val="0"/>
          <w:sz w:val="32"/>
          <w:lang w:eastAsia="zh-CN"/>
        </w:rPr>
        <w:t>财务</w:t>
      </w:r>
      <w:r>
        <w:rPr>
          <w:rFonts w:ascii="仿宋_GB2312" w:hAnsi="仿宋_GB2312" w:eastAsia="仿宋_GB2312"/>
          <w:b w:val="0"/>
          <w:sz w:val="32"/>
        </w:rPr>
        <w:t>会计核算要更加详细，为本单位各项工作的开展、总结、评估提供有效数据资料支撑,为各项业务工作</w:t>
      </w:r>
      <w:r>
        <w:rPr>
          <w:rFonts w:hint="eastAsia" w:ascii="仿宋_GB2312" w:hAnsi="仿宋_GB2312" w:eastAsia="仿宋_GB2312"/>
          <w:b w:val="0"/>
          <w:sz w:val="32"/>
          <w:lang w:eastAsia="zh-CN"/>
        </w:rPr>
        <w:t>更好地</w:t>
      </w:r>
      <w:r>
        <w:rPr>
          <w:rFonts w:ascii="仿宋_GB2312" w:hAnsi="仿宋_GB2312" w:eastAsia="仿宋_GB2312"/>
          <w:b w:val="0"/>
          <w:sz w:val="32"/>
        </w:rPr>
        <w:t>开展提供帮助;三是从源头上强化对专项资金预算管理，实行专项资金预算管理，结合单位实际,按轻重缓急统筹安排编制预算,提高预算编制科学性和合理性，优化资金结构。具体附整体支出绩效自评表，项目支出绩效自评表和评价报告。</w:t>
      </w:r>
    </w:p>
    <w:p w14:paraId="240CC44B">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1403232D">
        <w:tblPrEx>
          <w:tblCellMar>
            <w:top w:w="0" w:type="dxa"/>
            <w:left w:w="108" w:type="dxa"/>
            <w:bottom w:w="0" w:type="dxa"/>
            <w:right w:w="108" w:type="dxa"/>
          </w:tblCellMar>
        </w:tblPrEx>
        <w:tc>
          <w:tcPr>
            <w:tcW w:w="8840" w:type="dxa"/>
            <w:gridSpan w:val="8"/>
            <w:vAlign w:val="center"/>
          </w:tcPr>
          <w:p w14:paraId="51297C2F">
            <w:pPr>
              <w:jc w:val="center"/>
            </w:pPr>
            <w:r>
              <w:rPr>
                <w:rFonts w:ascii="宋体" w:hAnsi="宋体" w:eastAsia="宋体"/>
                <w:sz w:val="24"/>
              </w:rPr>
              <w:t>单位整体支出绩效自评表</w:t>
            </w:r>
          </w:p>
        </w:tc>
      </w:tr>
      <w:tr w14:paraId="43E6CEA9">
        <w:tblPrEx>
          <w:tblCellMar>
            <w:top w:w="0" w:type="dxa"/>
            <w:left w:w="108" w:type="dxa"/>
            <w:bottom w:w="0" w:type="dxa"/>
            <w:right w:w="108" w:type="dxa"/>
          </w:tblCellMar>
        </w:tblPrEx>
        <w:tc>
          <w:tcPr>
            <w:tcW w:w="8840" w:type="dxa"/>
            <w:gridSpan w:val="8"/>
            <w:vAlign w:val="center"/>
          </w:tcPr>
          <w:p w14:paraId="3AFD1DF8">
            <w:pPr>
              <w:jc w:val="center"/>
            </w:pPr>
            <w:r>
              <w:rPr>
                <w:rFonts w:ascii="宋体" w:hAnsi="宋体" w:eastAsia="宋体"/>
                <w:sz w:val="24"/>
              </w:rPr>
              <w:t>（2024年度）</w:t>
            </w:r>
          </w:p>
        </w:tc>
      </w:tr>
      <w:tr w14:paraId="0CB932E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B0E106">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C6729D">
            <w:pPr>
              <w:jc w:val="center"/>
            </w:pPr>
            <w:r>
              <w:rPr>
                <w:rFonts w:ascii="宋体" w:hAnsi="宋体" w:eastAsia="宋体"/>
                <w:sz w:val="16"/>
              </w:rPr>
              <w:t>阿克陶县城市管理综合行政执法局</w:t>
            </w:r>
          </w:p>
        </w:tc>
      </w:tr>
      <w:tr w14:paraId="2147971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C11988">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7AF067">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140BF4">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8071E7">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BEB13E">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3C6BEB">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19C12A">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0642BC">
            <w:pPr>
              <w:jc w:val="center"/>
            </w:pPr>
            <w:r>
              <w:rPr>
                <w:rFonts w:ascii="宋体" w:hAnsi="宋体" w:eastAsia="宋体"/>
                <w:sz w:val="16"/>
              </w:rPr>
              <w:t>得分</w:t>
            </w:r>
          </w:p>
        </w:tc>
      </w:tr>
      <w:tr w14:paraId="4C305AD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98FD9D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2E59AB">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907CCB">
            <w:pPr>
              <w:jc w:val="center"/>
            </w:pPr>
            <w:r>
              <w:rPr>
                <w:rFonts w:ascii="宋体" w:hAnsi="宋体" w:eastAsia="宋体"/>
                <w:sz w:val="16"/>
              </w:rPr>
              <w:t>380.19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A5D6D0">
            <w:pPr>
              <w:jc w:val="center"/>
            </w:pPr>
            <w:r>
              <w:rPr>
                <w:rFonts w:ascii="宋体" w:hAnsi="宋体" w:eastAsia="宋体"/>
                <w:sz w:val="16"/>
              </w:rPr>
              <w:t>413.61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119DA3">
            <w:pPr>
              <w:jc w:val="center"/>
            </w:pPr>
            <w:r>
              <w:rPr>
                <w:rFonts w:ascii="宋体" w:hAnsi="宋体" w:eastAsia="宋体"/>
                <w:sz w:val="16"/>
              </w:rPr>
              <w:t>413.61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971BC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685B77">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25F17A">
            <w:pPr>
              <w:jc w:val="center"/>
            </w:pPr>
            <w:r>
              <w:rPr>
                <w:rFonts w:ascii="宋体" w:hAnsi="宋体" w:eastAsia="宋体"/>
                <w:sz w:val="16"/>
              </w:rPr>
              <w:t>10</w:t>
            </w:r>
          </w:p>
        </w:tc>
      </w:tr>
      <w:tr w14:paraId="2EF4FB1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9EA641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474D94">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12B27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10B62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19DD8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EE774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70C5A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5DA712">
            <w:pPr>
              <w:jc w:val="center"/>
            </w:pPr>
            <w:r>
              <w:rPr>
                <w:rFonts w:ascii="宋体" w:hAnsi="宋体" w:eastAsia="宋体"/>
                <w:sz w:val="16"/>
              </w:rPr>
              <w:t>—</w:t>
            </w:r>
          </w:p>
        </w:tc>
      </w:tr>
      <w:tr w14:paraId="3B2F6B7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306216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59C52B">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03E312">
            <w:pPr>
              <w:jc w:val="center"/>
            </w:pPr>
            <w:r>
              <w:rPr>
                <w:rFonts w:ascii="宋体" w:hAnsi="宋体" w:eastAsia="宋体"/>
                <w:sz w:val="16"/>
              </w:rPr>
              <w:t>380.19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8E796D">
            <w:pPr>
              <w:jc w:val="center"/>
            </w:pPr>
            <w:r>
              <w:rPr>
                <w:rFonts w:ascii="宋体" w:hAnsi="宋体" w:eastAsia="宋体"/>
                <w:sz w:val="16"/>
              </w:rPr>
              <w:t>413.61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BD21F7">
            <w:pPr>
              <w:jc w:val="center"/>
            </w:pPr>
            <w:r>
              <w:rPr>
                <w:rFonts w:ascii="宋体" w:hAnsi="宋体" w:eastAsia="宋体"/>
                <w:sz w:val="16"/>
              </w:rPr>
              <w:t>413.61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FBF52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8F023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B24B1F">
            <w:pPr>
              <w:jc w:val="center"/>
            </w:pPr>
            <w:r>
              <w:rPr>
                <w:rFonts w:ascii="宋体" w:hAnsi="宋体" w:eastAsia="宋体"/>
                <w:sz w:val="16"/>
              </w:rPr>
              <w:t>—</w:t>
            </w:r>
          </w:p>
        </w:tc>
      </w:tr>
      <w:tr w14:paraId="5CC4836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F5AAFF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C9C1F6">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E2AC3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333BC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6C3DF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30C76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6382B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331AA3">
            <w:pPr>
              <w:jc w:val="center"/>
            </w:pPr>
            <w:r>
              <w:rPr>
                <w:rFonts w:ascii="宋体" w:hAnsi="宋体" w:eastAsia="宋体"/>
                <w:sz w:val="16"/>
              </w:rPr>
              <w:t>—</w:t>
            </w:r>
          </w:p>
        </w:tc>
      </w:tr>
      <w:tr w14:paraId="023FCA9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4722E5">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7687336">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AF42078">
            <w:pPr>
              <w:jc w:val="center"/>
            </w:pPr>
            <w:r>
              <w:rPr>
                <w:rFonts w:ascii="宋体" w:hAnsi="宋体" w:eastAsia="宋体"/>
                <w:sz w:val="16"/>
              </w:rPr>
              <w:t>实际完成情况</w:t>
            </w:r>
          </w:p>
        </w:tc>
      </w:tr>
      <w:tr w14:paraId="64B9E39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45158EA"/>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F601EEF">
            <w:pPr>
              <w:jc w:val="both"/>
            </w:pPr>
            <w:r>
              <w:rPr>
                <w:rFonts w:ascii="宋体" w:hAnsi="宋体" w:eastAsia="宋体"/>
                <w:sz w:val="16"/>
              </w:rPr>
              <w:t>为维护城市环境卫生提供监督检查保障  城市环境卫生设施建设  运营与维护  城市环境卫生监督及辖区内公安交通管理  城市辖区内工商管理  城市环境卫生作业管理；贯彻实施有关城市管理方面的法律、法规及规章，治理和维护城市管理秩序，市容环卫：包括沿街立面装修的监管，招牌，广告牌设置的监管，渣土运输，消纳的监管，店铺超出门窗经营，沿街晾晒，公共场所派发小广告等。市政公用：挖掘道路没有经过审批之类。城市规划：查处违章建筑。交通：处理机动车和非机动车在人行道，广场的乱停放问题。工商：路上乱摆的摊贩；</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144716E">
            <w:pPr>
              <w:jc w:val="both"/>
            </w:pPr>
            <w:r>
              <w:rPr>
                <w:rFonts w:ascii="宋体" w:hAnsi="宋体" w:eastAsia="宋体"/>
                <w:sz w:val="16"/>
              </w:rPr>
              <w:t>为维护城市环境卫生提供监督检查保障  城市环境卫生设施建设  运营与维护  城市环境卫生监督及辖区内公安交通管理  城市辖区内工商管理  城市环境卫生作业管理；贯彻实施有关城市管理方面的法律、法规及规章，治理和维护城市管理秩序。</w:t>
            </w:r>
          </w:p>
        </w:tc>
      </w:tr>
      <w:tr w14:paraId="1364403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11F563">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F58FC1">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B6902C">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8527B5">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96B3CC">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FBD8F3">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FAE1EB">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B5448A">
            <w:pPr>
              <w:jc w:val="center"/>
            </w:pPr>
            <w:r>
              <w:rPr>
                <w:rFonts w:ascii="宋体" w:hAnsi="宋体" w:eastAsia="宋体"/>
                <w:sz w:val="16"/>
              </w:rPr>
              <w:t>得分</w:t>
            </w:r>
          </w:p>
        </w:tc>
      </w:tr>
      <w:tr w14:paraId="6D1E5DA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385578">
            <w:pPr>
              <w:jc w:val="center"/>
            </w:pPr>
            <w:r>
              <w:rPr>
                <w:rFonts w:ascii="宋体" w:hAnsi="宋体" w:eastAsia="宋体"/>
                <w:sz w:val="16"/>
              </w:rPr>
              <w:t>运行成本</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DC5D38">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DB70AC">
            <w:pPr>
              <w:jc w:val="center"/>
            </w:pPr>
            <w:r>
              <w:rPr>
                <w:rFonts w:ascii="宋体" w:hAnsi="宋体" w:eastAsia="宋体"/>
                <w:sz w:val="16"/>
              </w:rPr>
              <w:t>离退休人员工资福利支出预算保障人数（人)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5BB258">
            <w:pPr>
              <w:jc w:val="center"/>
            </w:pPr>
            <w:r>
              <w:rPr>
                <w:rFonts w:ascii="宋体" w:hAnsi="宋体" w:eastAsia="宋体"/>
                <w:sz w:val="16"/>
              </w:rPr>
              <w:t>&gt;=8人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6DA338">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9CF63C">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1794AB">
            <w:pPr>
              <w:jc w:val="center"/>
            </w:pPr>
            <w:r>
              <w:rPr>
                <w:rFonts w:ascii="宋体" w:hAnsi="宋体" w:eastAsia="宋体"/>
                <w:sz w:val="16"/>
              </w:rPr>
              <w:t>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8B85A1">
            <w:pPr>
              <w:jc w:val="center"/>
            </w:pPr>
            <w:r>
              <w:rPr>
                <w:rFonts w:ascii="宋体" w:hAnsi="宋体" w:eastAsia="宋体"/>
                <w:sz w:val="16"/>
              </w:rPr>
              <w:t>7.11</w:t>
            </w:r>
          </w:p>
        </w:tc>
      </w:tr>
      <w:tr w14:paraId="42E04EC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BFB5A9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4ECDC7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8BB958">
            <w:pPr>
              <w:jc w:val="center"/>
            </w:pPr>
            <w:r>
              <w:rPr>
                <w:rFonts w:ascii="宋体" w:hAnsi="宋体" w:eastAsia="宋体"/>
                <w:sz w:val="16"/>
              </w:rPr>
              <w:t>在职人员工资福利支出预算保障人数（人)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C70519">
            <w:pPr>
              <w:jc w:val="center"/>
            </w:pPr>
            <w:r>
              <w:rPr>
                <w:rFonts w:ascii="宋体" w:hAnsi="宋体" w:eastAsia="宋体"/>
                <w:sz w:val="16"/>
              </w:rPr>
              <w:t>&gt;=20人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8CE7F3">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5F1A31">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F094C7">
            <w:pPr>
              <w:jc w:val="center"/>
            </w:pPr>
            <w:r>
              <w:rPr>
                <w:rFonts w:ascii="宋体" w:hAnsi="宋体" w:eastAsia="宋体"/>
                <w:sz w:val="16"/>
              </w:rPr>
              <w:t>15人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9E452E">
            <w:pPr>
              <w:jc w:val="center"/>
            </w:pPr>
            <w:r>
              <w:rPr>
                <w:rFonts w:ascii="宋体" w:hAnsi="宋体" w:eastAsia="宋体"/>
                <w:sz w:val="16"/>
              </w:rPr>
              <w:t>6</w:t>
            </w:r>
          </w:p>
        </w:tc>
      </w:tr>
      <w:tr w14:paraId="442BAAB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1CB77B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3A1AFF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3E4E7A">
            <w:pPr>
              <w:jc w:val="center"/>
            </w:pPr>
            <w:r>
              <w:rPr>
                <w:rFonts w:ascii="宋体" w:hAnsi="宋体" w:eastAsia="宋体"/>
                <w:sz w:val="16"/>
              </w:rPr>
              <w:t>人员保障性资金支出控制数（万元）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D1166A">
            <w:pPr>
              <w:jc w:val="center"/>
            </w:pPr>
            <w:r>
              <w:rPr>
                <w:rFonts w:ascii="宋体" w:hAnsi="宋体" w:eastAsia="宋体"/>
                <w:sz w:val="16"/>
              </w:rPr>
              <w:t>&lt;=356.19万元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FB4E46">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447DF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FB78B0">
            <w:pPr>
              <w:jc w:val="center"/>
            </w:pPr>
            <w:r>
              <w:rPr>
                <w:rFonts w:ascii="宋体" w:hAnsi="宋体" w:eastAsia="宋体"/>
                <w:sz w:val="16"/>
              </w:rPr>
              <w:t>383.85万元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61E19C">
            <w:pPr>
              <w:jc w:val="center"/>
            </w:pPr>
            <w:r>
              <w:rPr>
                <w:rFonts w:ascii="宋体" w:hAnsi="宋体" w:eastAsia="宋体"/>
                <w:sz w:val="16"/>
              </w:rPr>
              <w:t>9.28</w:t>
            </w:r>
          </w:p>
        </w:tc>
      </w:tr>
      <w:tr w14:paraId="6253EB6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F9F9877"/>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EDCAEA">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654212">
            <w:pPr>
              <w:jc w:val="center"/>
            </w:pPr>
            <w:r>
              <w:rPr>
                <w:rFonts w:ascii="宋体" w:hAnsi="宋体" w:eastAsia="宋体"/>
                <w:sz w:val="16"/>
              </w:rPr>
              <w:t>项目支出控制数（万元）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B618DD">
            <w:pPr>
              <w:jc w:val="center"/>
            </w:pPr>
            <w:r>
              <w:rPr>
                <w:rFonts w:ascii="宋体" w:hAnsi="宋体" w:eastAsia="宋体"/>
                <w:sz w:val="16"/>
              </w:rPr>
              <w:t>&lt;=7万元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475A56">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9B1A4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424869">
            <w:pPr>
              <w:jc w:val="center"/>
            </w:pPr>
            <w:r>
              <w:rPr>
                <w:rFonts w:ascii="宋体" w:hAnsi="宋体" w:eastAsia="宋体"/>
                <w:sz w:val="16"/>
              </w:rPr>
              <w:t>17.77万元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3412E9">
            <w:pPr>
              <w:jc w:val="center"/>
            </w:pPr>
            <w:r>
              <w:rPr>
                <w:rFonts w:ascii="宋体" w:hAnsi="宋体" w:eastAsia="宋体"/>
                <w:sz w:val="16"/>
              </w:rPr>
              <w:t>3.94</w:t>
            </w:r>
          </w:p>
        </w:tc>
      </w:tr>
      <w:tr w14:paraId="2557964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7B64FD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AEB6A4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142CA6">
            <w:pPr>
              <w:jc w:val="center"/>
            </w:pPr>
            <w:r>
              <w:rPr>
                <w:rFonts w:ascii="宋体" w:hAnsi="宋体" w:eastAsia="宋体"/>
                <w:sz w:val="16"/>
              </w:rPr>
              <w:t>公用经费支出控制数（万元）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6CE892">
            <w:pPr>
              <w:jc w:val="center"/>
            </w:pPr>
            <w:r>
              <w:rPr>
                <w:rFonts w:ascii="宋体" w:hAnsi="宋体" w:eastAsia="宋体"/>
                <w:sz w:val="16"/>
              </w:rPr>
              <w:t>&lt;=17万元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3E5387">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0BCC1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12AA2C">
            <w:pPr>
              <w:jc w:val="center"/>
            </w:pPr>
            <w:r>
              <w:rPr>
                <w:rFonts w:ascii="宋体" w:hAnsi="宋体" w:eastAsia="宋体"/>
                <w:sz w:val="16"/>
              </w:rPr>
              <w:t>11.99万元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D4ED47">
            <w:pPr>
              <w:jc w:val="center"/>
            </w:pPr>
            <w:r>
              <w:rPr>
                <w:rFonts w:ascii="宋体" w:hAnsi="宋体" w:eastAsia="宋体"/>
                <w:sz w:val="16"/>
              </w:rPr>
              <w:t>7.05</w:t>
            </w:r>
          </w:p>
        </w:tc>
      </w:tr>
      <w:tr w14:paraId="08A7BAC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810E7D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B007C6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F272F8">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369260">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ACA024">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6DE9B0">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AFAA52">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BA429C">
            <w:pPr>
              <w:jc w:val="center"/>
            </w:pPr>
            <w:r>
              <w:rPr>
                <w:rFonts w:ascii="宋体" w:hAnsi="宋体" w:eastAsia="宋体"/>
                <w:sz w:val="16"/>
              </w:rPr>
              <w:t>8</w:t>
            </w:r>
          </w:p>
        </w:tc>
      </w:tr>
      <w:tr w14:paraId="75E0BF3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2D17A4">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4D4C6A">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759953">
            <w:pPr>
              <w:jc w:val="center"/>
            </w:pPr>
            <w:r>
              <w:rPr>
                <w:rFonts w:ascii="宋体" w:hAnsi="宋体" w:eastAsia="宋体"/>
                <w:sz w:val="16"/>
              </w:rPr>
              <w:t>加强城区市容市貌管理，改善县城人居环境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0DFF48">
            <w:pPr>
              <w:jc w:val="center"/>
            </w:pPr>
            <w:r>
              <w:rPr>
                <w:rFonts w:ascii="宋体" w:hAnsi="宋体" w:eastAsia="宋体"/>
                <w:sz w:val="16"/>
              </w:rPr>
              <w:t>改善</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B11BDA">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705917">
            <w:pPr>
              <w:jc w:val="center"/>
            </w:pPr>
            <w:r>
              <w:rPr>
                <w:rFonts w:ascii="宋体" w:hAnsi="宋体" w:eastAsia="宋体"/>
                <w:sz w:val="16"/>
              </w:rPr>
              <w:t>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9E46D5">
            <w:pPr>
              <w:jc w:val="center"/>
            </w:pPr>
            <w:r>
              <w:rPr>
                <w:rFonts w:ascii="宋体" w:hAnsi="宋体" w:eastAsia="宋体"/>
                <w:sz w:val="16"/>
              </w:rPr>
              <w:t>改善</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99A192">
            <w:pPr>
              <w:jc w:val="center"/>
            </w:pPr>
            <w:r>
              <w:rPr>
                <w:rFonts w:ascii="宋体" w:hAnsi="宋体" w:eastAsia="宋体"/>
                <w:sz w:val="16"/>
              </w:rPr>
              <w:t>7</w:t>
            </w:r>
          </w:p>
        </w:tc>
      </w:tr>
      <w:tr w14:paraId="2E10E7B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446BED">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A96385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7C3CDE">
            <w:pPr>
              <w:jc w:val="center"/>
            </w:pPr>
            <w:r>
              <w:rPr>
                <w:rFonts w:ascii="宋体" w:hAnsi="宋体" w:eastAsia="宋体"/>
                <w:sz w:val="16"/>
              </w:rPr>
              <w:t>当年重点工作个数（件）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ABB354">
            <w:pPr>
              <w:jc w:val="center"/>
            </w:pPr>
            <w:r>
              <w:rPr>
                <w:rFonts w:ascii="宋体" w:hAnsi="宋体" w:eastAsia="宋体"/>
                <w:sz w:val="16"/>
              </w:rPr>
              <w:t>=4件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FFB996">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F40E53">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2B1CDB">
            <w:pPr>
              <w:jc w:val="center"/>
            </w:pPr>
            <w:r>
              <w:rPr>
                <w:rFonts w:ascii="宋体" w:hAnsi="宋体" w:eastAsia="宋体"/>
                <w:sz w:val="16"/>
              </w:rPr>
              <w:t>4件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A65E97">
            <w:pPr>
              <w:jc w:val="center"/>
            </w:pPr>
            <w:r>
              <w:rPr>
                <w:rFonts w:ascii="宋体" w:hAnsi="宋体" w:eastAsia="宋体"/>
                <w:sz w:val="16"/>
              </w:rPr>
              <w:t>6</w:t>
            </w:r>
          </w:p>
        </w:tc>
      </w:tr>
      <w:tr w14:paraId="42AE412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7C6647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37DF9A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DD214D">
            <w:pPr>
              <w:jc w:val="center"/>
            </w:pPr>
            <w:r>
              <w:rPr>
                <w:rFonts w:ascii="宋体" w:hAnsi="宋体" w:eastAsia="宋体"/>
                <w:sz w:val="16"/>
              </w:rPr>
              <w:t>减少环境污染，促进可持续发展</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D37FDD">
            <w:pPr>
              <w:jc w:val="center"/>
            </w:pPr>
            <w:r>
              <w:rPr>
                <w:rFonts w:ascii="宋体" w:hAnsi="宋体" w:eastAsia="宋体"/>
                <w:sz w:val="16"/>
              </w:rPr>
              <w:t>促进</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925D48">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1EDD1F">
            <w:pPr>
              <w:jc w:val="center"/>
            </w:pPr>
            <w:r>
              <w:rPr>
                <w:rFonts w:ascii="宋体" w:hAnsi="宋体" w:eastAsia="宋体"/>
                <w:sz w:val="16"/>
              </w:rPr>
              <w:t>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53E218">
            <w:pPr>
              <w:jc w:val="center"/>
            </w:pPr>
            <w:r>
              <w:rPr>
                <w:rFonts w:ascii="宋体" w:hAnsi="宋体" w:eastAsia="宋体"/>
                <w:sz w:val="16"/>
              </w:rPr>
              <w:t>促进</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A3FB01">
            <w:pPr>
              <w:jc w:val="center"/>
            </w:pPr>
            <w:r>
              <w:rPr>
                <w:rFonts w:ascii="宋体" w:hAnsi="宋体" w:eastAsia="宋体"/>
                <w:sz w:val="16"/>
              </w:rPr>
              <w:t>7</w:t>
            </w:r>
          </w:p>
        </w:tc>
      </w:tr>
      <w:tr w14:paraId="7DD91474">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9CF315">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9D016E">
            <w:pPr>
              <w:jc w:val="center"/>
            </w:pPr>
            <w:r>
              <w:rPr>
                <w:rFonts w:ascii="宋体" w:hAnsi="宋体" w:eastAsia="宋体"/>
                <w:sz w:val="16"/>
              </w:rPr>
              <w:tab/>
            </w: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A56538">
            <w:pPr>
              <w:jc w:val="center"/>
            </w:pPr>
            <w:r>
              <w:rPr>
                <w:rFonts w:ascii="宋体" w:hAnsi="宋体" w:eastAsia="宋体"/>
                <w:sz w:val="16"/>
              </w:rPr>
              <w:t>提升公共服务水平情况</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13B01D">
            <w:pPr>
              <w:jc w:val="center"/>
            </w:pPr>
            <w:r>
              <w:rPr>
                <w:rFonts w:ascii="宋体" w:hAnsi="宋体" w:eastAsia="宋体"/>
                <w:sz w:val="16"/>
              </w:rPr>
              <w:t>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D1B03B">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B7E995">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3B77F8">
            <w:pPr>
              <w:jc w:val="center"/>
            </w:pPr>
            <w:r>
              <w:rPr>
                <w:rFonts w:ascii="宋体" w:hAnsi="宋体" w:eastAsia="宋体"/>
                <w:sz w:val="16"/>
              </w:rPr>
              <w:t>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C6BEB9">
            <w:pPr>
              <w:jc w:val="center"/>
            </w:pPr>
            <w:r>
              <w:rPr>
                <w:rFonts w:ascii="宋体" w:hAnsi="宋体" w:eastAsia="宋体"/>
                <w:sz w:val="16"/>
              </w:rPr>
              <w:t>6</w:t>
            </w:r>
          </w:p>
        </w:tc>
      </w:tr>
      <w:tr w14:paraId="612E47D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768F2D">
            <w:pPr>
              <w:jc w:val="center"/>
            </w:pPr>
            <w:r>
              <w:rPr>
                <w:rFonts w:ascii="宋体" w:hAnsi="宋体" w:eastAsia="宋体"/>
                <w:sz w:val="16"/>
              </w:rPr>
              <w:t>服务对象满意度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8FCD1D">
            <w:pPr>
              <w:jc w:val="center"/>
            </w:pPr>
            <w:r>
              <w:rPr>
                <w:rFonts w:ascii="宋体" w:hAnsi="宋体" w:eastAsia="宋体"/>
                <w:sz w:val="16"/>
              </w:rPr>
              <w:tab/>
            </w: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EA7524">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DA8DE2">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974EE6">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010626">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506CC5">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55BD19">
            <w:pPr>
              <w:jc w:val="center"/>
            </w:pPr>
            <w:r>
              <w:rPr>
                <w:rFonts w:ascii="宋体" w:hAnsi="宋体" w:eastAsia="宋体"/>
                <w:sz w:val="16"/>
              </w:rPr>
              <w:t>5</w:t>
            </w:r>
          </w:p>
        </w:tc>
      </w:tr>
      <w:tr w14:paraId="2576D59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A17B76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040634">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844658">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405398">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1E9765">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5F632D">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9C515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9471C0">
            <w:pPr>
              <w:jc w:val="center"/>
            </w:pPr>
            <w:r>
              <w:rPr>
                <w:rFonts w:ascii="宋体" w:hAnsi="宋体" w:eastAsia="宋体"/>
                <w:sz w:val="16"/>
              </w:rPr>
              <w:t>5</w:t>
            </w:r>
          </w:p>
        </w:tc>
      </w:tr>
    </w:tbl>
    <w:p w14:paraId="3587F81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6B984982">
        <w:tblPrEx>
          <w:tblCellMar>
            <w:top w:w="0" w:type="dxa"/>
            <w:left w:w="108" w:type="dxa"/>
            <w:bottom w:w="0" w:type="dxa"/>
            <w:right w:w="108" w:type="dxa"/>
          </w:tblCellMar>
        </w:tblPrEx>
        <w:tc>
          <w:tcPr>
            <w:tcW w:w="8848" w:type="dxa"/>
            <w:gridSpan w:val="14"/>
            <w:vAlign w:val="center"/>
          </w:tcPr>
          <w:p w14:paraId="77701910">
            <w:pPr>
              <w:jc w:val="center"/>
            </w:pPr>
            <w:r>
              <w:rPr>
                <w:rFonts w:ascii="宋体" w:hAnsi="宋体" w:eastAsia="宋体"/>
                <w:sz w:val="24"/>
              </w:rPr>
              <w:t>项目支出绩效自评表</w:t>
            </w:r>
          </w:p>
        </w:tc>
      </w:tr>
      <w:tr w14:paraId="3FC187C1">
        <w:tblPrEx>
          <w:tblCellMar>
            <w:top w:w="0" w:type="dxa"/>
            <w:left w:w="108" w:type="dxa"/>
            <w:bottom w:w="0" w:type="dxa"/>
            <w:right w:w="108" w:type="dxa"/>
          </w:tblCellMar>
        </w:tblPrEx>
        <w:tc>
          <w:tcPr>
            <w:tcW w:w="8848" w:type="dxa"/>
            <w:gridSpan w:val="14"/>
            <w:vAlign w:val="center"/>
          </w:tcPr>
          <w:p w14:paraId="33BCA9C6">
            <w:pPr>
              <w:jc w:val="center"/>
            </w:pPr>
            <w:r>
              <w:rPr>
                <w:rFonts w:ascii="宋体" w:hAnsi="宋体" w:eastAsia="宋体"/>
                <w:sz w:val="24"/>
              </w:rPr>
              <w:t>(2024年度)</w:t>
            </w:r>
          </w:p>
        </w:tc>
      </w:tr>
      <w:tr w14:paraId="3B86179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2A54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05185D3">
            <w:pPr>
              <w:jc w:val="center"/>
            </w:pPr>
            <w:r>
              <w:rPr>
                <w:rFonts w:ascii="宋体" w:hAnsi="宋体" w:eastAsia="宋体"/>
                <w:sz w:val="16"/>
              </w:rPr>
              <w:t>2024年县级公共场所安全器材及维修经费</w:t>
            </w:r>
          </w:p>
        </w:tc>
      </w:tr>
      <w:tr w14:paraId="004B402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17A3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82F99C">
            <w:pPr>
              <w:jc w:val="center"/>
            </w:pPr>
            <w:r>
              <w:rPr>
                <w:rFonts w:ascii="宋体" w:hAnsi="宋体" w:eastAsia="宋体"/>
                <w:sz w:val="16"/>
              </w:rPr>
              <w:t>阿克陶县住建局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DF09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09C4FBB">
            <w:pPr>
              <w:jc w:val="center"/>
            </w:pPr>
            <w:r>
              <w:rPr>
                <w:rFonts w:ascii="宋体" w:hAnsi="宋体" w:eastAsia="宋体"/>
                <w:sz w:val="16"/>
              </w:rPr>
              <w:t>阿克陶县城市管理综合行政执法局</w:t>
            </w:r>
          </w:p>
        </w:tc>
      </w:tr>
      <w:tr w14:paraId="53878CE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BD34C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BE4CB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454C9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C0ACA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B3B8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3CE8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01AD2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789F5">
            <w:pPr>
              <w:jc w:val="center"/>
            </w:pPr>
            <w:r>
              <w:rPr>
                <w:rFonts w:ascii="宋体" w:hAnsi="宋体" w:eastAsia="宋体"/>
                <w:sz w:val="16"/>
              </w:rPr>
              <w:t>得分</w:t>
            </w:r>
          </w:p>
        </w:tc>
      </w:tr>
      <w:tr w14:paraId="1549DD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364E7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788C6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F2D600">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82AD7F">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A905F2">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7ECE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794C58">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1B225">
            <w:pPr>
              <w:jc w:val="center"/>
            </w:pPr>
            <w:r>
              <w:rPr>
                <w:rFonts w:ascii="宋体" w:hAnsi="宋体" w:eastAsia="宋体"/>
                <w:sz w:val="16"/>
              </w:rPr>
              <w:t>10.00分</w:t>
            </w:r>
          </w:p>
        </w:tc>
      </w:tr>
      <w:tr w14:paraId="7469B0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9EB4B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13460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755505">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82FB87">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355911">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B25EB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6A503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9F3F6">
            <w:pPr>
              <w:jc w:val="center"/>
            </w:pPr>
            <w:r>
              <w:rPr>
                <w:rFonts w:ascii="宋体" w:hAnsi="宋体" w:eastAsia="宋体"/>
                <w:sz w:val="16"/>
              </w:rPr>
              <w:t>—</w:t>
            </w:r>
          </w:p>
        </w:tc>
      </w:tr>
      <w:tr w14:paraId="6CA612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B74D6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BEC7D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04A12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8A4E3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12070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4397C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89B3D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D121C">
            <w:pPr>
              <w:jc w:val="center"/>
            </w:pPr>
            <w:r>
              <w:rPr>
                <w:rFonts w:ascii="宋体" w:hAnsi="宋体" w:eastAsia="宋体"/>
                <w:sz w:val="16"/>
              </w:rPr>
              <w:t>—</w:t>
            </w:r>
          </w:p>
        </w:tc>
      </w:tr>
      <w:tr w14:paraId="5356E33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446B1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A7792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38047E3">
            <w:pPr>
              <w:jc w:val="center"/>
            </w:pPr>
            <w:r>
              <w:rPr>
                <w:rFonts w:ascii="宋体" w:hAnsi="宋体" w:eastAsia="宋体"/>
                <w:sz w:val="16"/>
              </w:rPr>
              <w:t>实际完成情况</w:t>
            </w:r>
          </w:p>
        </w:tc>
      </w:tr>
      <w:tr w14:paraId="495C84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087A4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A4D229">
            <w:pPr>
              <w:jc w:val="both"/>
            </w:pPr>
            <w:r>
              <w:rPr>
                <w:rFonts w:ascii="宋体" w:hAnsi="宋体" w:eastAsia="宋体"/>
                <w:sz w:val="16"/>
              </w:rPr>
              <w:t>该项目资金使用于4处公共场所安全器材及维修经费，通过该项目的实施，提升树立良好的社会风气和环境，保障公共场所各项工作正常运行。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A521326">
            <w:pPr>
              <w:jc w:val="both"/>
            </w:pPr>
            <w:r>
              <w:rPr>
                <w:rFonts w:ascii="宋体" w:hAnsi="宋体" w:eastAsia="宋体"/>
                <w:sz w:val="16"/>
              </w:rPr>
              <w:t>该项目资金使用于公共场所安全器材及维修经费，通过该项目的实施，提升树立良好的社会风气和环境，保证公共场所各项工作正常运行。</w:t>
            </w:r>
          </w:p>
        </w:tc>
      </w:tr>
      <w:tr w14:paraId="1A72EE8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C3152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A9D8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8138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A485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FB02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668E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3030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9D33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1ABA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E233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9DDC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8C5F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C12662">
            <w:pPr>
              <w:jc w:val="center"/>
            </w:pPr>
            <w:r>
              <w:rPr>
                <w:rFonts w:ascii="宋体" w:hAnsi="宋体" w:eastAsia="宋体"/>
                <w:sz w:val="16"/>
              </w:rPr>
              <w:t>偏差原因分析及改进措施</w:t>
            </w:r>
          </w:p>
        </w:tc>
      </w:tr>
      <w:tr w14:paraId="0C54ABE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8AF2F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699EC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45F7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94895">
            <w:pPr>
              <w:jc w:val="center"/>
            </w:pPr>
            <w:r>
              <w:rPr>
                <w:rFonts w:ascii="宋体" w:hAnsi="宋体" w:eastAsia="宋体"/>
                <w:sz w:val="16"/>
              </w:rPr>
              <w:t>维修公共场所数量（处）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4EE8C">
            <w:pPr>
              <w:jc w:val="center"/>
            </w:pPr>
            <w:r>
              <w:rPr>
                <w:rFonts w:ascii="宋体" w:hAnsi="宋体" w:eastAsia="宋体"/>
                <w:sz w:val="16"/>
              </w:rPr>
              <w:t>=4处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ECD1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84F95">
            <w:pPr>
              <w:jc w:val="center"/>
            </w:pPr>
            <w:r>
              <w:rPr>
                <w:rFonts w:ascii="宋体" w:hAnsi="宋体" w:eastAsia="宋体"/>
                <w:sz w:val="16"/>
              </w:rPr>
              <w:t>=4处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3955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732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EC82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572A5">
            <w:pPr>
              <w:jc w:val="center"/>
            </w:pPr>
            <w:r>
              <w:rPr>
                <w:rFonts w:ascii="宋体" w:hAnsi="宋体" w:eastAsia="宋体"/>
                <w:sz w:val="16"/>
              </w:rPr>
              <w:t>=3处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195E3">
            <w:pPr>
              <w:jc w:val="center"/>
            </w:pPr>
            <w:r>
              <w:rPr>
                <w:rFonts w:ascii="宋体" w:hAnsi="宋体" w:eastAsia="宋体"/>
                <w:sz w:val="16"/>
              </w:rPr>
              <w:t>5.63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F2C70">
            <w:pPr>
              <w:jc w:val="center"/>
            </w:pPr>
            <w:r>
              <w:rPr>
                <w:rFonts w:ascii="宋体" w:hAnsi="宋体" w:eastAsia="宋体"/>
                <w:sz w:val="16"/>
              </w:rPr>
              <w:t>上年度有4处，2024年减少了1处</w:t>
            </w:r>
          </w:p>
        </w:tc>
      </w:tr>
      <w:tr w14:paraId="2A335C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21E3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F08F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2CFE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9874A">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C18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024E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E9A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128C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CDE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50F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4EF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CD37C">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011940">
            <w:pPr>
              <w:jc w:val="center"/>
            </w:pPr>
          </w:p>
        </w:tc>
      </w:tr>
      <w:tr w14:paraId="36C5E8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BF87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F2FC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E073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D8DA6">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914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F24D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462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1DB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324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7935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409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1C35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44B32">
            <w:pPr>
              <w:jc w:val="center"/>
            </w:pPr>
          </w:p>
        </w:tc>
      </w:tr>
      <w:tr w14:paraId="47ED19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D229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22F4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B3E6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47D27">
            <w:pPr>
              <w:jc w:val="center"/>
            </w:pPr>
            <w:r>
              <w:rPr>
                <w:rFonts w:ascii="宋体" w:hAnsi="宋体" w:eastAsia="宋体"/>
                <w:sz w:val="16"/>
              </w:rPr>
              <w:t>公共场所安全器材及维修经费（万元）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B2C0C">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EC10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516FB">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F8C5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0205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BDE2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D9143">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A55A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7C16A">
            <w:pPr>
              <w:jc w:val="center"/>
            </w:pPr>
          </w:p>
        </w:tc>
      </w:tr>
      <w:tr w14:paraId="20C3E1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BE520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36085B">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9341C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B6DB0">
            <w:pPr>
              <w:jc w:val="center"/>
            </w:pPr>
            <w:r>
              <w:rPr>
                <w:rFonts w:ascii="宋体" w:hAnsi="宋体" w:eastAsia="宋体"/>
                <w:sz w:val="16"/>
              </w:rPr>
              <w:t>提升公共服务能力情况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7EF0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4741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DBCC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5E3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8BA6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6DCC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03FA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ACCA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866CD9">
            <w:pPr>
              <w:jc w:val="center"/>
            </w:pPr>
          </w:p>
        </w:tc>
      </w:tr>
      <w:tr w14:paraId="73EBB1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A8FA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E3C1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AA32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4F109">
            <w:pPr>
              <w:jc w:val="center"/>
            </w:pPr>
            <w:r>
              <w:rPr>
                <w:rFonts w:ascii="宋体" w:hAnsi="宋体" w:eastAsia="宋体"/>
                <w:sz w:val="16"/>
              </w:rPr>
              <w:t>提升树立良好的社会风气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B800F">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A791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ECC6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AEF0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E71D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DD5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28BB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4D31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B01426">
            <w:pPr>
              <w:jc w:val="center"/>
            </w:pPr>
          </w:p>
        </w:tc>
      </w:tr>
      <w:tr w14:paraId="1720C5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966F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B94C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084F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2FC22">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E4931">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7FA9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0B310">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43C0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4EFA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C8CD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CDA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E504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1E8197">
            <w:pPr>
              <w:jc w:val="center"/>
            </w:pPr>
          </w:p>
        </w:tc>
      </w:tr>
      <w:tr w14:paraId="6EB2F83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1A54E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E733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CB531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19825">
            <w:pPr>
              <w:jc w:val="center"/>
            </w:pPr>
            <w:r>
              <w:rPr>
                <w:rFonts w:ascii="宋体" w:hAnsi="宋体" w:eastAsia="宋体"/>
                <w:sz w:val="16"/>
              </w:rPr>
              <w:t>90.63分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6AFFB10"/>
        </w:tc>
      </w:tr>
    </w:tbl>
    <w:p w14:paraId="5D83C46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4A3F22D5">
        <w:tblPrEx>
          <w:tblCellMar>
            <w:top w:w="0" w:type="dxa"/>
            <w:left w:w="108" w:type="dxa"/>
            <w:bottom w:w="0" w:type="dxa"/>
            <w:right w:w="108" w:type="dxa"/>
          </w:tblCellMar>
        </w:tblPrEx>
        <w:tc>
          <w:tcPr>
            <w:tcW w:w="8848" w:type="dxa"/>
            <w:gridSpan w:val="14"/>
            <w:vAlign w:val="center"/>
          </w:tcPr>
          <w:p w14:paraId="18341A66">
            <w:pPr>
              <w:jc w:val="center"/>
            </w:pPr>
            <w:r>
              <w:rPr>
                <w:rFonts w:ascii="宋体" w:hAnsi="宋体" w:eastAsia="宋体"/>
                <w:sz w:val="24"/>
              </w:rPr>
              <w:t>项目支出绩效自评表</w:t>
            </w:r>
          </w:p>
        </w:tc>
      </w:tr>
      <w:tr w14:paraId="137833BD">
        <w:tblPrEx>
          <w:tblCellMar>
            <w:top w:w="0" w:type="dxa"/>
            <w:left w:w="108" w:type="dxa"/>
            <w:bottom w:w="0" w:type="dxa"/>
            <w:right w:w="108" w:type="dxa"/>
          </w:tblCellMar>
        </w:tblPrEx>
        <w:tc>
          <w:tcPr>
            <w:tcW w:w="8848" w:type="dxa"/>
            <w:gridSpan w:val="14"/>
            <w:vAlign w:val="center"/>
          </w:tcPr>
          <w:p w14:paraId="389C3856">
            <w:pPr>
              <w:jc w:val="center"/>
            </w:pPr>
            <w:r>
              <w:rPr>
                <w:rFonts w:ascii="宋体" w:hAnsi="宋体" w:eastAsia="宋体"/>
                <w:sz w:val="24"/>
              </w:rPr>
              <w:t>(2024年度)</w:t>
            </w:r>
          </w:p>
        </w:tc>
      </w:tr>
      <w:tr w14:paraId="307E7E8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7EDC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C7EB99B">
            <w:pPr>
              <w:jc w:val="center"/>
            </w:pPr>
            <w:r>
              <w:rPr>
                <w:rFonts w:ascii="宋体" w:hAnsi="宋体" w:eastAsia="宋体"/>
                <w:sz w:val="16"/>
              </w:rPr>
              <w:t>2024年县级</w:t>
            </w:r>
            <w:bookmarkStart w:id="0" w:name="_GoBack"/>
            <w:bookmarkEnd w:id="0"/>
            <w:r>
              <w:rPr>
                <w:rFonts w:ascii="宋体" w:hAnsi="宋体" w:eastAsia="宋体"/>
                <w:sz w:val="16"/>
              </w:rPr>
              <w:t>第一书记为民办实事工作经费</w:t>
            </w:r>
          </w:p>
        </w:tc>
      </w:tr>
      <w:tr w14:paraId="15A3638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2EDD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C0DF22">
            <w:pPr>
              <w:jc w:val="center"/>
            </w:pPr>
            <w:r>
              <w:rPr>
                <w:rFonts w:ascii="宋体" w:hAnsi="宋体" w:eastAsia="宋体"/>
                <w:sz w:val="16"/>
              </w:rPr>
              <w:t>阿克陶县住建局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1904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9E5D34F">
            <w:pPr>
              <w:jc w:val="center"/>
            </w:pPr>
            <w:r>
              <w:rPr>
                <w:rFonts w:ascii="宋体" w:hAnsi="宋体" w:eastAsia="宋体"/>
                <w:sz w:val="16"/>
              </w:rPr>
              <w:t>阿克陶县城市管理综合行政执法局</w:t>
            </w:r>
          </w:p>
        </w:tc>
      </w:tr>
      <w:tr w14:paraId="58210DC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A246F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DBBBA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4298F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7B53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667E3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66259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928C7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B2E0A">
            <w:pPr>
              <w:jc w:val="center"/>
            </w:pPr>
            <w:r>
              <w:rPr>
                <w:rFonts w:ascii="宋体" w:hAnsi="宋体" w:eastAsia="宋体"/>
                <w:sz w:val="16"/>
              </w:rPr>
              <w:t>得分</w:t>
            </w:r>
          </w:p>
        </w:tc>
      </w:tr>
      <w:tr w14:paraId="4641E8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17189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0EDED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796A09">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05B43A">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75BA3E">
            <w:pPr>
              <w:jc w:val="center"/>
            </w:pPr>
            <w:r>
              <w:rPr>
                <w:rFonts w:ascii="宋体" w:hAnsi="宋体" w:eastAsia="宋体"/>
                <w:sz w:val="16"/>
              </w:rPr>
              <w:t>1.98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EAE2B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C8EA81">
            <w:pPr>
              <w:jc w:val="center"/>
            </w:pPr>
            <w:r>
              <w:rPr>
                <w:rFonts w:ascii="宋体" w:hAnsi="宋体" w:eastAsia="宋体"/>
                <w:sz w:val="16"/>
              </w:rPr>
              <w:t>99.0%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4228C">
            <w:pPr>
              <w:jc w:val="center"/>
            </w:pPr>
            <w:r>
              <w:rPr>
                <w:rFonts w:ascii="宋体" w:hAnsi="宋体" w:eastAsia="宋体"/>
                <w:sz w:val="16"/>
              </w:rPr>
              <w:t>9.75分</w:t>
            </w:r>
          </w:p>
        </w:tc>
      </w:tr>
      <w:tr w14:paraId="78C452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88672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08D1F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AFCA12">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CCDC3B">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BE9F39">
            <w:pPr>
              <w:jc w:val="center"/>
            </w:pPr>
            <w:r>
              <w:rPr>
                <w:rFonts w:ascii="宋体" w:hAnsi="宋体" w:eastAsia="宋体"/>
                <w:sz w:val="16"/>
              </w:rPr>
              <w:t>1.98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B0855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D54B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EF8F6">
            <w:pPr>
              <w:jc w:val="center"/>
            </w:pPr>
            <w:r>
              <w:rPr>
                <w:rFonts w:ascii="宋体" w:hAnsi="宋体" w:eastAsia="宋体"/>
                <w:sz w:val="16"/>
              </w:rPr>
              <w:t>—</w:t>
            </w:r>
          </w:p>
        </w:tc>
      </w:tr>
      <w:tr w14:paraId="1B64E3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EF25E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BAC65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8843D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59E64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1D4BD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4E326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245C3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088B6">
            <w:pPr>
              <w:jc w:val="center"/>
            </w:pPr>
            <w:r>
              <w:rPr>
                <w:rFonts w:ascii="宋体" w:hAnsi="宋体" w:eastAsia="宋体"/>
                <w:sz w:val="16"/>
              </w:rPr>
              <w:t>—</w:t>
            </w:r>
          </w:p>
        </w:tc>
      </w:tr>
      <w:tr w14:paraId="526FA95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CB901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99790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469CF8">
            <w:pPr>
              <w:jc w:val="center"/>
            </w:pPr>
            <w:r>
              <w:rPr>
                <w:rFonts w:ascii="宋体" w:hAnsi="宋体" w:eastAsia="宋体"/>
                <w:sz w:val="16"/>
              </w:rPr>
              <w:t>实际完成情况</w:t>
            </w:r>
          </w:p>
        </w:tc>
      </w:tr>
      <w:tr w14:paraId="3A7A55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D528B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475DC7">
            <w:pPr>
              <w:jc w:val="both"/>
            </w:pPr>
            <w:r>
              <w:rPr>
                <w:rFonts w:ascii="宋体" w:hAnsi="宋体" w:eastAsia="宋体"/>
                <w:sz w:val="16"/>
              </w:rPr>
              <w:t>使用该项目资金保障工作队正常开展为民办实事送温暖活动，</w:t>
            </w:r>
            <w:r>
              <w:rPr>
                <w:rFonts w:hint="eastAsia" w:ascii="宋体" w:hAnsi="宋体"/>
                <w:sz w:val="16"/>
                <w:lang w:eastAsia="zh-CN"/>
              </w:rPr>
              <w:t>用</w:t>
            </w:r>
            <w:r>
              <w:rPr>
                <w:rFonts w:ascii="宋体" w:hAnsi="宋体" w:eastAsia="宋体"/>
                <w:sz w:val="16"/>
              </w:rPr>
              <w:t>于慰问方面；通过该项目的实施，提升群众感恩意识，民族团结意识，保障工作队顺利开展各种送温暖活动。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2388E9">
            <w:pPr>
              <w:jc w:val="both"/>
            </w:pPr>
            <w:r>
              <w:rPr>
                <w:rFonts w:ascii="宋体" w:hAnsi="宋体" w:eastAsia="宋体"/>
                <w:sz w:val="16"/>
              </w:rPr>
              <w:t>使用该项目资金用于保障工作队正常开展为民办实事送温暖活动，</w:t>
            </w:r>
            <w:r>
              <w:rPr>
                <w:rFonts w:hint="eastAsia" w:ascii="宋体" w:hAnsi="宋体"/>
                <w:sz w:val="16"/>
                <w:lang w:eastAsia="zh-CN"/>
              </w:rPr>
              <w:t>用</w:t>
            </w:r>
            <w:r>
              <w:rPr>
                <w:rFonts w:ascii="宋体" w:hAnsi="宋体" w:eastAsia="宋体"/>
                <w:sz w:val="16"/>
              </w:rPr>
              <w:t>于慰问方面；帮助群众解决问题，通过该项目的实施，提升群众感恩意识，民族团结意识，提升单位为群众服务能力。</w:t>
            </w:r>
            <w:r>
              <w:rPr>
                <w:rFonts w:ascii="宋体" w:hAnsi="宋体" w:eastAsia="宋体"/>
                <w:sz w:val="16"/>
              </w:rPr>
              <w:tab/>
            </w:r>
            <w:r>
              <w:rPr>
                <w:rFonts w:ascii="宋体" w:hAnsi="宋体" w:eastAsia="宋体"/>
                <w:sz w:val="16"/>
              </w:rPr>
              <w:tab/>
            </w:r>
            <w:r>
              <w:rPr>
                <w:rFonts w:ascii="宋体" w:hAnsi="宋体" w:eastAsia="宋体"/>
                <w:sz w:val="16"/>
              </w:rPr>
              <w:tab/>
            </w:r>
            <w:r>
              <w:rPr>
                <w:rFonts w:ascii="宋体" w:hAnsi="宋体" w:eastAsia="宋体"/>
                <w:sz w:val="16"/>
              </w:rPr>
              <w:tab/>
            </w:r>
            <w:r>
              <w:rPr>
                <w:rFonts w:ascii="宋体" w:hAnsi="宋体" w:eastAsia="宋体"/>
                <w:sz w:val="16"/>
              </w:rPr>
              <w:br w:type="textWrapping"/>
            </w:r>
          </w:p>
        </w:tc>
      </w:tr>
      <w:tr w14:paraId="54A3613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F2219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7A74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608F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6CE7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12B4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2169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A96E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D740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C0EC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E476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B17E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C366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F77B3">
            <w:pPr>
              <w:jc w:val="center"/>
            </w:pPr>
            <w:r>
              <w:rPr>
                <w:rFonts w:ascii="宋体" w:hAnsi="宋体" w:eastAsia="宋体"/>
                <w:sz w:val="16"/>
              </w:rPr>
              <w:t>偏差原因分析及改进措施</w:t>
            </w:r>
          </w:p>
        </w:tc>
      </w:tr>
      <w:tr w14:paraId="061F6CB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B3590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6D043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C118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FC5B6">
            <w:pPr>
              <w:jc w:val="center"/>
            </w:pPr>
            <w:r>
              <w:rPr>
                <w:rFonts w:ascii="宋体" w:hAnsi="宋体" w:eastAsia="宋体"/>
                <w:sz w:val="16"/>
              </w:rPr>
              <w:t>工作队慰问次数（次）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A76BA">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BC69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0989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696B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132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B709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5A2E0">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D7D88">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B141D">
            <w:pPr>
              <w:jc w:val="center"/>
            </w:pPr>
          </w:p>
        </w:tc>
      </w:tr>
      <w:tr w14:paraId="7802FC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95C2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6C30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26D2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31E65">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491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6D44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6F6C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6FCF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ABB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4C8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E7E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F1FD9">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888B78">
            <w:pPr>
              <w:jc w:val="center"/>
            </w:pPr>
          </w:p>
        </w:tc>
      </w:tr>
      <w:tr w14:paraId="7B69E7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8C10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2FB2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B90A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94034">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12D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2F7C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1E0F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922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895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13D1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993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CD25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913328">
            <w:pPr>
              <w:jc w:val="center"/>
            </w:pPr>
          </w:p>
        </w:tc>
      </w:tr>
      <w:tr w14:paraId="57A1F6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D5BE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2F19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D562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0A717">
            <w:pPr>
              <w:jc w:val="center"/>
            </w:pPr>
            <w:r>
              <w:rPr>
                <w:rFonts w:ascii="宋体" w:hAnsi="宋体" w:eastAsia="宋体"/>
                <w:sz w:val="16"/>
              </w:rPr>
              <w:t>工作经费（万元）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8EFD5">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B26D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807B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8E40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2F9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6CD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96B06">
            <w:pPr>
              <w:jc w:val="center"/>
            </w:pPr>
            <w:r>
              <w:rPr>
                <w:rFonts w:ascii="宋体" w:hAnsi="宋体" w:eastAsia="宋体"/>
                <w:sz w:val="16"/>
              </w:rPr>
              <w:t>=1.98万元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DC302">
            <w:pPr>
              <w:jc w:val="center"/>
            </w:pPr>
            <w:r>
              <w:rPr>
                <w:rFonts w:ascii="宋体" w:hAnsi="宋体" w:eastAsia="宋体"/>
                <w:sz w:val="16"/>
              </w:rPr>
              <w:t>19.5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06F0C">
            <w:pPr>
              <w:jc w:val="center"/>
            </w:pPr>
            <w:r>
              <w:rPr>
                <w:rFonts w:ascii="宋体" w:hAnsi="宋体" w:eastAsia="宋体"/>
                <w:sz w:val="16"/>
              </w:rPr>
              <w:t>在预算范围内，属于节约成本</w:t>
            </w:r>
          </w:p>
        </w:tc>
      </w:tr>
      <w:tr w14:paraId="61E643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22131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F5E5F6">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4B2C6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25128">
            <w:pPr>
              <w:jc w:val="center"/>
            </w:pPr>
            <w:r>
              <w:rPr>
                <w:rFonts w:ascii="宋体" w:hAnsi="宋体" w:eastAsia="宋体"/>
                <w:sz w:val="16"/>
              </w:rPr>
              <w:t>提升群众感恩意识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2AA1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D396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1FBB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141B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A408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F555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8B71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4705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76F66">
            <w:pPr>
              <w:jc w:val="center"/>
            </w:pPr>
          </w:p>
        </w:tc>
      </w:tr>
      <w:tr w14:paraId="089879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AE85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6CCC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0C2B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905CC">
            <w:pPr>
              <w:jc w:val="center"/>
            </w:pPr>
            <w:r>
              <w:rPr>
                <w:rFonts w:ascii="宋体" w:hAnsi="宋体" w:eastAsia="宋体"/>
                <w:sz w:val="16"/>
              </w:rPr>
              <w:t>提升为群众服务能力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885E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7C7D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15BE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438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B463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E2D9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C5B4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203A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E20C43">
            <w:pPr>
              <w:jc w:val="center"/>
            </w:pPr>
          </w:p>
        </w:tc>
      </w:tr>
      <w:tr w14:paraId="4F8213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5720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5BB2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5F1C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A179C">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B8750">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1FF4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1F4A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7EE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4238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9A4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920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2FB9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C8886C">
            <w:pPr>
              <w:jc w:val="center"/>
            </w:pPr>
          </w:p>
        </w:tc>
      </w:tr>
      <w:tr w14:paraId="30A4600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B426D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6A0C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88926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8F7D1">
            <w:pPr>
              <w:jc w:val="center"/>
            </w:pPr>
            <w:r>
              <w:rPr>
                <w:rFonts w:ascii="宋体" w:hAnsi="宋体" w:eastAsia="宋体"/>
                <w:sz w:val="16"/>
              </w:rPr>
              <w:t>99.25分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C4D91C0"/>
        </w:tc>
      </w:tr>
    </w:tbl>
    <w:p w14:paraId="4C53B26E">
      <w:r>
        <w:br w:type="page"/>
      </w:r>
    </w:p>
    <w:p w14:paraId="57CEED85">
      <w:pPr>
        <w:spacing w:line="640" w:lineRule="exact"/>
        <w:ind w:firstLine="640"/>
        <w:jc w:val="both"/>
        <w:outlineLvl w:val="2"/>
      </w:pPr>
      <w:r>
        <w:rPr>
          <w:rFonts w:ascii="黑体" w:hAnsi="黑体" w:eastAsia="黑体"/>
          <w:sz w:val="32"/>
        </w:rPr>
        <w:t>十二、其他需说明的事项</w:t>
      </w:r>
    </w:p>
    <w:p w14:paraId="1EC2E36D">
      <w:pPr>
        <w:spacing w:line="580" w:lineRule="exact"/>
        <w:ind w:firstLine="640"/>
        <w:jc w:val="both"/>
      </w:pPr>
      <w:r>
        <w:rPr>
          <w:rFonts w:ascii="仿宋_GB2312" w:hAnsi="仿宋_GB2312" w:eastAsia="仿宋_GB2312"/>
          <w:b w:val="0"/>
          <w:sz w:val="32"/>
        </w:rPr>
        <w:t>本单位无其他需说明的事项。</w:t>
      </w:r>
    </w:p>
    <w:p w14:paraId="1DC695A7">
      <w:r>
        <w:br w:type="page"/>
      </w:r>
    </w:p>
    <w:p w14:paraId="3F015C7A">
      <w:pPr>
        <w:spacing w:line="240" w:lineRule="auto"/>
        <w:jc w:val="center"/>
        <w:outlineLvl w:val="1"/>
      </w:pPr>
      <w:r>
        <w:rPr>
          <w:rFonts w:ascii="黑体" w:hAnsi="黑体" w:eastAsia="黑体"/>
          <w:sz w:val="32"/>
        </w:rPr>
        <w:t>第三部分 专业名词解释</w:t>
      </w:r>
    </w:p>
    <w:p w14:paraId="4BF91A27">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CB0A5E8">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C75C9F2">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30BBC67">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2A39B20">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6A49D7F">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7A1E419">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A6EE306">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E585FEB">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B4AE4C7">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1B25865">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8165EA5">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A63F932">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4764B5D">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8DB3985">
      <w:r>
        <w:br w:type="page"/>
      </w:r>
    </w:p>
    <w:p w14:paraId="6D4A2B50">
      <w:pPr>
        <w:spacing w:line="240" w:lineRule="auto"/>
        <w:jc w:val="center"/>
        <w:outlineLvl w:val="1"/>
      </w:pPr>
      <w:r>
        <w:rPr>
          <w:rFonts w:ascii="黑体" w:hAnsi="黑体" w:eastAsia="黑体"/>
          <w:sz w:val="32"/>
        </w:rPr>
        <w:t>第四部分 部门决算报表（见附表）</w:t>
      </w:r>
    </w:p>
    <w:p w14:paraId="4CC8B212">
      <w:pPr>
        <w:spacing w:line="240" w:lineRule="auto"/>
        <w:ind w:firstLine="640"/>
        <w:jc w:val="both"/>
      </w:pPr>
      <w:r>
        <w:rPr>
          <w:rFonts w:ascii="仿宋_GB2312" w:hAnsi="仿宋_GB2312" w:eastAsia="仿宋_GB2312"/>
          <w:b w:val="0"/>
          <w:sz w:val="32"/>
        </w:rPr>
        <w:t>一、《收入支出决算总表》</w:t>
      </w:r>
    </w:p>
    <w:p w14:paraId="79EAC7A0">
      <w:pPr>
        <w:spacing w:line="240" w:lineRule="auto"/>
        <w:ind w:firstLine="640"/>
        <w:jc w:val="both"/>
      </w:pPr>
      <w:r>
        <w:rPr>
          <w:rFonts w:ascii="仿宋_GB2312" w:hAnsi="仿宋_GB2312" w:eastAsia="仿宋_GB2312"/>
          <w:b w:val="0"/>
          <w:sz w:val="32"/>
        </w:rPr>
        <w:t>二、《收入决算表》</w:t>
      </w:r>
    </w:p>
    <w:p w14:paraId="42729567">
      <w:pPr>
        <w:spacing w:line="240" w:lineRule="auto"/>
        <w:ind w:firstLine="640"/>
        <w:jc w:val="both"/>
      </w:pPr>
      <w:r>
        <w:rPr>
          <w:rFonts w:ascii="仿宋_GB2312" w:hAnsi="仿宋_GB2312" w:eastAsia="仿宋_GB2312"/>
          <w:b w:val="0"/>
          <w:sz w:val="32"/>
        </w:rPr>
        <w:t>三、《支出决算表》</w:t>
      </w:r>
    </w:p>
    <w:p w14:paraId="3F36C87F">
      <w:pPr>
        <w:spacing w:line="240" w:lineRule="auto"/>
        <w:ind w:firstLine="640"/>
        <w:jc w:val="both"/>
      </w:pPr>
      <w:r>
        <w:rPr>
          <w:rFonts w:ascii="仿宋_GB2312" w:hAnsi="仿宋_GB2312" w:eastAsia="仿宋_GB2312"/>
          <w:b w:val="0"/>
          <w:sz w:val="32"/>
        </w:rPr>
        <w:t>四、《财政拨款收入支出决算总表》</w:t>
      </w:r>
    </w:p>
    <w:p w14:paraId="2FBAB9D9">
      <w:pPr>
        <w:spacing w:line="240" w:lineRule="auto"/>
        <w:ind w:firstLine="640"/>
        <w:jc w:val="both"/>
      </w:pPr>
      <w:r>
        <w:rPr>
          <w:rFonts w:ascii="仿宋_GB2312" w:hAnsi="仿宋_GB2312" w:eastAsia="仿宋_GB2312"/>
          <w:b w:val="0"/>
          <w:sz w:val="32"/>
        </w:rPr>
        <w:t>五、《一般公共预算财政拨款支出决算表》</w:t>
      </w:r>
    </w:p>
    <w:p w14:paraId="609904F8">
      <w:pPr>
        <w:spacing w:line="240" w:lineRule="auto"/>
        <w:ind w:firstLine="640"/>
        <w:jc w:val="both"/>
      </w:pPr>
      <w:r>
        <w:rPr>
          <w:rFonts w:ascii="仿宋_GB2312" w:hAnsi="仿宋_GB2312" w:eastAsia="仿宋_GB2312"/>
          <w:b w:val="0"/>
          <w:sz w:val="32"/>
        </w:rPr>
        <w:t>六、《一般公共预算财政拨款基本支出决算表》</w:t>
      </w:r>
    </w:p>
    <w:p w14:paraId="11803E2F">
      <w:pPr>
        <w:spacing w:line="240" w:lineRule="auto"/>
        <w:ind w:firstLine="640"/>
        <w:jc w:val="both"/>
      </w:pPr>
      <w:r>
        <w:rPr>
          <w:rFonts w:ascii="仿宋_GB2312" w:hAnsi="仿宋_GB2312" w:eastAsia="仿宋_GB2312"/>
          <w:b w:val="0"/>
          <w:sz w:val="32"/>
        </w:rPr>
        <w:t>七、《政府性基金预算财政拨款收入支出决算表》</w:t>
      </w:r>
    </w:p>
    <w:p w14:paraId="1C018867">
      <w:pPr>
        <w:spacing w:line="240" w:lineRule="auto"/>
        <w:ind w:firstLine="640"/>
        <w:jc w:val="both"/>
      </w:pPr>
      <w:r>
        <w:rPr>
          <w:rFonts w:ascii="仿宋_GB2312" w:hAnsi="仿宋_GB2312" w:eastAsia="仿宋_GB2312"/>
          <w:b w:val="0"/>
          <w:sz w:val="32"/>
        </w:rPr>
        <w:t>八、《国有资本经营预算财政拨款收入支出决算表》</w:t>
      </w:r>
    </w:p>
    <w:p w14:paraId="3E858490">
      <w:pPr>
        <w:spacing w:line="240" w:lineRule="auto"/>
        <w:ind w:firstLine="640"/>
        <w:jc w:val="both"/>
      </w:pPr>
      <w:r>
        <w:rPr>
          <w:rFonts w:ascii="仿宋_GB2312" w:hAnsi="仿宋_GB2312" w:eastAsia="仿宋_GB2312"/>
          <w:b w:val="0"/>
          <w:sz w:val="32"/>
        </w:rPr>
        <w:t>九、《财政拨款“三公”经费支出决算表》</w:t>
      </w:r>
    </w:p>
    <w:p w14:paraId="3571ED6B">
      <w:pPr>
        <w:spacing w:line="240" w:lineRule="auto"/>
        <w:ind w:firstLine="640"/>
        <w:jc w:val="both"/>
      </w:pPr>
    </w:p>
    <w:p w14:paraId="6FCCB0B2">
      <w:pPr>
        <w:spacing w:line="240" w:lineRule="auto"/>
        <w:ind w:firstLine="640"/>
        <w:jc w:val="both"/>
      </w:pPr>
    </w:p>
    <w:p w14:paraId="1FB8F7E4">
      <w:pPr>
        <w:spacing w:line="240" w:lineRule="auto"/>
        <w:ind w:firstLine="640"/>
        <w:jc w:val="both"/>
      </w:pPr>
    </w:p>
    <w:p w14:paraId="32689C0E">
      <w:pPr>
        <w:spacing w:line="240" w:lineRule="auto"/>
        <w:ind w:firstLine="640"/>
        <w:jc w:val="both"/>
      </w:pPr>
    </w:p>
    <w:p w14:paraId="1DC95978">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73200E1"/>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F3B2D8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5766</Words>
  <Characters>6499</Characters>
  <Lines>0</Lines>
  <Paragraphs>0</Paragraphs>
  <TotalTime>6</TotalTime>
  <ScaleCrop>false</ScaleCrop>
  <LinksUpToDate>false</LinksUpToDate>
  <CharactersWithSpaces>6507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2025-09-15T04:59:37Z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eyJoZGlkIjoiN2E1ZDY0MDI5MTE3YjM0ZGMyMzg4N2EwMDI4ZjJiM2YiLCJ1c2VySWQiOiIyNTk4NTcxMjUifQ==</vt:lpwstr>
  </property>
</Properties>
</file>